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14,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14, 2019, Microbot Medical Inc. (the “Company”) issued a press release announcing that it has validated the operational effectiveness of the Company’s Self-Cleaning Shunt (SCS™) in a recent independent in-vitro laboratory study. The Company also shared images of its SCS™ from the laboratory study that clearly demonstrate the device prevented shunt occlusion. A copy of the press release is furnished as Exhibit 99.1 to this Current Report on Form 8-K and is incorporated herein by reference.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14, 2019, the Company issued a press release announcing that it received a notification from the European Patent Office that it will grant a patent for Application No. 08738207, which covers the Company’s ViRob™ technology platform. Including this latest notification, the Company has 30 issued/allowed patents and 18 patent applications pending worldwide. A copy of the press release is furnished as Exhibit 99.2 to this Current Report on Form 8-K and is incorporated herein by reference.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in this Item 7.01 and in Exhibits 99.1 and 99.2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Exhibits 99.1 or 99.2 of Item 9.01.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46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10460" w:type="dxa"/>
            <w:vAlign w:val="bottom"/>
            <w:tcBorders>
              <w:top w:val="single" w:sz="8" w:color="auto"/>
            </w:tcBorders>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January 14, 2019 regarding in-vitro laboratory study</w:t>
              </w:r>
            </w:hyperlink>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99.2</w:t>
            </w:r>
          </w:p>
        </w:tc>
        <w:tc>
          <w:tcPr>
            <w:tcW w:w="180" w:type="dxa"/>
            <w:vAlign w:val="bottom"/>
          </w:tcPr>
          <w:p>
            <w:pPr>
              <w:spacing w:after="0"/>
              <w:rPr>
                <w:sz w:val="17"/>
                <w:szCs w:val="17"/>
                <w:color w:val="auto"/>
              </w:rPr>
            </w:pPr>
          </w:p>
        </w:tc>
        <w:tc>
          <w:tcPr>
            <w:tcW w:w="524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Press Release dated January 14, 2019 regarding ViRob™ patent</w:t>
              </w:r>
            </w:hyperlink>
          </w:p>
        </w:tc>
        <w:tc>
          <w:tcPr>
            <w:tcW w:w="5220" w:type="dxa"/>
            <w:vAlign w:val="bottom"/>
          </w:tcPr>
          <w:p>
            <w:pPr>
              <w:spacing w:after="0"/>
              <w:rPr>
                <w:sz w:val="17"/>
                <w:szCs w:val="17"/>
                <w:color w:val="auto"/>
              </w:rPr>
            </w:pPr>
          </w:p>
        </w:tc>
      </w:tr>
      <w:tr>
        <w:trPr>
          <w:trHeight w:val="460"/>
        </w:trPr>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i w:val="1"/>
          <w:iCs w:val="1"/>
          <w:color w:val="auto"/>
        </w:rPr>
        <w:t xml:space="preserve"> G</w:t>
      </w:r>
      <w:r>
        <w:rPr>
          <w:rFonts w:ascii="Arial" w:cs="Arial" w:eastAsia="Arial" w:hAnsi="Arial"/>
          <w:sz w:val="12"/>
          <w:szCs w:val="12"/>
          <w:i w:val="1"/>
          <w:iCs w:val="1"/>
          <w:color w:val="auto"/>
        </w:rPr>
        <w:t>ADOT</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226060</wp:posOffset>
            </wp:positionV>
            <wp:extent cx="2178050" cy="857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78050" cy="857885"/>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Study Validates the Operational Effectiveness of Microbot Medical’s Self-Cleaning Shunt (SCS</w:t>
      </w:r>
      <w:r>
        <w:rPr>
          <w:rFonts w:ascii="Arial" w:cs="Arial" w:eastAsia="Arial" w:hAnsi="Arial"/>
          <w:sz w:val="30"/>
          <w:szCs w:val="30"/>
          <w:b w:val="1"/>
          <w:bCs w:val="1"/>
          <w:color w:val="auto"/>
          <w:vertAlign w:val="superscript"/>
        </w:rPr>
        <w:t>TM</w:t>
      </w:r>
      <w:r>
        <w:rPr>
          <w:rFonts w:ascii="Arial" w:cs="Arial" w:eastAsia="Arial" w:hAnsi="Arial"/>
          <w:sz w:val="18"/>
          <w:szCs w:val="18"/>
          <w:b w:val="1"/>
          <w:bCs w:val="1"/>
          <w:color w:val="auto"/>
        </w:rPr>
        <w:t>)</w:t>
      </w:r>
    </w:p>
    <w:p>
      <w:pPr>
        <w:spacing w:after="0" w:line="124" w:lineRule="exact"/>
        <w:rPr>
          <w:sz w:val="20"/>
          <w:szCs w:val="20"/>
          <w:color w:val="auto"/>
        </w:rPr>
      </w:pPr>
    </w:p>
    <w:p>
      <w:pPr>
        <w:jc w:val="both"/>
        <w:spacing w:after="0" w:line="189" w:lineRule="auto"/>
        <w:rPr>
          <w:sz w:val="20"/>
          <w:szCs w:val="20"/>
          <w:color w:val="auto"/>
        </w:rPr>
      </w:pPr>
      <w:r>
        <w:rPr>
          <w:rFonts w:ascii="Arial" w:cs="Arial" w:eastAsia="Arial" w:hAnsi="Arial"/>
          <w:sz w:val="18"/>
          <w:szCs w:val="18"/>
          <w:b w:val="1"/>
          <w:bCs w:val="1"/>
          <w:color w:val="auto"/>
        </w:rPr>
        <w:t xml:space="preserve">HINGHAM, Mass., January 14, 2019 </w:t>
      </w:r>
      <w:r>
        <w:rPr>
          <w:rFonts w:ascii="Arial" w:cs="Arial" w:eastAsia="Arial" w:hAnsi="Arial"/>
          <w:sz w:val="18"/>
          <w:szCs w:val="18"/>
          <w:color w:val="auto"/>
        </w:rPr>
        <w:t>–Microbot Medical Inc. (NASDAQ: MBOT) announced today that it has validated the operational effectiveness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Self-Cleaning Shunt (SCS</w:t>
      </w:r>
      <w:r>
        <w:rPr>
          <w:rFonts w:ascii="Arial" w:cs="Arial" w:eastAsia="Arial" w:hAnsi="Arial"/>
          <w:sz w:val="30"/>
          <w:szCs w:val="30"/>
          <w:color w:val="auto"/>
          <w:vertAlign w:val="superscript"/>
        </w:rPr>
        <w:t>TM</w:t>
      </w:r>
      <w:r>
        <w:rPr>
          <w:rFonts w:ascii="Arial" w:cs="Arial" w:eastAsia="Arial" w:hAnsi="Arial"/>
          <w:sz w:val="18"/>
          <w:szCs w:val="18"/>
          <w:color w:val="auto"/>
        </w:rPr>
        <w:t>) in a recent independent in-vitro laboratory study. The Company also shared images of its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from the laboratory study that clearly demonstrate the device prevented shunt occlusion.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6483350" cy="15779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3350"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Non Activated shunt</w:t>
      </w:r>
      <w:r>
        <w:rPr>
          <w:sz w:val="20"/>
          <w:szCs w:val="20"/>
          <w:color w:val="auto"/>
        </w:rPr>
        <w:tab/>
      </w:r>
      <w:r>
        <w:rPr>
          <w:rFonts w:ascii="Arial" w:cs="Arial" w:eastAsia="Arial" w:hAnsi="Arial"/>
          <w:sz w:val="16"/>
          <w:szCs w:val="16"/>
          <w:color w:val="auto"/>
        </w:rPr>
        <w:t>Activated Shunt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83350" cy="15690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335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4 weeks cell growth</w:t>
      </w:r>
      <w:r>
        <w:rPr>
          <w:sz w:val="20"/>
          <w:szCs w:val="20"/>
          <w:color w:val="auto"/>
        </w:rPr>
        <w:tab/>
      </w:r>
      <w:r>
        <w:rPr>
          <w:rFonts w:ascii="Arial" w:cs="Arial" w:eastAsia="Arial" w:hAnsi="Arial"/>
          <w:sz w:val="16"/>
          <w:szCs w:val="16"/>
          <w:color w:val="auto"/>
        </w:rPr>
        <w:t>10 minutes post shunt activation</w:t>
      </w:r>
    </w:p>
    <w:p>
      <w:pPr>
        <w:spacing w:after="0" w:line="225"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“We believe the highly encouraging results from this latest study, which complements our previous pre-clinical studies, demonstrates the potential of our SCS</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product to revolutionize how Hydrocephalus and Normal Pressure Hydrocephalus (NPH) can be treated in the future,” commented Harel Gadot,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18"/>
          <w:szCs w:val="18"/>
          <w:color w:val="auto"/>
        </w:rPr>
        <w:t>CEO, President and Chairman. “We believe the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during this and previous studies gives us greater confidence to explore additional medical applications for the device in conditions where occlusion occurs, such as in the Traumatic Brain Injury (TBI)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22" w:lineRule="auto"/>
        <w:rPr>
          <w:sz w:val="20"/>
          <w:szCs w:val="20"/>
          <w:color w:val="auto"/>
        </w:rPr>
      </w:pPr>
      <w:r>
        <w:rPr>
          <w:rFonts w:ascii="Arial" w:cs="Arial" w:eastAsia="Arial" w:hAnsi="Arial"/>
          <w:sz w:val="18"/>
          <w:szCs w:val="18"/>
          <w:color w:val="auto"/>
        </w:rPr>
        <w:t>The study was conducted at Envigo CRS Israel, a leading provider of non-clinical contract research services and research models. Human brain glioblastoma cells were used in order to assess performance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in a test system with accelerated cell growth rate, accumulation and obstruction rates. The study commenced in October 2018 and after 30 days it demonstrated:</w:t>
      </w:r>
    </w:p>
    <w:p>
      <w:pPr>
        <w:spacing w:after="0" w:line="18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Significant cell growth and accumulation in a non-operating SCS</w:t>
      </w:r>
      <w:r>
        <w:rPr>
          <w:rFonts w:ascii="Arial" w:cs="Arial" w:eastAsia="Arial" w:hAnsi="Arial"/>
          <w:sz w:val="30"/>
          <w:szCs w:val="30"/>
          <w:color w:val="auto"/>
          <w:vertAlign w:val="superscript"/>
        </w:rPr>
        <w:t>TM</w:t>
      </w:r>
      <w:r>
        <w:rPr>
          <w:rFonts w:ascii="Arial" w:cs="Arial" w:eastAsia="Arial" w:hAnsi="Arial"/>
          <w:sz w:val="18"/>
          <w:szCs w:val="18"/>
          <w:color w:val="auto"/>
        </w:rPr>
        <w:t>; and</w:t>
      </w:r>
    </w:p>
    <w:p>
      <w:pPr>
        <w:spacing w:after="0" w:line="82" w:lineRule="exact"/>
        <w:rPr>
          <w:rFonts w:ascii="Arial" w:cs="Arial" w:eastAsia="Arial" w:hAnsi="Arial"/>
          <w:sz w:val="36"/>
          <w:szCs w:val="36"/>
          <w:color w:val="auto"/>
          <w:vertAlign w:val="superscript"/>
        </w:rPr>
      </w:pPr>
    </w:p>
    <w:p>
      <w:pPr>
        <w:ind w:left="660" w:hanging="328"/>
        <w:spacing w:after="0" w:line="204" w:lineRule="auto"/>
        <w:tabs>
          <w:tab w:leader="none" w:pos="66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A significant inhibition in cell growth in the constantly operating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with very little to no cell attachment on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and on the opening where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operates.</w:t>
      </w:r>
    </w:p>
    <w:p>
      <w:pPr>
        <w:spacing w:after="0" w:line="84"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The study also demonstrated that the Company’s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has the ability to operate after cells had accumulated on the catheter holes and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Moreover,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activation demonstrated the potential to disintegrate existing occlusions formed on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and on the opening where the robotic brush (ViRob</w:t>
      </w:r>
      <w:r>
        <w:rPr>
          <w:rFonts w:ascii="Arial" w:cs="Arial" w:eastAsia="Arial" w:hAnsi="Arial"/>
          <w:sz w:val="30"/>
          <w:szCs w:val="30"/>
          <w:color w:val="auto"/>
          <w:vertAlign w:val="superscript"/>
        </w:rPr>
        <w:t>TM</w:t>
      </w:r>
      <w:r>
        <w:rPr>
          <w:rFonts w:ascii="Arial" w:cs="Arial" w:eastAsia="Arial" w:hAnsi="Arial"/>
          <w:sz w:val="18"/>
          <w:szCs w:val="18"/>
          <w:color w:val="auto"/>
        </w:rPr>
        <w:t>) operates.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this study, the Company previously announced data from two pre-clinical studies that were performed at leading U.S. academic institutions. Data from those studies were also presented by Professor Pat McAllister, Department of Neurosurgery, Washington University School of Medicine, St. Louis, at the International Hydrocephalus Conference, held in Bologna, Italy in October 2018.</w:t>
      </w:r>
    </w:p>
    <w:p>
      <w:pPr>
        <w:spacing w:after="0" w:line="185" w:lineRule="exact"/>
        <w:rPr>
          <w:sz w:val="20"/>
          <w:szCs w:val="20"/>
          <w:color w:val="auto"/>
        </w:rPr>
      </w:pPr>
    </w:p>
    <w:p>
      <w:pPr>
        <w:ind w:left="660" w:hanging="328"/>
        <w:spacing w:after="0" w:line="186" w:lineRule="auto"/>
        <w:tabs>
          <w:tab w:leader="none" w:pos="66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In-vitro study, which was performed at Wayne State University, supports the SCS</w:t>
      </w:r>
      <w:r>
        <w:rPr>
          <w:rFonts w:ascii="Arial" w:cs="Arial" w:eastAsia="Arial" w:hAnsi="Arial"/>
          <w:sz w:val="30"/>
          <w:szCs w:val="30"/>
          <w:color w:val="auto"/>
          <w:vertAlign w:val="superscript"/>
        </w:rPr>
        <w:t>TM</w:t>
      </w:r>
      <w:r>
        <w:rPr>
          <w:rFonts w:ascii="Arial" w:cs="Arial" w:eastAsia="Arial" w:hAnsi="Arial"/>
          <w:sz w:val="18"/>
          <w:szCs w:val="18"/>
          <w:color w:val="auto"/>
        </w:rPr>
        <w:t>’s potential as a viable technology for preventing occlusion in shunts used to treat hydrocephalus.</w:t>
      </w:r>
    </w:p>
    <w:p>
      <w:pPr>
        <w:spacing w:after="0" w:line="203" w:lineRule="exact"/>
        <w:rPr>
          <w:rFonts w:ascii="Arial" w:cs="Arial" w:eastAsia="Arial" w:hAnsi="Arial"/>
          <w:sz w:val="36"/>
          <w:szCs w:val="36"/>
          <w:color w:val="auto"/>
          <w:vertAlign w:val="superscript"/>
        </w:rPr>
      </w:pPr>
    </w:p>
    <w:p>
      <w:pPr>
        <w:ind w:left="660" w:hanging="328"/>
        <w:spacing w:after="0" w:line="28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In-vivo animal study, which was performed at Washington University School of Medicine in St. Louis, supports the safety profile of the Company’s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as a CSF catheter.</w:t>
      </w:r>
    </w:p>
    <w:p>
      <w:pPr>
        <w:spacing w:after="0" w:line="4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The follow up study, which is being conducted by the same academic institutions, commenced in October 2018 and includes a larger sample size compared to the initial studies. The primary and secondary endpoints will seek to validate the safety and efficacy of the SCS</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that will be activated in both in-vitro (lab) and in-vivo (animal) models. The Company’s objective is to conclude the follow up study and announce the data in the second half of 2019. The Company plans to use the findings either for its regulatory submissions in the US, Europe and other jurisdictions, or as part of a pre-submission meeting request, depending on the final results of the ongoing follow-up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Envigo</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over 3,300+ employees serving over 65 countries with a network of more than 25 operating facilities worldwide, Envigo provides comprehensive scientific expertise and a full service offering in non-clinical research and development, research models and services, regulatory consulting, and analytical support to our customers. Envigo is a privately held global company with corporate headquarters in New Jersey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6"/>
          <w:szCs w:val="16"/>
          <w:color w:val="auto"/>
        </w:rPr>
        <w:t>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w:t>
      </w:r>
    </w:p>
    <w:p>
      <w:pPr>
        <w:ind w:right="20" w:firstLine="8"/>
        <w:spacing w:after="0" w:line="270" w:lineRule="auto"/>
        <w:tabs>
          <w:tab w:leader="none" w:pos="197" w:val="left"/>
        </w:tabs>
        <w:numPr>
          <w:ilvl w:val="0"/>
          <w:numId w:val="4"/>
        </w:numPr>
        <w:rPr>
          <w:rFonts w:ascii="Arial" w:cs="Arial" w:eastAsia="Arial" w:hAnsi="Arial"/>
          <w:sz w:val="18"/>
          <w:szCs w:val="18"/>
          <w:color w:val="auto"/>
        </w:rPr>
      </w:pPr>
      <w:r>
        <w:rPr>
          <w:rFonts w:ascii="Arial" w:cs="Arial" w:eastAsia="Arial" w:hAnsi="Arial"/>
          <w:sz w:val="18"/>
          <w:szCs w:val="18"/>
          <w:color w:val="auto"/>
        </w:rPr>
        <w:t>artificial tubular lumens, applying the minimal necessary pressure to achieve the adequate friction required for gentle, fast, and safe advancement within the human body. To learn more about TipCAT</w:t>
      </w:r>
      <w:r>
        <w:rPr>
          <w:rFonts w:ascii="Arial" w:cs="Arial" w:eastAsia="Arial" w:hAnsi="Arial"/>
          <w:sz w:val="30"/>
          <w:szCs w:val="30"/>
          <w:color w:val="auto"/>
          <w:vertAlign w:val="superscript"/>
        </w:rPr>
        <w:t>TM</w:t>
      </w:r>
      <w:r>
        <w:rPr>
          <w:rFonts w:ascii="Arial" w:cs="Arial" w:eastAsia="Arial" w:hAnsi="Arial"/>
          <w:sz w:val="18"/>
          <w:szCs w:val="18"/>
          <w:color w:val="auto"/>
        </w:rPr>
        <w:t>, visit http://www.microbotmedical.com/technology/tipcat/.</w:t>
      </w:r>
    </w:p>
    <w:p>
      <w:pPr>
        <w:spacing w:after="0" w:line="57"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contemplates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w:t>
      </w:r>
    </w:p>
    <w:p>
      <w:pPr>
        <w:jc w:val="both"/>
        <w:spacing w:after="0" w:line="217" w:lineRule="auto"/>
        <w:rPr>
          <w:sz w:val="20"/>
          <w:szCs w:val="20"/>
          <w:color w:val="auto"/>
        </w:rPr>
      </w:pPr>
      <w:r>
        <w:rPr>
          <w:rFonts w:ascii="Arial" w:cs="Arial" w:eastAsia="Arial" w:hAnsi="Arial"/>
          <w:sz w:val="18"/>
          <w:szCs w:val="18"/>
          <w:color w:val="auto"/>
        </w:rPr>
        <w:t>the potential to 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pathways and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226060</wp:posOffset>
            </wp:positionV>
            <wp:extent cx="2212340" cy="823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212340" cy="823595"/>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Microbot Medical Increases its Global IP Portfolio with Notice of Allowance from the European Patent Office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HINGHAM, Mass., January 14, 2019 </w:t>
      </w:r>
      <w:r>
        <w:rPr>
          <w:rFonts w:ascii="Arial" w:cs="Arial" w:eastAsia="Arial" w:hAnsi="Arial"/>
          <w:sz w:val="18"/>
          <w:szCs w:val="18"/>
          <w:color w:val="auto"/>
        </w:rPr>
        <w:t>– Microbot Medical Inc. (NASDAQ: MBOT), received a notification from the European Patent Office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grant a patent for Application No. 08738207, which covers the Company’s ViRob™ technology platform. Including this latest notification, the Company has 30 issued/allowed patents and 18 patent applications pending worldwide.</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of this European patent application further strengthens our global intellectual property estate covering micro-robotic technology platform,” commented Harel Gadot, CEO, President and Chairman. “As we have demonstrated since becoming a publicly traded company, we are creating significant barriers to entry and this combined with the positive safety data we continue to achieve with our Self-Cleaning Shunt (SCS™), are reinforcing our pillars for success.”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allowed application covers an autonomous vibration-driven device for motion relative to a juxtaposed surface, such as an inner wall of a lumen. The device includes a body and an array of fibers attached thereto, with at least some of the fibers maintaining contact with the juxtaposed surface and having anisotropic surface friction therewith, such that mutual vibratory motion between the device and the juxtaposed surface causes the device to move along the surface.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w:t>
      </w:r>
      <w:r>
        <w:rPr>
          <w:rFonts w:ascii="Arial" w:cs="Arial" w:eastAsia="Arial" w:hAnsi="Arial"/>
          <w:sz w:val="26"/>
          <w:szCs w:val="26"/>
          <w:color w:val="auto"/>
          <w:vertAlign w:val="superscript"/>
        </w:rPr>
        <w:t>TM</w:t>
      </w:r>
      <w:r>
        <w:rPr>
          <w:rFonts w:ascii="Arial" w:cs="Arial" w:eastAsia="Arial" w:hAnsi="Arial"/>
          <w:sz w:val="16"/>
          <w:szCs w:val="16"/>
          <w:color w:val="auto"/>
        </w:rPr>
        <w:t>, TipCAT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and CardioSert</w:t>
      </w:r>
      <w:r>
        <w:rPr>
          <w:rFonts w:ascii="Arial" w:cs="Arial" w:eastAsia="Arial" w:hAnsi="Arial"/>
          <w:sz w:val="26"/>
          <w:szCs w:val="26"/>
          <w:color w:val="auto"/>
          <w:vertAlign w:val="superscript"/>
        </w:rPr>
        <w:t>TM</w:t>
      </w:r>
      <w:r>
        <w:rPr>
          <w:rFonts w:ascii="Arial" w:cs="Arial" w:eastAsia="Arial" w:hAnsi="Arial"/>
          <w:sz w:val="16"/>
          <w:szCs w:val="16"/>
          <w:color w:val="auto"/>
        </w:rPr>
        <w:t>, are comprised of three highly advanced technologies, from which the Company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currently developing its first product candidate: the Self Cleaning Shunt, or SCS</w:t>
      </w:r>
      <w:r>
        <w:rPr>
          <w:rFonts w:ascii="Arial" w:cs="Arial" w:eastAsia="Arial" w:hAnsi="Arial"/>
          <w:sz w:val="30"/>
          <w:szCs w:val="30"/>
          <w:color w:val="auto"/>
          <w:vertAlign w:val="superscript"/>
        </w:rPr>
        <w:t>TM</w:t>
      </w:r>
      <w:r>
        <w:rPr>
          <w:rFonts w:ascii="Arial" w:cs="Arial" w:eastAsia="Arial" w:hAnsi="Arial"/>
          <w:sz w:val="18"/>
          <w:szCs w:val="18"/>
          <w:color w:val="auto"/>
        </w:rPr>
        <w:t>, for the treatment of hydrocephalus and Normal Pressure Hydrocephalus, or NPH; and focusing on the development of a Multi Generation Pipeline Portfolio (MGPP) utilizing all technologies. Further information about Microbot Medical is available at http://www.microbotmedical.com.</w:t>
      </w:r>
    </w:p>
    <w:p>
      <w:pPr>
        <w:spacing w:after="0" w:line="207"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please visit http://www.microbotmedical.com/technology/virob/.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198120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 w:name="page11"/>
    <w:bookmarkEnd w:id="10"/>
    <w:p>
      <w:pPr>
        <w:jc w:val="both"/>
        <w:spacing w:after="0" w:line="239" w:lineRule="auto"/>
        <w:rPr>
          <w:sz w:val="20"/>
          <w:szCs w:val="20"/>
          <w:color w:val="auto"/>
        </w:rPr>
      </w:pPr>
      <w:r>
        <w:rPr>
          <w:rFonts w:ascii="Arial" w:cs="Arial" w:eastAsia="Arial" w:hAnsi="Arial"/>
          <w:sz w:val="18"/>
          <w:szCs w:val="18"/>
          <w:color w:val="auto"/>
        </w:rPr>
        <w:t>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is a transformational self-propelled, flexible, and semi-disposable endoscope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w:t>
      </w:r>
      <w:r>
        <w:rPr>
          <w:rFonts w:ascii="Arial" w:cs="Arial" w:eastAsia="Arial" w:hAnsi="Arial"/>
          <w:sz w:val="29"/>
          <w:szCs w:val="29"/>
          <w:color w:val="auto"/>
          <w:vertAlign w:val="superscript"/>
        </w:rPr>
        <w:t>TM</w:t>
      </w:r>
      <w:r>
        <w:rPr>
          <w:rFonts w:ascii="Arial" w:cs="Arial" w:eastAsia="Arial" w:hAnsi="Arial"/>
          <w:sz w:val="18"/>
          <w:szCs w:val="18"/>
          <w:color w:val="auto"/>
        </w:rPr>
        <w:t>, visit http://www.microbotmedical.com/technology/tipcat/.</w:t>
      </w:r>
    </w:p>
    <w:p>
      <w:pPr>
        <w:spacing w:after="0" w:line="85" w:lineRule="exact"/>
        <w:rPr>
          <w:sz w:val="20"/>
          <w:szCs w:val="20"/>
          <w:color w:val="auto"/>
        </w:rPr>
      </w:pPr>
    </w:p>
    <w:p>
      <w:pPr>
        <w:jc w:val="both"/>
        <w:spacing w:after="0" w:line="227" w:lineRule="auto"/>
        <w:rPr>
          <w:sz w:val="20"/>
          <w:szCs w:val="20"/>
          <w:color w:val="auto"/>
        </w:rPr>
      </w:pPr>
      <w:r>
        <w:rPr>
          <w:rFonts w:ascii="Arial" w:cs="Arial" w:eastAsia="Arial" w:hAnsi="Arial"/>
          <w:sz w:val="16"/>
          <w:szCs w:val="16"/>
          <w:color w:val="auto"/>
        </w:rPr>
        <w:t>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is a unique combination of a guidewire and microcatheter, technologies that are broadly used for endoluminal surgery. The CardioSert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w:t>
      </w:r>
    </w:p>
    <w:p>
      <w:pPr>
        <w:jc w:val="both"/>
        <w:spacing w:after="0" w:line="217" w:lineRule="auto"/>
        <w:rPr>
          <w:sz w:val="20"/>
          <w:szCs w:val="20"/>
          <w:color w:val="auto"/>
        </w:rPr>
      </w:pPr>
      <w:r>
        <w:rPr>
          <w:rFonts w:ascii="Arial" w:cs="Arial" w:eastAsia="Arial" w:hAnsi="Arial"/>
          <w:sz w:val="18"/>
          <w:szCs w:val="18"/>
          <w:color w:val="auto"/>
        </w:rPr>
        <w:t>be used in other spaces and applications, such as peripheral intervention, neurosurgery and urology. CardioSert</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was part of a technological incubator supported by the Israel Innovation Authorities (formerly known as the Office of the Chief Scientist, or OCS), and its device has successfully completed pre-clinical testing.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and maintenance of intellectual property rights.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6" w:right="2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2019-12-28T17:07:16Z</dcterms:created>
  <dcterms:modified xsi:type="dcterms:W3CDTF">2019-12-28T17:07:16Z</dcterms:modified>
</cp:coreProperties>
</file>