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SCHIFFMAN GREGORY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03/15/2016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NEWARK</w:t>
            </w:r>
          </w:p>
        </w:tc>
        <w:tc>
          <w:tcPr>
            <w:tcW w:w="1100" w:type="dxa"/>
            <w:vAlign w:val="bottom"/>
          </w:tcPr>
          <w:p>
            <w:pPr>
              <w:ind w:left="26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94560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03/15/2016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720,000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jc w:val="center"/>
              <w:ind w:right="137"/>
              <w:spacing w:after="0"/>
              <w:rPr>
                <w:sz w:val="20"/>
                <w:szCs w:val="20"/>
                <w:color w:val="auto"/>
              </w:rPr>
            </w:pPr>
            <w:r>
              <w:rPr>
                <w:rFonts w:ascii="Arial" w:cs="Arial" w:eastAsia="Arial" w:hAnsi="Arial"/>
                <w:sz w:val="18"/>
                <w:szCs w:val="18"/>
                <w:color w:val="0000FF"/>
              </w:rPr>
              <w:t>1,599,717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0000FF"/>
                <w:w w:val="87"/>
              </w:rPr>
              <w:t>21,597</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with performance based vesting set by the issuer's Board of Directors and tied to the timely and successful conduct and completion of the issuer's Phase II clinical study in spinal cord injury.</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175,000 restricted stock units, with 87,500 of these vesting on each of January 1, 2017 and January 1, 2018; and (2) 118,666 restricted stock units, with 59,333 of these vesting on each of January 8, 2017 and January 8, 2018; and (3) 970,000 restricted stock units with performance based vesting.</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04/18/2016</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901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2019-12-24T03:18:19Z</dcterms:created>
  <dcterms:modified xsi:type="dcterms:W3CDTF">2019-12-24T03:18:19Z</dcterms:modified>
</cp:coreProperties>
</file>