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219"/>
        <w:spacing w:after="0"/>
        <w:rPr>
          <w:sz w:val="20"/>
          <w:szCs w:val="20"/>
          <w:color w:val="auto"/>
        </w:rPr>
      </w:pPr>
      <w:r>
        <w:rPr>
          <w:rFonts w:ascii="Arial" w:cs="Arial" w:eastAsia="Arial" w:hAnsi="Arial"/>
          <w:sz w:val="24"/>
          <w:szCs w:val="24"/>
          <w:b w:val="1"/>
          <w:bCs w:val="1"/>
          <w:color w:val="auto"/>
        </w:rPr>
        <w:t>SECURITIES AND EXCHANGE COMMISSION</w:t>
      </w:r>
    </w:p>
    <w:p>
      <w:pPr>
        <w:jc w:val="center"/>
        <w:ind w:right="-219"/>
        <w:spacing w:after="0" w:line="233" w:lineRule="auto"/>
        <w:rPr>
          <w:sz w:val="20"/>
          <w:szCs w:val="20"/>
          <w:color w:val="auto"/>
        </w:rPr>
      </w:pPr>
      <w:r>
        <w:rPr>
          <w:rFonts w:ascii="Arial" w:cs="Arial" w:eastAsia="Arial" w:hAnsi="Arial"/>
          <w:sz w:val="22"/>
          <w:szCs w:val="22"/>
          <w:b w:val="1"/>
          <w:bCs w:val="1"/>
          <w:color w:val="auto"/>
        </w:rPr>
        <w:t>Washington, D.C. 20549</w:t>
      </w:r>
    </w:p>
    <w:p>
      <w:pPr>
        <w:jc w:val="center"/>
        <w:ind w:right="-219"/>
        <w:spacing w:after="0"/>
        <w:rPr>
          <w:sz w:val="20"/>
          <w:szCs w:val="20"/>
          <w:color w:val="auto"/>
        </w:rPr>
      </w:pPr>
      <w:r>
        <w:rPr>
          <w:rFonts w:ascii="Arial" w:cs="Arial" w:eastAsia="Arial" w:hAnsi="Arial"/>
          <w:sz w:val="32"/>
          <w:szCs w:val="32"/>
          <w:b w:val="1"/>
          <w:bCs w:val="1"/>
          <w:color w:val="auto"/>
        </w:rPr>
        <w:t>SCHEDULE 14A</w:t>
      </w:r>
    </w:p>
    <w:p>
      <w:pPr>
        <w:spacing w:after="0" w:line="7"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(RULE 14a-101)</w:t>
      </w:r>
    </w:p>
    <w:p>
      <w:pPr>
        <w:jc w:val="center"/>
        <w:ind w:right="-219"/>
        <w:spacing w:after="0" w:line="230" w:lineRule="auto"/>
        <w:rPr>
          <w:sz w:val="20"/>
          <w:szCs w:val="20"/>
          <w:color w:val="auto"/>
        </w:rPr>
      </w:pPr>
      <w:r>
        <w:rPr>
          <w:rFonts w:ascii="Arial" w:cs="Arial" w:eastAsia="Arial" w:hAnsi="Arial"/>
          <w:sz w:val="22"/>
          <w:szCs w:val="22"/>
          <w:b w:val="1"/>
          <w:bCs w:val="1"/>
          <w:color w:val="auto"/>
        </w:rPr>
        <w:t>INFORMATION REQUIRED IN PROXY STATEMENT</w:t>
      </w:r>
    </w:p>
    <w:p>
      <w:pPr>
        <w:jc w:val="center"/>
        <w:ind w:right="-219"/>
        <w:spacing w:after="0"/>
        <w:rPr>
          <w:sz w:val="20"/>
          <w:szCs w:val="20"/>
          <w:color w:val="auto"/>
        </w:rPr>
      </w:pPr>
      <w:r>
        <w:rPr>
          <w:rFonts w:ascii="Arial" w:cs="Arial" w:eastAsia="Arial" w:hAnsi="Arial"/>
          <w:sz w:val="22"/>
          <w:szCs w:val="22"/>
          <w:b w:val="1"/>
          <w:bCs w:val="1"/>
          <w:color w:val="auto"/>
        </w:rPr>
        <w:t>SCHEDULE 14A INFORMATION</w:t>
      </w:r>
    </w:p>
    <w:p>
      <w:pPr>
        <w:jc w:val="center"/>
        <w:ind w:right="-219"/>
        <w:spacing w:after="0"/>
        <w:rPr>
          <w:sz w:val="20"/>
          <w:szCs w:val="20"/>
          <w:color w:val="auto"/>
        </w:rPr>
      </w:pPr>
      <w:r>
        <w:rPr>
          <w:rFonts w:ascii="Arial" w:cs="Arial" w:eastAsia="Arial" w:hAnsi="Arial"/>
          <w:sz w:val="18"/>
          <w:szCs w:val="18"/>
          <w:b w:val="1"/>
          <w:bCs w:val="1"/>
          <w:color w:val="auto"/>
        </w:rPr>
        <w:t>Proxy Statement Pursuant to Section 14(a) of the Securities</w:t>
      </w:r>
    </w:p>
    <w:p>
      <w:pPr>
        <w:spacing w:after="0" w:line="1" w:lineRule="exact"/>
        <w:rPr>
          <w:sz w:val="24"/>
          <w:szCs w:val="24"/>
          <w:color w:val="auto"/>
        </w:rPr>
      </w:pPr>
    </w:p>
    <w:p>
      <w:pPr>
        <w:jc w:val="center"/>
        <w:ind w:right="-199"/>
        <w:spacing w:after="0"/>
        <w:tabs>
          <w:tab w:leader="none" w:pos="160" w:val="left"/>
        </w:tabs>
        <w:rPr>
          <w:sz w:val="20"/>
          <w:szCs w:val="20"/>
          <w:color w:val="auto"/>
        </w:rPr>
      </w:pPr>
      <w:r>
        <w:rPr>
          <w:rFonts w:ascii="Arial" w:cs="Arial" w:eastAsia="Arial" w:hAnsi="Arial"/>
          <w:sz w:val="16"/>
          <w:szCs w:val="16"/>
          <w:b w:val="1"/>
          <w:bCs w:val="1"/>
          <w:color w:val="auto"/>
        </w:rPr>
        <w:t>Exchange Act of 1934 (Amendment No.</w:t>
      </w:r>
      <w:r>
        <w:rPr>
          <w:sz w:val="20"/>
          <w:szCs w:val="20"/>
          <w:color w:val="auto"/>
        </w:rPr>
        <w:tab/>
      </w:r>
      <w:r>
        <w:rPr>
          <w:rFonts w:ascii="Arial" w:cs="Arial" w:eastAsia="Arial" w:hAnsi="Arial"/>
          <w:sz w:val="12"/>
          <w:szCs w:val="12"/>
          <w:b w:val="1"/>
          <w:bCs w:val="1"/>
          <w:color w:val="auto"/>
        </w:rPr>
        <w:t>)</w:t>
      </w:r>
    </w:p>
    <w:p>
      <w:pPr>
        <w:spacing w:after="0" w:line="32" w:lineRule="exact"/>
        <w:rPr>
          <w:sz w:val="24"/>
          <w:szCs w:val="24"/>
          <w:color w:val="auto"/>
        </w:rPr>
      </w:pPr>
    </w:p>
    <w:p>
      <w:pPr>
        <w:ind w:left="20"/>
        <w:spacing w:after="0" w:line="207" w:lineRule="exact"/>
        <w:tabs>
          <w:tab w:leader="none" w:pos="1780" w:val="left"/>
        </w:tabs>
        <w:rPr>
          <w:sz w:val="20"/>
          <w:szCs w:val="20"/>
          <w:color w:val="auto"/>
        </w:rPr>
      </w:pPr>
      <w:r>
        <w:rPr>
          <w:rFonts w:ascii="Arial" w:cs="Arial" w:eastAsia="Arial" w:hAnsi="Arial"/>
          <w:sz w:val="18"/>
          <w:szCs w:val="18"/>
          <w:color w:val="auto"/>
        </w:rPr>
        <w:t>Filed by the Registrant</w:t>
      </w:r>
      <w:r>
        <w:rPr>
          <w:sz w:val="20"/>
          <w:szCs w:val="20"/>
          <w:color w:val="auto"/>
        </w:rPr>
        <w:tab/>
      </w:r>
      <w:r>
        <w:rPr>
          <w:rFonts w:ascii="MS PGothic" w:cs="MS PGothic" w:eastAsia="MS PGothic" w:hAnsi="MS PGothic"/>
          <w:sz w:val="14"/>
          <w:szCs w:val="14"/>
          <w:color w:val="auto"/>
        </w:rPr>
        <w:t>☑</w:t>
      </w:r>
    </w:p>
    <w:p>
      <w:pPr>
        <w:spacing w:after="0" w:line="10" w:lineRule="exact"/>
        <w:rPr>
          <w:sz w:val="24"/>
          <w:szCs w:val="24"/>
          <w:color w:val="auto"/>
        </w:rPr>
      </w:pPr>
    </w:p>
    <w:p>
      <w:pPr>
        <w:ind w:left="2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6"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6"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3" w:lineRule="exact"/>
        <w:rPr>
          <w:sz w:val="24"/>
          <w:szCs w:val="24"/>
          <w:color w:val="auto"/>
        </w:rPr>
      </w:pPr>
    </w:p>
    <w:p>
      <w:pPr>
        <w:ind w:left="260" w:hanging="252"/>
        <w:spacing w:after="0"/>
        <w:tabs>
          <w:tab w:leader="none" w:pos="2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sz w:val="24"/>
          <w:szCs w:val="24"/>
          <w:color w:val="auto"/>
        </w:rPr>
      </w:pPr>
    </w:p>
    <w:p>
      <w:pPr>
        <w:ind w:left="260" w:hanging="252"/>
        <w:spacing w:after="0"/>
        <w:tabs>
          <w:tab w:leader="none" w:pos="2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8" w:lineRule="exact"/>
        <w:rPr>
          <w:sz w:val="24"/>
          <w:szCs w:val="24"/>
          <w:color w:val="auto"/>
        </w:rPr>
      </w:pPr>
    </w:p>
    <w:p>
      <w:pPr>
        <w:jc w:val="center"/>
        <w:ind w:right="-219"/>
        <w:spacing w:after="0"/>
        <w:rPr>
          <w:sz w:val="20"/>
          <w:szCs w:val="20"/>
          <w:color w:val="auto"/>
        </w:rPr>
      </w:pPr>
      <w:r>
        <w:rPr>
          <w:rFonts w:ascii="Arial" w:cs="Arial" w:eastAsia="Arial" w:hAnsi="Arial"/>
          <w:sz w:val="24"/>
          <w:szCs w:val="24"/>
          <w:b w:val="1"/>
          <w:bCs w:val="1"/>
          <w:color w:val="auto"/>
        </w:rPr>
        <w:t>STEMCELLS, INC.</w:t>
      </w:r>
    </w:p>
    <w:p>
      <w:pPr>
        <w:spacing w:after="0" w:line="21"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(Name of Registrant as Specified In Its Charter)</w:t>
      </w:r>
    </w:p>
    <w:p>
      <w:pPr>
        <w:spacing w:after="0" w:line="3" w:lineRule="exact"/>
        <w:rPr>
          <w:sz w:val="24"/>
          <w:szCs w:val="24"/>
          <w:color w:val="auto"/>
        </w:rPr>
      </w:pPr>
    </w:p>
    <w:p>
      <w:pPr>
        <w:ind w:left="318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9" w:lineRule="exact"/>
        <w:rPr>
          <w:sz w:val="24"/>
          <w:szCs w:val="24"/>
          <w:color w:val="auto"/>
        </w:rPr>
      </w:pPr>
    </w:p>
    <w:p>
      <w:pPr>
        <w:ind w:left="220" w:hanging="212"/>
        <w:spacing w:after="0"/>
        <w:tabs>
          <w:tab w:leader="none" w:pos="22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0" w:lineRule="exact"/>
        <w:rPr>
          <w:sz w:val="24"/>
          <w:szCs w:val="24"/>
          <w:color w:val="auto"/>
        </w:rPr>
      </w:pPr>
    </w:p>
    <w:p>
      <w:pPr>
        <w:ind w:left="260" w:hanging="252"/>
        <w:spacing w:after="0"/>
        <w:tabs>
          <w:tab w:leader="none" w:pos="2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15" w:lineRule="exact"/>
        <w:rPr>
          <w:rFonts w:ascii="MS PGothic" w:cs="MS PGothic" w:eastAsia="MS PGothic" w:hAnsi="MS PGothic"/>
          <w:sz w:val="18"/>
          <w:szCs w:val="18"/>
          <w:color w:val="auto"/>
        </w:rPr>
      </w:pPr>
    </w:p>
    <w:p>
      <w:pPr>
        <w:ind w:left="800" w:hanging="248"/>
        <w:spacing w:after="0"/>
        <w:tabs>
          <w:tab w:leader="none" w:pos="8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1" w:lineRule="exact"/>
        <w:rPr>
          <w:rFonts w:ascii="Arial" w:cs="Arial" w:eastAsia="Arial" w:hAnsi="Arial"/>
          <w:sz w:val="18"/>
          <w:szCs w:val="18"/>
          <w:color w:val="auto"/>
        </w:rPr>
      </w:pPr>
    </w:p>
    <w:p>
      <w:pPr>
        <w:ind w:left="800" w:hanging="248"/>
        <w:spacing w:after="0"/>
        <w:tabs>
          <w:tab w:leader="none" w:pos="8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9" w:lineRule="exact"/>
        <w:rPr>
          <w:rFonts w:ascii="Arial" w:cs="Arial" w:eastAsia="Arial" w:hAnsi="Arial"/>
          <w:sz w:val="18"/>
          <w:szCs w:val="18"/>
          <w:color w:val="auto"/>
        </w:rPr>
      </w:pPr>
    </w:p>
    <w:p>
      <w:pPr>
        <w:ind w:firstLine="552"/>
        <w:spacing w:after="0" w:line="250" w:lineRule="auto"/>
        <w:tabs>
          <w:tab w:leader="none" w:pos="793"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ind w:left="800" w:hanging="248"/>
        <w:spacing w:after="0"/>
        <w:tabs>
          <w:tab w:leader="none" w:pos="8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9" w:lineRule="exact"/>
        <w:rPr>
          <w:rFonts w:ascii="Arial" w:cs="Arial" w:eastAsia="Arial" w:hAnsi="Arial"/>
          <w:sz w:val="18"/>
          <w:szCs w:val="18"/>
          <w:color w:val="auto"/>
        </w:rPr>
      </w:pPr>
    </w:p>
    <w:p>
      <w:pPr>
        <w:ind w:left="800" w:hanging="248"/>
        <w:spacing w:after="0"/>
        <w:tabs>
          <w:tab w:leader="none" w:pos="8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9" w:lineRule="exact"/>
        <w:rPr>
          <w:sz w:val="24"/>
          <w:szCs w:val="24"/>
          <w:color w:val="auto"/>
        </w:rPr>
      </w:pPr>
    </w:p>
    <w:p>
      <w:pPr>
        <w:ind w:left="840" w:hanging="288"/>
        <w:spacing w:after="0"/>
        <w:tabs>
          <w:tab w:leader="none" w:pos="84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64" w:lineRule="exact"/>
        <w:rPr>
          <w:rFonts w:ascii="MS PGothic" w:cs="MS PGothic" w:eastAsia="MS PGothic" w:hAnsi="MS PGothic"/>
          <w:sz w:val="18"/>
          <w:szCs w:val="18"/>
          <w:color w:val="auto"/>
        </w:rPr>
      </w:pPr>
    </w:p>
    <w:p>
      <w:pPr>
        <w:ind w:right="120" w:firstLine="552"/>
        <w:spacing w:after="0" w:line="286" w:lineRule="auto"/>
        <w:tabs>
          <w:tab w:leader="none" w:pos="838" w:val="left"/>
        </w:tabs>
        <w:numPr>
          <w:ilvl w:val="0"/>
          <w:numId w:val="6"/>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560"/>
        <w:spacing w:after="0"/>
        <w:rPr>
          <w:rFonts w:ascii="MS PGothic" w:cs="MS PGothic" w:eastAsia="MS PGothic" w:hAnsi="MS PGothic"/>
          <w:sz w:val="16"/>
          <w:szCs w:val="16"/>
          <w:color w:val="auto"/>
        </w:rPr>
      </w:pPr>
      <w:r>
        <w:rPr>
          <w:rFonts w:ascii="Arial" w:cs="Arial" w:eastAsia="Arial" w:hAnsi="Arial"/>
          <w:sz w:val="18"/>
          <w:szCs w:val="18"/>
          <w:color w:val="auto"/>
        </w:rPr>
        <w:t>(1) Amount Previously Paid:</w:t>
      </w:r>
    </w:p>
    <w:p>
      <w:pPr>
        <w:spacing w:after="0" w:line="9" w:lineRule="exact"/>
        <w:rPr>
          <w:rFonts w:ascii="MS PGothic" w:cs="MS PGothic" w:eastAsia="MS PGothic" w:hAnsi="MS PGothic"/>
          <w:sz w:val="16"/>
          <w:szCs w:val="16"/>
          <w:color w:val="auto"/>
        </w:rPr>
      </w:pPr>
    </w:p>
    <w:p>
      <w:pPr>
        <w:ind w:left="560"/>
        <w:spacing w:after="0"/>
        <w:rPr>
          <w:rFonts w:ascii="MS PGothic" w:cs="MS PGothic" w:eastAsia="MS PGothic" w:hAnsi="MS PGothic"/>
          <w:sz w:val="16"/>
          <w:szCs w:val="16"/>
          <w:color w:val="auto"/>
        </w:rPr>
      </w:pPr>
      <w:r>
        <w:rPr>
          <w:rFonts w:ascii="Arial" w:cs="Arial" w:eastAsia="Arial" w:hAnsi="Arial"/>
          <w:sz w:val="18"/>
          <w:szCs w:val="18"/>
          <w:color w:val="auto"/>
        </w:rPr>
        <w:t>(2) Form, Schedule or Registration Statement No.:</w:t>
      </w:r>
    </w:p>
    <w:p>
      <w:pPr>
        <w:spacing w:after="0" w:line="9" w:lineRule="exact"/>
        <w:rPr>
          <w:rFonts w:ascii="MS PGothic" w:cs="MS PGothic" w:eastAsia="MS PGothic" w:hAnsi="MS PGothic"/>
          <w:sz w:val="16"/>
          <w:szCs w:val="16"/>
          <w:color w:val="auto"/>
        </w:rPr>
      </w:pPr>
    </w:p>
    <w:p>
      <w:pPr>
        <w:ind w:left="560"/>
        <w:spacing w:after="0"/>
        <w:rPr>
          <w:rFonts w:ascii="MS PGothic" w:cs="MS PGothic" w:eastAsia="MS PGothic" w:hAnsi="MS PGothic"/>
          <w:sz w:val="16"/>
          <w:szCs w:val="16"/>
          <w:color w:val="auto"/>
        </w:rPr>
      </w:pPr>
      <w:r>
        <w:rPr>
          <w:rFonts w:ascii="Arial" w:cs="Arial" w:eastAsia="Arial" w:hAnsi="Arial"/>
          <w:sz w:val="18"/>
          <w:szCs w:val="18"/>
          <w:color w:val="auto"/>
        </w:rPr>
        <w:t>(3) Filing Party:</w:t>
      </w:r>
    </w:p>
    <w:p>
      <w:pPr>
        <w:spacing w:after="0" w:line="9" w:lineRule="exact"/>
        <w:rPr>
          <w:rFonts w:ascii="MS PGothic" w:cs="MS PGothic" w:eastAsia="MS PGothic" w:hAnsi="MS PGothic"/>
          <w:sz w:val="16"/>
          <w:szCs w:val="16"/>
          <w:color w:val="auto"/>
        </w:rPr>
      </w:pPr>
    </w:p>
    <w:p>
      <w:pPr>
        <w:ind w:left="560"/>
        <w:spacing w:after="0"/>
        <w:rPr>
          <w:rFonts w:ascii="MS PGothic" w:cs="MS PGothic" w:eastAsia="MS PGothic" w:hAnsi="MS PGothic"/>
          <w:sz w:val="16"/>
          <w:szCs w:val="16"/>
          <w:color w:val="auto"/>
        </w:rPr>
      </w:pPr>
      <w:r>
        <w:rPr>
          <w:rFonts w:ascii="Arial" w:cs="Arial" w:eastAsia="Arial" w:hAnsi="Arial"/>
          <w:sz w:val="18"/>
          <w:szCs w:val="18"/>
          <w:color w:val="auto"/>
        </w:rPr>
        <w:t>(4) Date Filed:</w:t>
      </w:r>
    </w:p>
    <w:p>
      <w:pPr>
        <w:spacing w:after="0" w:line="200" w:lineRule="exact"/>
        <w:rPr>
          <w:sz w:val="24"/>
          <w:szCs w:val="24"/>
          <w:color w:val="auto"/>
        </w:rPr>
      </w:pPr>
    </w:p>
    <w:p>
      <w:pPr>
        <w:spacing w:after="0" w:line="242" w:lineRule="exact"/>
        <w:rPr>
          <w:sz w:val="24"/>
          <w:szCs w:val="24"/>
          <w:color w:val="auto"/>
        </w:rPr>
      </w:pPr>
    </w:p>
    <w:p>
      <w:pPr>
        <w:ind w:left="1620" w:right="200" w:hanging="1606"/>
        <w:spacing w:after="0" w:line="275" w:lineRule="auto"/>
        <w:tabs>
          <w:tab w:leader="none" w:pos="1600" w:val="left"/>
        </w:tabs>
        <w:rPr>
          <w:sz w:val="20"/>
          <w:szCs w:val="20"/>
          <w:color w:val="auto"/>
        </w:rPr>
      </w:pPr>
      <w:r>
        <w:rPr>
          <w:rFonts w:ascii="Arial" w:cs="Arial" w:eastAsia="Arial" w:hAnsi="Arial"/>
          <w:sz w:val="18"/>
          <w:szCs w:val="18"/>
          <w:color w:val="auto"/>
        </w:rPr>
        <w:t>SEC 1913 (02-02)</w:t>
      </w:r>
      <w:r>
        <w:rPr>
          <w:sz w:val="20"/>
          <w:szCs w:val="20"/>
          <w:color w:val="auto"/>
        </w:rPr>
        <w:tab/>
      </w:r>
      <w:r>
        <w:rPr>
          <w:rFonts w:ascii="Arial" w:cs="Arial" w:eastAsia="Arial" w:hAnsi="Arial"/>
          <w:sz w:val="18"/>
          <w:szCs w:val="18"/>
          <w:b w:val="1"/>
          <w:bCs w:val="1"/>
          <w:color w:val="auto"/>
        </w:rPr>
        <w:t>Persons who are to respond to the collection of information contained in this form are not required to respond unless the form displays a currently valid OMB control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20"/>
          </w:cols>
          <w:pgMar w:left="240" w:top="219" w:right="43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4"/>
          <w:szCs w:val="14"/>
          <w:color w:val="FFFFFF"/>
        </w:rPr>
        <w:t>*** Exercise Your Right to Vote ***</w:t>
      </w:r>
    </w:p>
    <w:p>
      <w:pPr>
        <w:spacing w:after="0"/>
        <w:rPr>
          <w:sz w:val="20"/>
          <w:szCs w:val="20"/>
          <w:color w:val="auto"/>
        </w:rPr>
      </w:pPr>
      <w:r>
        <w:rPr>
          <w:rFonts w:ascii="Arial" w:cs="Arial" w:eastAsia="Arial" w:hAnsi="Arial"/>
          <w:sz w:val="3"/>
          <w:szCs w:val="3"/>
          <w:color w:val="FFFFFF"/>
        </w:rPr>
        <w:t>Important Notice Regarding the Availability of Proxy Materials for the Shareholder Meeting to Be Held on June 13, 2012.</w:t>
      </w:r>
    </w:p>
    <w:p>
      <w:pPr>
        <w:spacing w:after="0" w:line="190" w:lineRule="auto"/>
        <w:rPr>
          <w:sz w:val="20"/>
          <w:szCs w:val="20"/>
          <w:color w:val="auto"/>
        </w:rPr>
      </w:pPr>
      <w:r>
        <w:rPr>
          <w:rFonts w:ascii="Arial" w:cs="Arial" w:eastAsia="Arial" w:hAnsi="Arial"/>
          <w:sz w:val="14"/>
          <w:szCs w:val="14"/>
          <w:color w:val="FFFFFF"/>
        </w:rPr>
        <w:t>STEMCELLS, INC.</w:t>
      </w:r>
    </w:p>
    <w:p>
      <w:pPr>
        <w:spacing w:after="0" w:line="211" w:lineRule="auto"/>
        <w:rPr>
          <w:sz w:val="20"/>
          <w:szCs w:val="20"/>
          <w:color w:val="auto"/>
        </w:rPr>
      </w:pPr>
      <w:r>
        <w:rPr>
          <w:rFonts w:ascii="Arial" w:cs="Arial" w:eastAsia="Arial" w:hAnsi="Arial"/>
          <w:sz w:val="4"/>
          <w:szCs w:val="4"/>
          <w:color w:val="FFFFFF"/>
          <w:vertAlign w:val="subscript"/>
        </w:rPr>
        <w:t>Meeting</w:t>
      </w:r>
      <w:r>
        <w:rPr>
          <w:rFonts w:ascii="Arial" w:cs="Arial" w:eastAsia="Arial" w:hAnsi="Arial"/>
          <w:sz w:val="2"/>
          <w:szCs w:val="2"/>
          <w:color w:val="FFFFFF"/>
        </w:rPr>
        <w:t>C/OEQUISERVEInformationTRUST COMPANY N.A. P.O. BOX 8694 EDISON, NJ 08818-8694</w:t>
      </w:r>
    </w:p>
    <w:p>
      <w:pPr>
        <w:ind w:left="500"/>
        <w:spacing w:after="0" w:line="188" w:lineRule="auto"/>
        <w:rPr>
          <w:sz w:val="20"/>
          <w:szCs w:val="20"/>
          <w:color w:val="auto"/>
        </w:rPr>
      </w:pPr>
      <w:r>
        <w:rPr>
          <w:rFonts w:ascii="Arial" w:cs="Arial" w:eastAsia="Arial" w:hAnsi="Arial"/>
          <w:sz w:val="9"/>
          <w:szCs w:val="9"/>
          <w:color w:val="FFFFFF"/>
        </w:rPr>
        <w:t>Type: Annual Meeting For holders as of: April 20, 2012</w:t>
      </w:r>
    </w:p>
    <w:p>
      <w:pPr>
        <w:spacing w:after="0"/>
        <w:rPr>
          <w:sz w:val="20"/>
          <w:szCs w:val="20"/>
          <w:color w:val="auto"/>
        </w:rPr>
      </w:pPr>
      <w:r>
        <w:rPr>
          <w:rFonts w:ascii="Arial" w:cs="Arial" w:eastAsia="Arial" w:hAnsi="Arial"/>
          <w:sz w:val="3"/>
          <w:szCs w:val="3"/>
          <w:color w:val="FFFFFF"/>
        </w:rPr>
        <w:t>YouDate:areJunereceiving13,2012thisTime:communication2:00PMLocation:because 7707youholdGatewaysharesBoulevardintheaboveNewark,namedCaliforniacompany.</w:t>
      </w:r>
    </w:p>
    <w:p>
      <w:pPr>
        <w:spacing w:after="0" w:line="194" w:lineRule="auto"/>
        <w:rPr>
          <w:sz w:val="20"/>
          <w:szCs w:val="20"/>
          <w:color w:val="auto"/>
        </w:rPr>
      </w:pPr>
      <w:r>
        <w:rPr>
          <w:rFonts w:ascii="Arial" w:cs="Arial" w:eastAsia="Arial" w:hAnsi="Arial"/>
          <w:sz w:val="3"/>
          <w:szCs w:val="3"/>
          <w:color w:val="FFFFFF"/>
        </w:rPr>
        <w:t>This is not</w:t>
      </w:r>
      <w:r>
        <w:rPr>
          <w:rFonts w:ascii="Arial" w:cs="Arial" w:eastAsia="Arial" w:hAnsi="Arial"/>
          <w:sz w:val="5"/>
          <w:szCs w:val="5"/>
          <w:color w:val="FFFFFF"/>
          <w:vertAlign w:val="subscript"/>
        </w:rPr>
        <w:t>materials</w:t>
      </w:r>
      <w:r>
        <w:rPr>
          <w:rFonts w:ascii="Arial" w:cs="Arial" w:eastAsia="Arial" w:hAnsi="Arial"/>
          <w:sz w:val="3"/>
          <w:szCs w:val="3"/>
          <w:color w:val="FFFFFF"/>
        </w:rPr>
        <w:t>ballot. You cannot use this notice to vote these shares. This communication presents only an overview of the more complete proxy materials that are available to you on the Internet. You may view</w:t>
      </w:r>
    </w:p>
    <w:p>
      <w:pPr>
        <w:spacing w:after="0" w:line="211" w:lineRule="auto"/>
        <w:tabs>
          <w:tab w:leader="none" w:pos="1060" w:val="left"/>
        </w:tabs>
        <w:rPr>
          <w:sz w:val="20"/>
          <w:szCs w:val="20"/>
          <w:color w:val="auto"/>
        </w:rPr>
      </w:pPr>
      <w:r>
        <w:rPr>
          <w:rFonts w:ascii="Arial" w:cs="Arial" w:eastAsia="Arial" w:hAnsi="Arial"/>
          <w:sz w:val="3"/>
          <w:szCs w:val="3"/>
          <w:color w:val="FFFFFF"/>
        </w:rPr>
        <w:t>the proxy</w:t>
      </w:r>
      <w:r>
        <w:rPr>
          <w:sz w:val="20"/>
          <w:szCs w:val="20"/>
          <w:color w:val="auto"/>
        </w:rPr>
        <w:tab/>
      </w:r>
      <w:r>
        <w:rPr>
          <w:rFonts w:ascii="Arial" w:cs="Arial" w:eastAsia="Arial" w:hAnsi="Arial"/>
          <w:sz w:val="2"/>
          <w:szCs w:val="2"/>
          <w:color w:val="FFFFFF"/>
        </w:rPr>
        <w:t>online</w:t>
      </w:r>
      <w:r>
        <w:rPr>
          <w:rFonts w:ascii="Arial" w:cs="Arial" w:eastAsia="Arial" w:hAnsi="Arial"/>
          <w:sz w:val="4"/>
          <w:szCs w:val="4"/>
          <w:color w:val="FFFFFF"/>
          <w:vertAlign w:val="subscript"/>
        </w:rPr>
        <w:t>access</w:t>
      </w:r>
      <w:r>
        <w:rPr>
          <w:rFonts w:ascii="Arial" w:cs="Arial" w:eastAsia="Arial" w:hAnsi="Arial"/>
          <w:sz w:val="2"/>
          <w:szCs w:val="2"/>
          <w:color w:val="FFFFFF"/>
        </w:rPr>
        <w:t>at www.proxyvote.com</w:t>
      </w:r>
      <w:r>
        <w:rPr>
          <w:rFonts w:ascii="Arial" w:cs="Arial" w:eastAsia="Arial" w:hAnsi="Arial"/>
          <w:sz w:val="4"/>
          <w:szCs w:val="4"/>
          <w:color w:val="FFFFFF"/>
          <w:vertAlign w:val="subscript"/>
        </w:rPr>
        <w:t>important</w:t>
      </w:r>
      <w:r>
        <w:rPr>
          <w:rFonts w:ascii="Arial" w:cs="Arial" w:eastAsia="Arial" w:hAnsi="Arial"/>
          <w:sz w:val="2"/>
          <w:szCs w:val="2"/>
          <w:color w:val="FFFFFF"/>
        </w:rPr>
        <w:t>easily request</w:t>
      </w:r>
      <w:r>
        <w:rPr>
          <w:rFonts w:ascii="Arial" w:cs="Arial" w:eastAsia="Arial" w:hAnsi="Arial"/>
          <w:sz w:val="4"/>
          <w:szCs w:val="4"/>
          <w:color w:val="FFFFFF"/>
          <w:vertAlign w:val="subscript"/>
        </w:rPr>
        <w:t>information</w:t>
      </w:r>
      <w:r>
        <w:rPr>
          <w:rFonts w:ascii="Arial" w:cs="Arial" w:eastAsia="Arial" w:hAnsi="Arial"/>
          <w:sz w:val="2"/>
          <w:szCs w:val="2"/>
          <w:color w:val="FFFFFF"/>
        </w:rPr>
        <w:t>paper copy (see reverse side).</w:t>
      </w:r>
    </w:p>
    <w:p>
      <w:pPr>
        <w:spacing w:after="0" w:line="212" w:lineRule="auto"/>
        <w:rPr>
          <w:sz w:val="20"/>
          <w:szCs w:val="20"/>
          <w:color w:val="auto"/>
        </w:rPr>
      </w:pPr>
      <w:r>
        <w:rPr>
          <w:rFonts w:ascii="Arial" w:cs="Arial" w:eastAsia="Arial" w:hAnsi="Arial"/>
          <w:sz w:val="4"/>
          <w:szCs w:val="4"/>
          <w:color w:val="FFFFFF"/>
          <w:vertAlign w:val="superscript"/>
        </w:rPr>
        <w:t>See</w:t>
      </w:r>
    </w:p>
    <w:p>
      <w:pPr>
        <w:spacing w:after="0"/>
        <w:rPr>
          <w:sz w:val="20"/>
          <w:szCs w:val="20"/>
          <w:color w:val="auto"/>
        </w:rPr>
      </w:pPr>
      <w:r>
        <w:rPr>
          <w:rFonts w:ascii="Arial" w:cs="Arial" w:eastAsia="Arial" w:hAnsi="Arial"/>
          <w:sz w:val="3"/>
          <w:szCs w:val="3"/>
          <w:color w:val="FFFFFF"/>
        </w:rPr>
        <w:t>W encouragethereverseyousidetoof this noticeandreviewtoobtainall proxyofthe materials and voting instructions.containedin the proxy materials before voting.</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M46682-P26533</w:t>
      </w:r>
    </w:p>
    <w:p>
      <w:pPr>
        <w:sectPr>
          <w:pgSz w:w="11900" w:h="16838" w:orient="portrait"/>
          <w:cols w:equalWidth="0" w:num="1">
            <w:col w:w="11280"/>
          </w:cols>
          <w:pgMar w:left="240" w:top="1440" w:right="37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20" w:type="dxa"/>
            <w:vAlign w:val="bottom"/>
            <w:gridSpan w:val="2"/>
          </w:tcPr>
          <w:p>
            <w:pPr>
              <w:spacing w:after="0"/>
              <w:rPr>
                <w:sz w:val="20"/>
                <w:szCs w:val="20"/>
                <w:color w:val="auto"/>
              </w:rPr>
            </w:pPr>
            <w:r>
              <w:rPr>
                <w:rFonts w:ascii="Arial" w:cs="Arial" w:eastAsia="Arial" w:hAnsi="Arial"/>
                <w:sz w:val="14"/>
                <w:szCs w:val="14"/>
                <w:color w:val="FFFFFF"/>
              </w:rPr>
              <w:t>— Before You Vote —</w:t>
            </w:r>
          </w:p>
        </w:tc>
        <w:tc>
          <w:tcPr>
            <w:tcW w:w="48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300" w:type="dxa"/>
            <w:vAlign w:val="bottom"/>
            <w:gridSpan w:val="3"/>
          </w:tcPr>
          <w:p>
            <w:pPr>
              <w:spacing w:after="0"/>
              <w:rPr>
                <w:sz w:val="20"/>
                <w:szCs w:val="20"/>
                <w:color w:val="auto"/>
              </w:rPr>
            </w:pPr>
            <w:r>
              <w:rPr>
                <w:rFonts w:ascii="Arial" w:cs="Arial" w:eastAsia="Arial" w:hAnsi="Arial"/>
                <w:sz w:val="3"/>
                <w:szCs w:val="3"/>
                <w:color w:val="FFFFFF"/>
              </w:rPr>
              <w:t>How to Access the Proxy Materials</w:t>
            </w:r>
          </w:p>
        </w:tc>
        <w:tc>
          <w:tcPr>
            <w:tcW w:w="8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0680" w:type="dxa"/>
            <w:vAlign w:val="bottom"/>
            <w:gridSpan w:val="4"/>
          </w:tcPr>
          <w:p>
            <w:pPr>
              <w:spacing w:after="0"/>
              <w:rPr>
                <w:sz w:val="20"/>
                <w:szCs w:val="20"/>
                <w:color w:val="auto"/>
              </w:rPr>
            </w:pPr>
            <w:r>
              <w:rPr>
                <w:rFonts w:ascii="Arial" w:cs="Arial" w:eastAsia="Arial" w:hAnsi="Arial"/>
                <w:sz w:val="3"/>
                <w:szCs w:val="3"/>
                <w:color w:val="FFFFFF"/>
              </w:rPr>
              <w:t>Proxy Materials Available to VIEW or RECEIVE:</w:t>
            </w:r>
          </w:p>
        </w:tc>
        <w:tc>
          <w:tcPr>
            <w:tcW w:w="0" w:type="dxa"/>
            <w:vAlign w:val="bottom"/>
          </w:tcPr>
          <w:p>
            <w:pPr>
              <w:spacing w:after="0"/>
              <w:rPr>
                <w:sz w:val="1"/>
                <w:szCs w:val="1"/>
                <w:color w:val="auto"/>
              </w:rPr>
            </w:pPr>
          </w:p>
        </w:tc>
      </w:tr>
      <w:tr>
        <w:trPr>
          <w:trHeight w:val="41"/>
        </w:trPr>
        <w:tc>
          <w:tcPr>
            <w:tcW w:w="10680" w:type="dxa"/>
            <w:vAlign w:val="bottom"/>
            <w:gridSpan w:val="4"/>
          </w:tcPr>
          <w:p>
            <w:pPr>
              <w:spacing w:after="0"/>
              <w:rPr>
                <w:sz w:val="20"/>
                <w:szCs w:val="20"/>
                <w:color w:val="auto"/>
              </w:rPr>
            </w:pPr>
            <w:r>
              <w:rPr>
                <w:rFonts w:ascii="Arial" w:cs="Arial" w:eastAsia="Arial" w:hAnsi="Arial"/>
                <w:sz w:val="3"/>
                <w:szCs w:val="3"/>
                <w:color w:val="FFFFFF"/>
              </w:rPr>
              <w:t>NOTICE AND PROXY STATEMENT FORM 10-K</w:t>
            </w:r>
          </w:p>
        </w:tc>
        <w:tc>
          <w:tcPr>
            <w:tcW w:w="0" w:type="dxa"/>
            <w:vAlign w:val="bottom"/>
          </w:tcPr>
          <w:p>
            <w:pPr>
              <w:spacing w:after="0"/>
              <w:rPr>
                <w:sz w:val="1"/>
                <w:szCs w:val="1"/>
                <w:color w:val="auto"/>
              </w:rPr>
            </w:pPr>
          </w:p>
        </w:tc>
      </w:tr>
      <w:tr>
        <w:trPr>
          <w:trHeight w:val="41"/>
        </w:trPr>
        <w:tc>
          <w:tcPr>
            <w:tcW w:w="1220" w:type="dxa"/>
            <w:vAlign w:val="bottom"/>
          </w:tcPr>
          <w:p>
            <w:pPr>
              <w:ind w:left="300"/>
              <w:spacing w:after="0"/>
              <w:rPr>
                <w:sz w:val="20"/>
                <w:szCs w:val="20"/>
                <w:color w:val="auto"/>
              </w:rPr>
            </w:pPr>
            <w:r>
              <w:rPr>
                <w:rFonts w:ascii="Arial" w:cs="Arial" w:eastAsia="Arial" w:hAnsi="Arial"/>
                <w:sz w:val="3"/>
                <w:szCs w:val="3"/>
                <w:color w:val="FFFFFF"/>
              </w:rPr>
              <w:t>to View Online:</w:t>
            </w:r>
          </w:p>
        </w:tc>
        <w:tc>
          <w:tcPr>
            <w:tcW w:w="600" w:type="dxa"/>
            <w:vAlign w:val="bottom"/>
          </w:tcPr>
          <w:p>
            <w:pPr>
              <w:spacing w:after="0"/>
              <w:rPr>
                <w:sz w:val="3"/>
                <w:szCs w:val="3"/>
                <w:color w:val="auto"/>
              </w:rPr>
            </w:pPr>
          </w:p>
        </w:tc>
        <w:tc>
          <w:tcPr>
            <w:tcW w:w="480" w:type="dxa"/>
            <w:vAlign w:val="bottom"/>
          </w:tcPr>
          <w:p>
            <w:pPr>
              <w:spacing w:after="0"/>
              <w:rPr>
                <w:sz w:val="3"/>
                <w:szCs w:val="3"/>
                <w:color w:val="auto"/>
              </w:rPr>
            </w:pPr>
          </w:p>
        </w:tc>
        <w:tc>
          <w:tcPr>
            <w:tcW w:w="8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0680" w:type="dxa"/>
            <w:vAlign w:val="bottom"/>
            <w:gridSpan w:val="4"/>
          </w:tcPr>
          <w:p>
            <w:pPr>
              <w:ind w:left="100"/>
              <w:spacing w:after="0"/>
              <w:rPr>
                <w:sz w:val="20"/>
                <w:szCs w:val="20"/>
                <w:color w:val="auto"/>
              </w:rPr>
            </w:pPr>
            <w:r>
              <w:rPr>
                <w:rFonts w:ascii="Arial" w:cs="Arial" w:eastAsia="Arial" w:hAnsi="Arial"/>
                <w:sz w:val="3"/>
                <w:szCs w:val="3"/>
                <w:color w:val="FFFFFF"/>
              </w:rPr>
              <w:t>ave the information that is printed in the box marked by the arrow XXXX XXXX XXXX (located on the following page) and visit: www.proxyvote.com.</w:t>
            </w:r>
          </w:p>
        </w:tc>
        <w:tc>
          <w:tcPr>
            <w:tcW w:w="0" w:type="dxa"/>
            <w:vAlign w:val="bottom"/>
          </w:tcPr>
          <w:p>
            <w:pPr>
              <w:spacing w:after="0"/>
              <w:rPr>
                <w:sz w:val="1"/>
                <w:szCs w:val="1"/>
                <w:color w:val="auto"/>
              </w:rPr>
            </w:pPr>
          </w:p>
        </w:tc>
      </w:tr>
      <w:tr>
        <w:trPr>
          <w:trHeight w:val="41"/>
        </w:trPr>
        <w:tc>
          <w:tcPr>
            <w:tcW w:w="10680" w:type="dxa"/>
            <w:vAlign w:val="bottom"/>
            <w:gridSpan w:val="4"/>
          </w:tcPr>
          <w:p>
            <w:pPr>
              <w:spacing w:after="0"/>
              <w:rPr>
                <w:sz w:val="20"/>
                <w:szCs w:val="20"/>
                <w:color w:val="auto"/>
              </w:rPr>
            </w:pPr>
            <w:r>
              <w:rPr>
                <w:rFonts w:ascii="Arial" w:cs="Arial" w:eastAsia="Arial" w:hAnsi="Arial"/>
                <w:sz w:val="3"/>
                <w:szCs w:val="3"/>
                <w:color w:val="FFFFFF"/>
              </w:rPr>
              <w:t>How to Request and Receive a PAPER or E-MAIL Copy:</w:t>
            </w:r>
          </w:p>
        </w:tc>
        <w:tc>
          <w:tcPr>
            <w:tcW w:w="0" w:type="dxa"/>
            <w:vAlign w:val="bottom"/>
          </w:tcPr>
          <w:p>
            <w:pPr>
              <w:spacing w:after="0"/>
              <w:rPr>
                <w:sz w:val="1"/>
                <w:szCs w:val="1"/>
                <w:color w:val="auto"/>
              </w:rPr>
            </w:pPr>
          </w:p>
        </w:tc>
      </w:tr>
      <w:tr>
        <w:trPr>
          <w:trHeight w:val="41"/>
        </w:trPr>
        <w:tc>
          <w:tcPr>
            <w:tcW w:w="1820" w:type="dxa"/>
            <w:vAlign w:val="bottom"/>
            <w:gridSpan w:val="2"/>
          </w:tcPr>
          <w:p>
            <w:pPr>
              <w:spacing w:after="0"/>
              <w:rPr>
                <w:sz w:val="20"/>
                <w:szCs w:val="20"/>
                <w:color w:val="auto"/>
              </w:rPr>
            </w:pPr>
            <w:r>
              <w:rPr>
                <w:rFonts w:ascii="Arial" w:cs="Arial" w:eastAsia="Arial" w:hAnsi="Arial"/>
                <w:sz w:val="3"/>
                <w:szCs w:val="3"/>
                <w:color w:val="FFFFFF"/>
              </w:rPr>
              <w:t>If you want to receive a paper or</w:t>
            </w:r>
          </w:p>
        </w:tc>
        <w:tc>
          <w:tcPr>
            <w:tcW w:w="8860" w:type="dxa"/>
            <w:vAlign w:val="bottom"/>
            <w:gridSpan w:val="2"/>
          </w:tcPr>
          <w:p>
            <w:pPr>
              <w:ind w:left="40"/>
              <w:spacing w:after="0"/>
              <w:rPr>
                <w:sz w:val="20"/>
                <w:szCs w:val="20"/>
                <w:color w:val="auto"/>
              </w:rPr>
            </w:pPr>
            <w:r>
              <w:rPr>
                <w:rFonts w:ascii="Arial" w:cs="Arial" w:eastAsia="Arial" w:hAnsi="Arial"/>
                <w:sz w:val="3"/>
                <w:szCs w:val="3"/>
                <w:color w:val="FFFFFF"/>
              </w:rPr>
              <w:t>-mail copy of these documents, you must request one. There is NO charge for requesting a copy. Please choose one of the following methods to make your request:</w:t>
            </w:r>
          </w:p>
        </w:tc>
        <w:tc>
          <w:tcPr>
            <w:tcW w:w="0" w:type="dxa"/>
            <w:vAlign w:val="bottom"/>
          </w:tcPr>
          <w:p>
            <w:pPr>
              <w:spacing w:after="0"/>
              <w:rPr>
                <w:sz w:val="1"/>
                <w:szCs w:val="1"/>
                <w:color w:val="auto"/>
              </w:rPr>
            </w:pPr>
          </w:p>
        </w:tc>
      </w:tr>
      <w:tr>
        <w:trPr>
          <w:trHeight w:val="41"/>
        </w:trPr>
        <w:tc>
          <w:tcPr>
            <w:tcW w:w="2300" w:type="dxa"/>
            <w:vAlign w:val="bottom"/>
            <w:gridSpan w:val="3"/>
          </w:tcPr>
          <w:p>
            <w:pPr>
              <w:spacing w:after="0"/>
              <w:rPr>
                <w:sz w:val="20"/>
                <w:szCs w:val="20"/>
                <w:color w:val="auto"/>
              </w:rPr>
            </w:pPr>
            <w:r>
              <w:rPr>
                <w:rFonts w:ascii="Arial" w:cs="Arial" w:eastAsia="Arial" w:hAnsi="Arial"/>
                <w:sz w:val="3"/>
                <w:szCs w:val="3"/>
                <w:color w:val="FFFFFF"/>
              </w:rPr>
              <w:t>1)INTERNET www.proxyvote.com</w:t>
            </w:r>
          </w:p>
        </w:tc>
        <w:tc>
          <w:tcPr>
            <w:tcW w:w="8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220" w:type="dxa"/>
            <w:vAlign w:val="bottom"/>
          </w:tcPr>
          <w:p>
            <w:pPr>
              <w:spacing w:after="0"/>
              <w:rPr>
                <w:sz w:val="20"/>
                <w:szCs w:val="20"/>
                <w:color w:val="auto"/>
              </w:rPr>
            </w:pPr>
            <w:r>
              <w:rPr>
                <w:rFonts w:ascii="Arial" w:cs="Arial" w:eastAsia="Arial" w:hAnsi="Arial"/>
                <w:sz w:val="3"/>
                <w:szCs w:val="3"/>
                <w:color w:val="FFFFFF"/>
              </w:rPr>
              <w:t>2)</w:t>
            </w:r>
          </w:p>
        </w:tc>
        <w:tc>
          <w:tcPr>
            <w:tcW w:w="1080" w:type="dxa"/>
            <w:vAlign w:val="bottom"/>
            <w:gridSpan w:val="2"/>
          </w:tcPr>
          <w:p>
            <w:pPr>
              <w:jc w:val="right"/>
              <w:ind w:right="183"/>
              <w:spacing w:after="0"/>
              <w:rPr>
                <w:sz w:val="20"/>
                <w:szCs w:val="20"/>
                <w:color w:val="auto"/>
              </w:rPr>
            </w:pPr>
            <w:r>
              <w:rPr>
                <w:rFonts w:ascii="Arial" w:cs="Arial" w:eastAsia="Arial" w:hAnsi="Arial"/>
                <w:sz w:val="3"/>
                <w:szCs w:val="3"/>
                <w:color w:val="FFFFFF"/>
              </w:rPr>
              <w:t>1-800-579-1639</w:t>
            </w:r>
          </w:p>
        </w:tc>
        <w:tc>
          <w:tcPr>
            <w:tcW w:w="8380" w:type="dxa"/>
            <w:vAlign w:val="bottom"/>
            <w:vMerge w:val="restart"/>
          </w:tcPr>
          <w:p>
            <w:pPr>
              <w:ind w:left="40"/>
              <w:spacing w:after="0"/>
              <w:rPr>
                <w:sz w:val="20"/>
                <w:szCs w:val="20"/>
                <w:color w:val="auto"/>
              </w:rPr>
            </w:pPr>
            <w:r>
              <w:rPr>
                <w:rFonts w:ascii="Arial" w:cs="Arial" w:eastAsia="Arial" w:hAnsi="Arial"/>
                <w:sz w:val="3"/>
                <w:szCs w:val="3"/>
                <w:color w:val="FFFFFF"/>
              </w:rPr>
              <w:t>.com</w:t>
            </w:r>
          </w:p>
        </w:tc>
        <w:tc>
          <w:tcPr>
            <w:tcW w:w="0" w:type="dxa"/>
            <w:vAlign w:val="bottom"/>
          </w:tcPr>
          <w:p>
            <w:pPr>
              <w:spacing w:after="0"/>
              <w:rPr>
                <w:sz w:val="1"/>
                <w:szCs w:val="1"/>
                <w:color w:val="auto"/>
              </w:rPr>
            </w:pPr>
          </w:p>
        </w:tc>
      </w:tr>
      <w:tr>
        <w:trPr>
          <w:trHeight w:val="0"/>
        </w:trPr>
        <w:tc>
          <w:tcPr>
            <w:tcW w:w="1220" w:type="dxa"/>
            <w:vAlign w:val="bottom"/>
          </w:tcPr>
          <w:p>
            <w:pPr>
              <w:spacing w:after="0" w:line="80" w:lineRule="exact"/>
              <w:rPr>
                <w:sz w:val="20"/>
                <w:szCs w:val="20"/>
                <w:color w:val="auto"/>
              </w:rPr>
            </w:pPr>
            <w:r>
              <w:rPr>
                <w:rFonts w:ascii="Arial" w:cs="Arial" w:eastAsia="Arial" w:hAnsi="Arial"/>
                <w:sz w:val="9"/>
                <w:szCs w:val="9"/>
                <w:color w:val="FFFFFF"/>
              </w:rPr>
              <w:t>3) BY TELEPHONE:-MAIL*:</w:t>
            </w: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3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auto"/>
        <w:rPr>
          <w:sz w:val="20"/>
          <w:szCs w:val="20"/>
          <w:color w:val="auto"/>
        </w:rPr>
      </w:pPr>
      <w:r>
        <w:rPr>
          <w:rFonts w:ascii="Arial" w:cs="Arial" w:eastAsia="Arial" w:hAnsi="Arial"/>
          <w:sz w:val="7"/>
          <w:szCs w:val="7"/>
          <w:color w:val="FFFFFF"/>
        </w:rPr>
        <w:t>* If requesting materialssendmaterial@proxyvoteby-mail,pleasesend a blank e-mail with the information that is printed in the box marked by the arrow XXXX XXXX XXXX (located on the following page) in the subject line. Requests, instructions and other inquiries sent to this e-mail address will NOT be forwarded to your investment advisor. Please make the request as instructed above on or before May 30, 2012 to facilitate timely delivery.</w:t>
      </w:r>
    </w:p>
    <w:p>
      <w:pPr>
        <w:spacing w:after="0"/>
        <w:tabs>
          <w:tab w:leader="none" w:pos="800" w:val="left"/>
        </w:tabs>
        <w:rPr>
          <w:sz w:val="20"/>
          <w:szCs w:val="20"/>
          <w:color w:val="auto"/>
        </w:rPr>
      </w:pPr>
      <w:r>
        <w:rPr>
          <w:rFonts w:ascii="Arial" w:cs="Arial" w:eastAsia="Arial" w:hAnsi="Arial"/>
          <w:sz w:val="3"/>
          <w:szCs w:val="3"/>
          <w:color w:val="FFFFFF"/>
        </w:rPr>
        <w:t>Please</w:t>
      </w:r>
      <w:r>
        <w:rPr>
          <w:sz w:val="20"/>
          <w:szCs w:val="20"/>
          <w:color w:val="auto"/>
        </w:rPr>
        <w:tab/>
      </w:r>
      <w:r>
        <w:rPr>
          <w:rFonts w:ascii="Arial" w:cs="Arial" w:eastAsia="Arial" w:hAnsi="Arial"/>
          <w:sz w:val="3"/>
          <w:szCs w:val="3"/>
          <w:color w:val="FFFFFF"/>
        </w:rPr>
        <w:t>One of the Following Voting Methods</w:t>
      </w:r>
    </w:p>
    <w:p>
      <w:pPr>
        <w:spacing w:after="0" w:line="6" w:lineRule="exact"/>
        <w:rPr>
          <w:sz w:val="20"/>
          <w:szCs w:val="20"/>
          <w:color w:val="auto"/>
        </w:rPr>
      </w:pPr>
    </w:p>
    <w:p>
      <w:pPr>
        <w:ind w:right="100"/>
        <w:spacing w:after="0"/>
        <w:rPr>
          <w:sz w:val="20"/>
          <w:szCs w:val="20"/>
          <w:color w:val="auto"/>
        </w:rPr>
      </w:pPr>
      <w:r>
        <w:rPr>
          <w:rFonts w:ascii="Arial" w:cs="Arial" w:eastAsia="Arial" w:hAnsi="Arial"/>
          <w:sz w:val="7"/>
          <w:szCs w:val="7"/>
          <w:color w:val="FFFFFF"/>
        </w:rPr>
        <w:t>Vote In Person: Many shareholder meetings have attendance requirements including, but not limited to, the possession of an attendance ticket issued by the entity holding the meeting. Please check the meeting materials for any special requirements for meeting attendance. At the meeting, you will need to request a ballot to vote these shares.</w:t>
      </w:r>
    </w:p>
    <w:p>
      <w:pPr>
        <w:spacing w:after="0" w:line="214" w:lineRule="auto"/>
        <w:rPr>
          <w:sz w:val="20"/>
          <w:szCs w:val="20"/>
          <w:color w:val="auto"/>
        </w:rPr>
      </w:pPr>
      <w:r>
        <w:rPr>
          <w:rFonts w:ascii="Arial" w:cs="Arial" w:eastAsia="Arial" w:hAnsi="Arial"/>
          <w:sz w:val="4"/>
          <w:szCs w:val="4"/>
          <w:color w:val="FFFFFF"/>
          <w:vertAlign w:val="superscript"/>
        </w:rPr>
        <w:t>Vote By</w:t>
      </w:r>
    </w:p>
    <w:p>
      <w:pPr>
        <w:ind w:left="480"/>
        <w:spacing w:after="0"/>
        <w:rPr>
          <w:sz w:val="20"/>
          <w:szCs w:val="20"/>
          <w:color w:val="auto"/>
        </w:rPr>
      </w:pPr>
      <w:r>
        <w:rPr>
          <w:rFonts w:ascii="Arial" w:cs="Arial" w:eastAsia="Arial" w:hAnsi="Arial"/>
          <w:sz w:val="3"/>
          <w:szCs w:val="3"/>
          <w:color w:val="FFFFFF"/>
        </w:rPr>
        <w:t>Mail:Internet:YouTocanvotevotenowbybymailInternet,byrequestinggotowww.proxyvote.com.apapercopyofthe materials,Havethe informationwhichwillincludethatisprintedaproxyincard.the box marked by the arrow XXXX XXXX XXXX available and follow the instructions.</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M46683-P26533</w:t>
      </w:r>
    </w:p>
    <w:p>
      <w:pPr>
        <w:sectPr>
          <w:pgSz w:w="11900" w:h="16838" w:orient="portrait"/>
          <w:cols w:equalWidth="0" w:num="1">
            <w:col w:w="11380"/>
          </w:cols>
          <w:pgMar w:left="240" w:top="1440" w:right="27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4"/>
          <w:szCs w:val="14"/>
          <w:color w:val="FFFFFF"/>
        </w:rPr>
        <w:t>Voting Items</w:t>
      </w:r>
    </w:p>
    <w:p>
      <w:pPr>
        <w:spacing w:after="0" w:line="187" w:lineRule="auto"/>
        <w:rPr>
          <w:sz w:val="20"/>
          <w:szCs w:val="20"/>
          <w:color w:val="auto"/>
        </w:rPr>
      </w:pPr>
      <w:r>
        <w:rPr>
          <w:rFonts w:ascii="Arial" w:cs="Arial" w:eastAsia="Arial" w:hAnsi="Arial"/>
          <w:sz w:val="9"/>
          <w:szCs w:val="9"/>
          <w:color w:val="FFFFFF"/>
        </w:rPr>
        <w:t>The Board of Directors recommends you vote FOR the following:</w:t>
      </w:r>
    </w:p>
    <w:p>
      <w:pPr>
        <w:spacing w:after="0"/>
        <w:rPr>
          <w:sz w:val="20"/>
          <w:szCs w:val="20"/>
          <w:color w:val="auto"/>
        </w:rPr>
      </w:pPr>
      <w:r>
        <w:rPr>
          <w:rFonts w:ascii="Arial" w:cs="Arial" w:eastAsia="Arial" w:hAnsi="Arial"/>
          <w:sz w:val="3"/>
          <w:szCs w:val="3"/>
          <w:color w:val="FFFFFF"/>
        </w:rPr>
        <w:t>Nominees:1.Election of Directors</w:t>
      </w:r>
    </w:p>
    <w:p>
      <w:pPr>
        <w:spacing w:after="0" w:line="194" w:lineRule="auto"/>
        <w:rPr>
          <w:sz w:val="20"/>
          <w:szCs w:val="20"/>
          <w:color w:val="auto"/>
        </w:rPr>
      </w:pPr>
      <w:r>
        <w:rPr>
          <w:rFonts w:ascii="Arial" w:cs="Arial" w:eastAsia="Arial" w:hAnsi="Arial"/>
          <w:sz w:val="5"/>
          <w:szCs w:val="5"/>
          <w:color w:val="FFFFFF"/>
          <w:vertAlign w:val="superscript"/>
        </w:rPr>
        <w:t>02)</w:t>
      </w:r>
    </w:p>
    <w:p>
      <w:pPr>
        <w:ind w:left="80"/>
        <w:spacing w:after="0"/>
        <w:rPr>
          <w:sz w:val="20"/>
          <w:szCs w:val="20"/>
          <w:color w:val="auto"/>
        </w:rPr>
      </w:pPr>
      <w:r>
        <w:rPr>
          <w:rFonts w:ascii="Arial" w:cs="Arial" w:eastAsia="Arial" w:hAnsi="Arial"/>
          <w:sz w:val="3"/>
          <w:szCs w:val="3"/>
          <w:color w:val="FFFFFF"/>
        </w:rPr>
        <w:t>1) MartinRogerPerlmutter,McGlynn M.D., Ph. D.</w:t>
      </w:r>
    </w:p>
    <w:p>
      <w:pPr>
        <w:spacing w:after="0" w:line="194" w:lineRule="auto"/>
        <w:rPr>
          <w:sz w:val="20"/>
          <w:szCs w:val="20"/>
          <w:color w:val="auto"/>
        </w:rPr>
      </w:pPr>
      <w:r>
        <w:rPr>
          <w:rFonts w:ascii="Arial" w:cs="Arial" w:eastAsia="Arial" w:hAnsi="Arial"/>
          <w:sz w:val="5"/>
          <w:szCs w:val="5"/>
          <w:color w:val="FFFFFF"/>
        </w:rPr>
        <w:t>The Board of Directors recommends you vote FOR the following proposal:</w:t>
      </w:r>
    </w:p>
    <w:p>
      <w:pPr>
        <w:spacing w:after="0" w:line="211" w:lineRule="auto"/>
        <w:rPr>
          <w:sz w:val="20"/>
          <w:szCs w:val="20"/>
          <w:color w:val="auto"/>
        </w:rPr>
      </w:pPr>
      <w:r>
        <w:rPr>
          <w:rFonts w:ascii="Arial" w:cs="Arial" w:eastAsia="Arial" w:hAnsi="Arial"/>
          <w:sz w:val="4"/>
          <w:szCs w:val="4"/>
          <w:color w:val="FFFFFF"/>
          <w:vertAlign w:val="superscript"/>
        </w:rPr>
        <w:t>NOTE:</w:t>
      </w:r>
    </w:p>
    <w:p>
      <w:pPr>
        <w:spacing w:after="0"/>
        <w:rPr>
          <w:sz w:val="20"/>
          <w:szCs w:val="20"/>
          <w:color w:val="auto"/>
        </w:rPr>
      </w:pPr>
      <w:r>
        <w:rPr>
          <w:rFonts w:ascii="Arial" w:cs="Arial" w:eastAsia="Arial" w:hAnsi="Arial"/>
          <w:sz w:val="3"/>
          <w:szCs w:val="3"/>
          <w:color w:val="FFFFFF"/>
        </w:rPr>
        <w:t>2.  o ratifySuchtheotherselectionbusinessofGrantasmayThorntonproperlyLLPcomeas beforeindependentthemeetingpublicoraccountantsanyadjournmentofthe Companythereof. for the fiscal year ending December 31, 2012.</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M46684-P26533</w:t>
      </w:r>
    </w:p>
    <w:p>
      <w:pPr>
        <w:sectPr>
          <w:pgSz w:w="11900" w:h="16838" w:orient="portrait"/>
          <w:cols w:equalWidth="0" w:num="1">
            <w:col w:w="10219"/>
          </w:cols>
          <w:pgMar w:left="240" w:top="1440" w:right="1440"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2"/>
          <w:szCs w:val="12"/>
          <w:color w:val="FFFFFF"/>
        </w:rPr>
        <w:t>M46685-P26533</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lvl w:ilvl="1">
      <w:lvlJc w:val="left"/>
      <w:lvlText w:val="(%2)"/>
      <w:numFmt w:val="decimal"/>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2019-12-09T10:15:00Z</dcterms:created>
  <dcterms:modified xsi:type="dcterms:W3CDTF">2019-12-09T10:15:00Z</dcterms:modified>
</cp:coreProperties>
</file>