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November 3, 2005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333-128797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72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ASHINGTON</w:t>
      </w:r>
      <w:r>
        <w:rPr>
          <w:rFonts w:ascii="Arial" w:cs="Arial" w:eastAsia="Arial" w:hAnsi="Arial"/>
          <w:sz w:val="22"/>
          <w:szCs w:val="22"/>
          <w:b w:val="1"/>
          <w:bCs w:val="1"/>
          <w:color w:val="auto"/>
        </w:rPr>
        <w:t>,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132080</wp:posOffset>
            </wp:positionV>
            <wp:extent cx="1886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6585" cy="8255"/>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w:t>
      </w:r>
      <w:r>
        <w:rPr>
          <w:rFonts w:ascii="Arial" w:cs="Arial" w:eastAsia="Arial" w:hAnsi="Arial"/>
          <w:sz w:val="22"/>
          <w:szCs w:val="22"/>
          <w:b w:val="1"/>
          <w:bCs w:val="1"/>
          <w:color w:val="auto"/>
        </w:rPr>
        <w:t>ORM</w:t>
      </w:r>
      <w:r>
        <w:rPr>
          <w:rFonts w:ascii="Arial" w:cs="Arial" w:eastAsia="Arial" w:hAnsi="Arial"/>
          <w:sz w:val="32"/>
          <w:szCs w:val="32"/>
          <w:b w:val="1"/>
          <w:bCs w:val="1"/>
          <w:color w:val="auto"/>
        </w:rPr>
        <w:t xml:space="preserve"> S-3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29" w:lineRule="auto"/>
        <w:rPr>
          <w:sz w:val="20"/>
          <w:szCs w:val="20"/>
          <w:color w:val="auto"/>
        </w:rPr>
      </w:pPr>
      <w:r>
        <w:rPr>
          <w:rFonts w:ascii="Arial" w:cs="Arial" w:eastAsia="Arial" w:hAnsi="Arial"/>
          <w:sz w:val="22"/>
          <w:szCs w:val="22"/>
          <w:b w:val="1"/>
          <w:bCs w:val="1"/>
          <w:color w:val="auto"/>
        </w:rPr>
        <w:t>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132080</wp:posOffset>
            </wp:positionV>
            <wp:extent cx="1886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6585" cy="8255"/>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3" w:lineRule="exact"/>
        <w:rPr>
          <w:sz w:val="20"/>
          <w:szCs w:val="20"/>
          <w:color w:val="auto"/>
        </w:rPr>
      </w:pPr>
    </w:p>
    <w:tbl>
      <w:tblPr>
        <w:tblLayout w:type="fixed"/>
        <w:tblInd w:w="1520" w:type="dxa"/>
        <w:tblCellMar>
          <w:top w:w="0" w:type="dxa"/>
          <w:left w:w="0" w:type="dxa"/>
          <w:bottom w:w="0" w:type="dxa"/>
          <w:right w:w="0" w:type="dxa"/>
        </w:tblCellMar>
      </w:tblPr>
      <w:tr>
        <w:trPr>
          <w:trHeight w:val="219"/>
        </w:trPr>
        <w:tc>
          <w:tcPr>
            <w:tcW w:w="438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94-3078125</w:t>
            </w:r>
          </w:p>
        </w:tc>
      </w:tr>
      <w:tr>
        <w:trPr>
          <w:trHeight w:val="215"/>
        </w:trPr>
        <w:tc>
          <w:tcPr>
            <w:tcW w:w="4380" w:type="dxa"/>
            <w:vAlign w:val="bottom"/>
          </w:tcPr>
          <w:p>
            <w:pPr>
              <w:jc w:val="center"/>
              <w:ind w:right="1890"/>
              <w:spacing w:after="0"/>
              <w:rPr>
                <w:sz w:val="20"/>
                <w:szCs w:val="20"/>
                <w:color w:val="auto"/>
              </w:rPr>
            </w:pPr>
            <w:r>
              <w:rPr>
                <w:rFonts w:ascii="Arial" w:cs="Arial" w:eastAsia="Arial" w:hAnsi="Arial"/>
                <w:sz w:val="18"/>
                <w:szCs w:val="18"/>
                <w:i w:val="1"/>
                <w:iCs w:val="1"/>
                <w:color w:val="auto"/>
                <w:w w:val="93"/>
              </w:rPr>
              <w:t>(State or other jurisdiction</w:t>
            </w:r>
          </w:p>
        </w:tc>
        <w:tc>
          <w:tcPr>
            <w:tcW w:w="3620" w:type="dxa"/>
            <w:vAlign w:val="bottom"/>
          </w:tcPr>
          <w:p>
            <w:pPr>
              <w:jc w:val="center"/>
              <w:ind w:left="18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380" w:type="dxa"/>
            <w:vAlign w:val="bottom"/>
          </w:tcPr>
          <w:p>
            <w:pPr>
              <w:jc w:val="center"/>
              <w:ind w:right="1890"/>
              <w:spacing w:after="0"/>
              <w:rPr>
                <w:sz w:val="20"/>
                <w:szCs w:val="20"/>
                <w:color w:val="auto"/>
              </w:rPr>
            </w:pPr>
            <w:r>
              <w:rPr>
                <w:rFonts w:ascii="Arial" w:cs="Arial" w:eastAsia="Arial" w:hAnsi="Arial"/>
                <w:sz w:val="18"/>
                <w:szCs w:val="18"/>
                <w:i w:val="1"/>
                <w:iCs w:val="1"/>
                <w:color w:val="auto"/>
                <w:w w:val="94"/>
              </w:rPr>
              <w:t>of incorporation or organization)</w:t>
            </w:r>
          </w:p>
        </w:tc>
        <w:tc>
          <w:tcPr>
            <w:tcW w:w="3620" w:type="dxa"/>
            <w:vAlign w:val="bottom"/>
          </w:tcPr>
          <w:p>
            <w:pPr>
              <w:jc w:val="center"/>
              <w:ind w:left="1890"/>
              <w:spacing w:after="0"/>
              <w:rPr>
                <w:sz w:val="20"/>
                <w:szCs w:val="20"/>
                <w:color w:val="auto"/>
              </w:rPr>
            </w:pPr>
            <w:r>
              <w:rPr>
                <w:rFonts w:ascii="Arial" w:cs="Arial" w:eastAsia="Arial" w:hAnsi="Arial"/>
                <w:sz w:val="18"/>
                <w:szCs w:val="18"/>
                <w:i w:val="1"/>
                <w:iCs w:val="1"/>
                <w:color w:val="auto"/>
                <w:w w:val="93"/>
              </w:rPr>
              <w:t>Identification Number)</w:t>
            </w: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3155 Porter Drive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475-3100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and telephone number, including area code of principal executive offices)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Iris Brest, Esq.</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3155 Porter Drive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475-3100</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(Name, address, including zip code, and telephone</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13335</wp:posOffset>
            </wp:positionV>
            <wp:extent cx="2535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send copies of all communications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Geoffrey Davis, Esq.</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Ropes &amp; Gray LLP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International Place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02110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(617) 951-7000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the effectiveness of the Registration Statement.</w:t>
      </w:r>
    </w:p>
    <w:p>
      <w:pPr>
        <w:spacing w:after="0" w:line="116"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color w:val="auto"/>
        </w:rPr>
        <w:t>If the only securities being registered on this form are being offered pursuant to dividend or interest reinvestment plans, please check the following box. o</w:t>
      </w:r>
    </w:p>
    <w:p>
      <w:pPr>
        <w:spacing w:after="0" w:line="63" w:lineRule="exact"/>
        <w:rPr>
          <w:sz w:val="20"/>
          <w:szCs w:val="20"/>
          <w:color w:val="auto"/>
        </w:rPr>
      </w:pPr>
    </w:p>
    <w:p>
      <w:pPr>
        <w:ind w:right="1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7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under the earlier effective registration statement for the same offering. o</w:t>
      </w:r>
    </w:p>
    <w:p>
      <w:pPr>
        <w:spacing w:after="0" w:line="63"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color w:val="auto"/>
        </w:rPr>
        <w:t>If this form is a post effective amendment filed pursuant to Rule 462(c) under the Securities Act, check the following box and list the Securities Act registration statement number of the earlier effective registration statement for the same offering. 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If delivery of the prospectus is expected to be made pursuant to Rule 434, please check the following box: o</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Borders>
              <w:top w:val="single" w:sz="8" w:color="auto"/>
              <w:right w:val="single" w:sz="8" w:color="auto"/>
            </w:tcBorders>
          </w:tcPr>
          <w:p>
            <w:pPr>
              <w:spacing w:after="0"/>
              <w:rPr>
                <w:sz w:val="14"/>
                <w:szCs w:val="14"/>
                <w:color w:val="auto"/>
              </w:rPr>
            </w:pPr>
          </w:p>
        </w:tc>
        <w:tc>
          <w:tcPr>
            <w:tcW w:w="2720" w:type="dxa"/>
            <w:vAlign w:val="bottom"/>
            <w:tcBorders>
              <w:top w:val="single" w:sz="8" w:color="auto"/>
              <w:right w:val="single" w:sz="8" w:color="auto"/>
            </w:tcBorders>
          </w:tcPr>
          <w:p>
            <w:pPr>
              <w:spacing w:after="0"/>
              <w:rPr>
                <w:sz w:val="14"/>
                <w:szCs w:val="14"/>
                <w:color w:val="auto"/>
              </w:rPr>
            </w:pPr>
          </w:p>
        </w:tc>
        <w:tc>
          <w:tcPr>
            <w:tcW w:w="1560" w:type="dxa"/>
            <w:vAlign w:val="bottom"/>
            <w:tcBorders>
              <w:top w:val="single" w:sz="8" w:color="auto"/>
              <w:right w:val="single" w:sz="8" w:color="auto"/>
            </w:tcBorders>
          </w:tcPr>
          <w:p>
            <w:pPr>
              <w:spacing w:after="0"/>
              <w:rPr>
                <w:sz w:val="14"/>
                <w:szCs w:val="14"/>
                <w:color w:val="auto"/>
              </w:rPr>
            </w:pPr>
          </w:p>
        </w:tc>
        <w:tc>
          <w:tcPr>
            <w:tcW w:w="266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4"/>
                <w:szCs w:val="14"/>
                <w:i w:val="1"/>
                <w:iCs w:val="1"/>
                <w:color w:val="auto"/>
              </w:rPr>
              <w:t>Proposed Maximum</w:t>
            </w:r>
          </w:p>
        </w:tc>
        <w:tc>
          <w:tcPr>
            <w:tcW w:w="1400" w:type="dxa"/>
            <w:vAlign w:val="bottom"/>
            <w:tcBorders>
              <w:top w:val="single" w:sz="8" w:color="auto"/>
            </w:tcBorders>
          </w:tcPr>
          <w:p>
            <w:pPr>
              <w:jc w:val="center"/>
              <w:ind w:left="24"/>
              <w:spacing w:after="0"/>
              <w:rPr>
                <w:sz w:val="20"/>
                <w:szCs w:val="20"/>
                <w:color w:val="auto"/>
              </w:rPr>
            </w:pPr>
            <w:r>
              <w:rPr>
                <w:rFonts w:ascii="Arial" w:cs="Arial" w:eastAsia="Arial" w:hAnsi="Arial"/>
                <w:sz w:val="14"/>
                <w:szCs w:val="14"/>
                <w:i w:val="1"/>
                <w:iCs w:val="1"/>
                <w:color w:val="auto"/>
                <w:w w:val="90"/>
              </w:rPr>
              <w:t>Amount of</w:t>
            </w:r>
          </w:p>
        </w:tc>
      </w:tr>
      <w:tr>
        <w:trPr>
          <w:trHeight w:val="148"/>
        </w:trPr>
        <w:tc>
          <w:tcPr>
            <w:tcW w:w="3080" w:type="dxa"/>
            <w:vAlign w:val="bottom"/>
            <w:tcBorders>
              <w:right w:val="single" w:sz="8" w:color="auto"/>
            </w:tcBorders>
          </w:tcPr>
          <w:p>
            <w:pPr>
              <w:jc w:val="center"/>
              <w:ind w:right="22"/>
              <w:spacing w:after="0" w:line="148" w:lineRule="exact"/>
              <w:rPr>
                <w:sz w:val="20"/>
                <w:szCs w:val="20"/>
                <w:color w:val="auto"/>
              </w:rPr>
            </w:pPr>
            <w:r>
              <w:rPr>
                <w:rFonts w:ascii="Arial" w:cs="Arial" w:eastAsia="Arial" w:hAnsi="Arial"/>
                <w:sz w:val="14"/>
                <w:szCs w:val="14"/>
                <w:i w:val="1"/>
                <w:iCs w:val="1"/>
                <w:color w:val="auto"/>
                <w:w w:val="90"/>
              </w:rPr>
              <w:t>Title of each class</w:t>
            </w:r>
          </w:p>
        </w:tc>
        <w:tc>
          <w:tcPr>
            <w:tcW w:w="27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i w:val="1"/>
                <w:iCs w:val="1"/>
                <w:color w:val="auto"/>
                <w:w w:val="91"/>
              </w:rPr>
              <w:t>Amount to be</w:t>
            </w:r>
          </w:p>
        </w:tc>
        <w:tc>
          <w:tcPr>
            <w:tcW w:w="15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i w:val="1"/>
                <w:iCs w:val="1"/>
                <w:color w:val="auto"/>
                <w:w w:val="93"/>
              </w:rPr>
              <w:t>Proposed Maximum</w:t>
            </w:r>
          </w:p>
        </w:tc>
        <w:tc>
          <w:tcPr>
            <w:tcW w:w="2660" w:type="dxa"/>
            <w:vAlign w:val="bottom"/>
            <w:tcBorders>
              <w:right w:val="single" w:sz="8" w:color="auto"/>
            </w:tcBorders>
          </w:tcPr>
          <w:p>
            <w:pPr>
              <w:ind w:left="780"/>
              <w:spacing w:after="0" w:line="148" w:lineRule="exact"/>
              <w:rPr>
                <w:sz w:val="20"/>
                <w:szCs w:val="20"/>
                <w:color w:val="auto"/>
              </w:rPr>
            </w:pPr>
            <w:r>
              <w:rPr>
                <w:rFonts w:ascii="Arial" w:cs="Arial" w:eastAsia="Arial" w:hAnsi="Arial"/>
                <w:sz w:val="14"/>
                <w:szCs w:val="14"/>
                <w:i w:val="1"/>
                <w:iCs w:val="1"/>
                <w:color w:val="auto"/>
              </w:rPr>
              <w:t>Aggregate Offering</w:t>
            </w:r>
          </w:p>
        </w:tc>
        <w:tc>
          <w:tcPr>
            <w:tcW w:w="1400" w:type="dxa"/>
            <w:vAlign w:val="bottom"/>
          </w:tcPr>
          <w:p>
            <w:pPr>
              <w:jc w:val="center"/>
              <w:ind w:left="24"/>
              <w:spacing w:after="0" w:line="148" w:lineRule="exact"/>
              <w:rPr>
                <w:sz w:val="20"/>
                <w:szCs w:val="20"/>
                <w:color w:val="auto"/>
              </w:rPr>
            </w:pPr>
            <w:r>
              <w:rPr>
                <w:rFonts w:ascii="Arial" w:cs="Arial" w:eastAsia="Arial" w:hAnsi="Arial"/>
                <w:sz w:val="14"/>
                <w:szCs w:val="14"/>
                <w:i w:val="1"/>
                <w:iCs w:val="1"/>
                <w:color w:val="auto"/>
                <w:w w:val="93"/>
              </w:rPr>
              <w:t>Registration</w:t>
            </w:r>
          </w:p>
        </w:tc>
      </w:tr>
      <w:tr>
        <w:trPr>
          <w:trHeight w:val="173"/>
        </w:trPr>
        <w:tc>
          <w:tcPr>
            <w:tcW w:w="3080" w:type="dxa"/>
            <w:vAlign w:val="bottom"/>
            <w:tcBorders>
              <w:bottom w:val="single" w:sz="8" w:color="auto"/>
              <w:right w:val="single" w:sz="8" w:color="auto"/>
            </w:tcBorders>
          </w:tcPr>
          <w:p>
            <w:pPr>
              <w:jc w:val="center"/>
              <w:ind w:right="42"/>
              <w:spacing w:after="0"/>
              <w:rPr>
                <w:sz w:val="20"/>
                <w:szCs w:val="20"/>
                <w:color w:val="auto"/>
              </w:rPr>
            </w:pPr>
            <w:r>
              <w:rPr>
                <w:rFonts w:ascii="Arial" w:cs="Arial" w:eastAsia="Arial" w:hAnsi="Arial"/>
                <w:sz w:val="14"/>
                <w:szCs w:val="14"/>
                <w:i w:val="1"/>
                <w:iCs w:val="1"/>
                <w:color w:val="auto"/>
                <w:w w:val="92"/>
              </w:rPr>
              <w:t>securities to be registered</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Registered (1)(2)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7"/>
              </w:rPr>
              <w:t>Offering Price (1)</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7"/>
              </w:rPr>
              <w:t>Price(1)</w:t>
            </w:r>
          </w:p>
        </w:tc>
        <w:tc>
          <w:tcPr>
            <w:tcW w:w="140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i w:val="1"/>
                <w:iCs w:val="1"/>
                <w:color w:val="auto"/>
                <w:w w:val="92"/>
              </w:rPr>
              <w:t>Fee (2)</w:t>
            </w:r>
          </w:p>
        </w:tc>
      </w:tr>
      <w:tr>
        <w:trPr>
          <w:trHeight w:val="235"/>
        </w:trPr>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 Stock (3)</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60" w:type="dxa"/>
            <w:vAlign w:val="bottom"/>
            <w:tcBorders>
              <w:bottom w:val="single" w:sz="8" w:color="auto"/>
              <w:right w:val="single" w:sz="8" w:color="auto"/>
            </w:tcBorders>
          </w:tcPr>
          <w:p>
            <w:pPr>
              <w:jc w:val="right"/>
              <w:ind w:right="764"/>
              <w:spacing w:after="0"/>
              <w:rPr>
                <w:sz w:val="20"/>
                <w:szCs w:val="20"/>
                <w:color w:val="auto"/>
              </w:rPr>
            </w:pPr>
            <w:r>
              <w:rPr>
                <w:rFonts w:ascii="Arial" w:cs="Arial" w:eastAsia="Arial" w:hAnsi="Arial"/>
                <w:sz w:val="18"/>
                <w:szCs w:val="18"/>
                <w:color w:val="auto"/>
              </w:rPr>
              <w:t>$100,000,000</w:t>
            </w:r>
          </w:p>
        </w:tc>
        <w:tc>
          <w:tcPr>
            <w:tcW w:w="1400" w:type="dxa"/>
            <w:vAlign w:val="bottom"/>
            <w:tcBorders>
              <w:bottom w:val="single" w:sz="8" w:color="auto"/>
            </w:tcBorders>
          </w:tcPr>
          <w:p>
            <w:pPr>
              <w:jc w:val="center"/>
              <w:ind w:left="24"/>
              <w:spacing w:after="0"/>
              <w:rPr>
                <w:sz w:val="20"/>
                <w:szCs w:val="20"/>
                <w:color w:val="auto"/>
              </w:rPr>
            </w:pPr>
            <w:r>
              <w:rPr>
                <w:rFonts w:ascii="Arial" w:cs="Arial" w:eastAsia="Arial" w:hAnsi="Arial"/>
                <w:sz w:val="18"/>
                <w:szCs w:val="18"/>
                <w:color w:val="auto"/>
                <w:w w:val="89"/>
              </w:rPr>
              <w:t>$11,770 (4)</w:t>
            </w:r>
          </w:p>
        </w:tc>
      </w:tr>
    </w:tbl>
    <w:p>
      <w:pPr>
        <w:spacing w:after="0" w:line="107" w:lineRule="exact"/>
        <w:rPr>
          <w:sz w:val="20"/>
          <w:szCs w:val="20"/>
          <w:color w:val="auto"/>
        </w:rPr>
      </w:pPr>
    </w:p>
    <w:p>
      <w:pPr>
        <w:ind w:left="260" w:right="400" w:hanging="252"/>
        <w:spacing w:after="0" w:line="285" w:lineRule="auto"/>
        <w:tabs>
          <w:tab w:leader="none" w:pos="2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There are being registered under this Registration Statement such indeterminate number of shares of Common Stock of the Registrant as shall have an aggregate offering price not to exceed $100,000,000. The proposed maximum offering price per share will be determined, from time to time, by the Registrant in connection with the issuance of the securities registered under this Registration Statement.</w:t>
      </w:r>
    </w:p>
    <w:p>
      <w:pPr>
        <w:spacing w:after="0" w:line="56" w:lineRule="exact"/>
        <w:rPr>
          <w:rFonts w:ascii="Arial" w:cs="Arial" w:eastAsia="Arial" w:hAnsi="Arial"/>
          <w:sz w:val="17"/>
          <w:szCs w:val="17"/>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11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such indeterminate number of shares of Common Stock as may from time to time be issued at indeterminate prices.</w:t>
      </w:r>
    </w:p>
    <w:p>
      <w:pPr>
        <w:spacing w:after="0" w:line="11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ectPr>
          <w:pgSz w:w="11900" w:h="16838" w:orient="portrait"/>
          <w:cols w:equalWidth="0" w:num="1">
            <w:col w:w="11420"/>
          </w:cols>
          <w:pgMar w:left="240" w:top="122" w:right="239" w:bottom="0" w:gutter="0" w:footer="0" w:header="0"/>
        </w:sectPr>
      </w:pPr>
    </w:p>
    <w:bookmarkStart w:id="2" w:name="page3"/>
    <w:bookmarkEnd w:id="2"/>
    <w:p>
      <w:pPr>
        <w:ind w:firstLine="224"/>
        <w:spacing w:after="0" w:line="259"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Security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72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287020</wp:posOffset>
            </wp:positionV>
            <wp:extent cx="725106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308215" cy="575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8215" cy="5759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80" w:right="80"/>
        <w:spacing w:after="0" w:line="264" w:lineRule="auto"/>
        <w:rPr>
          <w:sz w:val="20"/>
          <w:szCs w:val="20"/>
          <w:color w:val="auto"/>
        </w:rPr>
      </w:pPr>
      <w:r>
        <w:rPr>
          <w:rFonts w:ascii="Arial" w:cs="Arial" w:eastAsia="Arial" w:hAnsi="Arial"/>
          <w:sz w:val="18"/>
          <w:szCs w:val="18"/>
          <w:b w:val="1"/>
          <w:bCs w:val="1"/>
          <w:color w:val="E8112D"/>
        </w:rPr>
        <w:t>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ectPr>
          <w:pgSz w:w="11900" w:h="16838" w:orient="portrait"/>
          <w:cols w:equalWidth="0" w:num="1">
            <w:col w:w="11420"/>
          </w:cols>
          <w:pgMar w:left="240" w:top="417" w:right="23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PROSPECTUS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7"/>
          <w:szCs w:val="17"/>
          <w:color w:val="E8112D"/>
        </w:rPr>
        <w:t>SUBJECT TO COMPLETION</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color w:val="E8112D"/>
        </w:rPr>
        <w:t>November 3, 2005</w:t>
      </w:r>
    </w:p>
    <w:p>
      <w:pPr>
        <w:spacing w:after="0" w:line="200" w:lineRule="exact"/>
        <w:rPr>
          <w:sz w:val="20"/>
          <w:szCs w:val="20"/>
          <w:color w:val="auto"/>
        </w:rPr>
      </w:pPr>
    </w:p>
    <w:p>
      <w:pPr>
        <w:sectPr>
          <w:pgSz w:w="11900" w:h="16838" w:orient="portrait"/>
          <w:cols w:equalWidth="0" w:num="2">
            <w:col w:w="8460" w:space="720"/>
            <w:col w:w="2240"/>
          </w:cols>
          <w:pgMar w:left="240" w:top="417" w:right="239" w:bottom="1440" w:gutter="0" w:footer="0" w:header="0"/>
          <w:type w:val="continuous"/>
        </w:sectPr>
      </w:pP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$100,000,000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STEMCELLS, INC.</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108" w:lineRule="exact"/>
        <w:rPr>
          <w:sz w:val="20"/>
          <w:szCs w:val="20"/>
          <w:color w:val="auto"/>
        </w:rPr>
      </w:pPr>
    </w:p>
    <w:p>
      <w:pPr>
        <w:ind w:right="220" w:firstLine="400"/>
        <w:spacing w:after="0" w:line="291" w:lineRule="auto"/>
        <w:rPr>
          <w:sz w:val="20"/>
          <w:szCs w:val="20"/>
          <w:color w:val="auto"/>
        </w:rPr>
      </w:pPr>
      <w:r>
        <w:rPr>
          <w:rFonts w:ascii="Arial" w:cs="Arial" w:eastAsia="Arial" w:hAnsi="Arial"/>
          <w:sz w:val="16"/>
          <w:szCs w:val="16"/>
          <w:color w:val="auto"/>
        </w:rPr>
        <w:t>We may sell from time to time up to $100,000,000 of our common stock in one or more transactions. We will provide specific terms of these securities and offerings in supplements to this prospectus. You should read this prospectus and any supplement carefully before you invest.</w:t>
      </w:r>
    </w:p>
    <w:p>
      <w:pPr>
        <w:spacing w:after="0" w:line="61" w:lineRule="exact"/>
        <w:rPr>
          <w:sz w:val="20"/>
          <w:szCs w:val="20"/>
          <w:color w:val="auto"/>
        </w:rPr>
      </w:pPr>
    </w:p>
    <w:p>
      <w:pPr>
        <w:jc w:val="both"/>
        <w:ind w:right="40" w:firstLine="403"/>
        <w:spacing w:after="0" w:line="279" w:lineRule="auto"/>
        <w:rPr>
          <w:sz w:val="20"/>
          <w:szCs w:val="20"/>
          <w:color w:val="auto"/>
        </w:rPr>
      </w:pPr>
      <w:r>
        <w:rPr>
          <w:rFonts w:ascii="Arial" w:cs="Arial" w:eastAsia="Arial" w:hAnsi="Arial"/>
          <w:sz w:val="16"/>
          <w:szCs w:val="16"/>
          <w:b w:val="1"/>
          <w:bCs w:val="1"/>
          <w:color w:val="auto"/>
        </w:rPr>
        <w:t>The securities offered in this prospectus involve a high degree of risk. You should carefully consider the “Risk Factors” set forth herein beginning on page 1 and in our future filings made with the Securities and Exchange Commission, which are incorporated by reference in this prospectus, in determining whether to purchase our securities.</w:t>
      </w:r>
    </w:p>
    <w:p>
      <w:pPr>
        <w:spacing w:after="0" w:line="75" w:lineRule="exact"/>
        <w:rPr>
          <w:sz w:val="20"/>
          <w:szCs w:val="20"/>
          <w:color w:val="auto"/>
        </w:rPr>
      </w:pPr>
    </w:p>
    <w:p>
      <w:pPr>
        <w:ind w:right="560" w:firstLine="403"/>
        <w:spacing w:after="0" w:line="291" w:lineRule="auto"/>
        <w:rPr>
          <w:sz w:val="20"/>
          <w:szCs w:val="20"/>
          <w:color w:val="auto"/>
        </w:rPr>
      </w:pPr>
      <w:r>
        <w:rPr>
          <w:rFonts w:ascii="Arial" w:cs="Arial" w:eastAsia="Arial" w:hAnsi="Arial"/>
          <w:sz w:val="16"/>
          <w:szCs w:val="16"/>
          <w:color w:val="auto"/>
        </w:rPr>
        <w:t>Our common stock is currently listed on the Nasdaq National Market with the ticker symbol: “STEM.” On October 31, 2005, the closing price of one share of our common stock on the Nasdaq National Market was $4.57.</w:t>
      </w:r>
    </w:p>
    <w:p>
      <w:pPr>
        <w:spacing w:after="0" w:line="6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72" w:lineRule="exact"/>
        <w:rPr>
          <w:sz w:val="20"/>
          <w:szCs w:val="20"/>
          <w:color w:val="auto"/>
        </w:rPr>
      </w:pPr>
    </w:p>
    <w:p>
      <w:pPr>
        <w:jc w:val="center"/>
        <w:spacing w:after="0"/>
        <w:tabs>
          <w:tab w:leader="none" w:pos="34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405130</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firstLine="448"/>
        <w:spacing w:after="0" w:line="259"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We have not authorized anyone to provide you with different information. This prospectus may only be used where it is legal to sell these securities. You should not assume that the information contained in this prospectus is accurate as of any date other than the date on the front of this prospectus. Our business, financial condition, results of operations and prospects may have changed since that date.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0" w:type="dxa"/>
            <w:vAlign w:val="bottom"/>
          </w:tcPr>
          <w:p>
            <w:pPr>
              <w:jc w:val="right"/>
              <w:ind w:right="4652"/>
              <w:spacing w:after="0"/>
              <w:rPr>
                <w:sz w:val="20"/>
                <w:szCs w:val="20"/>
                <w:color w:val="auto"/>
              </w:rPr>
            </w:pPr>
            <w:r>
              <w:rPr>
                <w:rFonts w:ascii="Arial" w:cs="Arial" w:eastAsia="Arial" w:hAnsi="Arial"/>
                <w:sz w:val="18"/>
                <w:szCs w:val="18"/>
                <w:b w:val="1"/>
                <w:bCs w:val="1"/>
                <w:color w:val="auto"/>
              </w:rPr>
              <w:t>TABLE OF CONTENTS</w:t>
            </w:r>
          </w:p>
        </w:tc>
      </w:tr>
      <w:tr>
        <w:trPr>
          <w:trHeight w:val="348"/>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0" w:type="dxa"/>
            <w:vAlign w:val="bottom"/>
          </w:tcPr>
          <w:p>
            <w:pPr>
              <w:jc w:val="right"/>
              <w:ind w:right="12"/>
              <w:spacing w:after="0"/>
              <w:rPr>
                <w:sz w:val="20"/>
                <w:szCs w:val="20"/>
                <w:color w:val="auto"/>
              </w:rPr>
            </w:pPr>
            <w:r>
              <w:rPr>
                <w:rFonts w:ascii="Arial" w:cs="Arial" w:eastAsia="Arial" w:hAnsi="Arial"/>
                <w:sz w:val="14"/>
                <w:szCs w:val="14"/>
                <w:color w:val="auto"/>
              </w:rPr>
              <w:t>Page</w:t>
            </w:r>
          </w:p>
        </w:tc>
      </w:tr>
      <w:tr>
        <w:trPr>
          <w:trHeight w:val="189"/>
        </w:trPr>
        <w:tc>
          <w:tcPr>
            <w:tcW w:w="4220" w:type="dxa"/>
            <w:vAlign w:val="bottom"/>
            <w:gridSpan w:val="12"/>
          </w:tcPr>
          <w:p>
            <w:pPr>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7200" w:type="dxa"/>
            <w:vAlign w:val="bottom"/>
          </w:tcPr>
          <w:p>
            <w:pPr>
              <w:jc w:val="right"/>
              <w:ind w:right="12"/>
              <w:spacing w:after="0" w:line="189" w:lineRule="exact"/>
              <w:rPr>
                <w:sz w:val="20"/>
                <w:szCs w:val="20"/>
                <w:color w:val="auto"/>
              </w:rPr>
            </w:pPr>
            <w:r>
              <w:rPr>
                <w:rFonts w:ascii="Arial" w:cs="Arial" w:eastAsia="Arial" w:hAnsi="Arial"/>
                <w:sz w:val="18"/>
                <w:szCs w:val="18"/>
                <w:color w:val="auto"/>
              </w:rPr>
              <w:t>1</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5"/>
        </w:trPr>
        <w:tc>
          <w:tcPr>
            <w:tcW w:w="4220" w:type="dxa"/>
            <w:vAlign w:val="bottom"/>
            <w:gridSpan w:val="12"/>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7200" w:type="dxa"/>
            <w:vAlign w:val="bottom"/>
          </w:tcPr>
          <w:p>
            <w:pPr>
              <w:jc w:val="right"/>
              <w:ind w:right="12"/>
              <w:spacing w:after="0" w:line="195" w:lineRule="exact"/>
              <w:rPr>
                <w:sz w:val="20"/>
                <w:szCs w:val="20"/>
                <w:color w:val="auto"/>
              </w:rPr>
            </w:pPr>
            <w:r>
              <w:rPr>
                <w:rFonts w:ascii="Arial" w:cs="Arial" w:eastAsia="Arial" w:hAnsi="Arial"/>
                <w:sz w:val="18"/>
                <w:szCs w:val="18"/>
                <w:color w:val="auto"/>
              </w:rPr>
              <w:t>1</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5"/>
        </w:trPr>
        <w:tc>
          <w:tcPr>
            <w:tcW w:w="3300" w:type="dxa"/>
            <w:vAlign w:val="bottom"/>
            <w:tcBorders>
              <w:bottom w:val="single" w:sz="8" w:color="0000EE"/>
            </w:tcBorders>
            <w:gridSpan w:val="10"/>
          </w:tcPr>
          <w:p>
            <w:pPr>
              <w:spacing w:after="0" w:line="195"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Note Regarding Forward-Looking Statements</w:t>
              </w:r>
            </w:hyperlink>
          </w:p>
        </w:tc>
        <w:tc>
          <w:tcPr>
            <w:tcW w:w="920" w:type="dxa"/>
            <w:vAlign w:val="bottom"/>
            <w:gridSpan w:val="2"/>
          </w:tcPr>
          <w:p>
            <w:pPr>
              <w:spacing w:after="0"/>
              <w:rPr>
                <w:sz w:val="16"/>
                <w:szCs w:val="16"/>
                <w:color w:val="auto"/>
              </w:rPr>
            </w:pPr>
          </w:p>
        </w:tc>
        <w:tc>
          <w:tcPr>
            <w:tcW w:w="7200" w:type="dxa"/>
            <w:vAlign w:val="bottom"/>
          </w:tcPr>
          <w:p>
            <w:pPr>
              <w:jc w:val="right"/>
              <w:ind w:right="12"/>
              <w:spacing w:after="0" w:line="195" w:lineRule="exact"/>
              <w:rPr>
                <w:sz w:val="20"/>
                <w:szCs w:val="20"/>
                <w:color w:val="auto"/>
              </w:rPr>
            </w:pPr>
            <w:r>
              <w:rPr>
                <w:rFonts w:ascii="Arial" w:cs="Arial" w:eastAsia="Arial" w:hAnsi="Arial"/>
                <w:sz w:val="18"/>
                <w:szCs w:val="18"/>
                <w:color w:val="auto"/>
              </w:rPr>
              <w:t>8</w:t>
            </w:r>
          </w:p>
        </w:tc>
      </w:tr>
      <w:tr>
        <w:trPr>
          <w:trHeight w:val="195"/>
        </w:trPr>
        <w:tc>
          <w:tcPr>
            <w:tcW w:w="1220" w:type="dxa"/>
            <w:vAlign w:val="bottom"/>
            <w:tcBorders>
              <w:bottom w:val="single" w:sz="8" w:color="0000EE"/>
            </w:tcBorders>
            <w:gridSpan w:val="7"/>
          </w:tcPr>
          <w:p>
            <w:pPr>
              <w:spacing w:after="0" w:line="195"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Use Of Proceeds</w:t>
              </w:r>
            </w:hyperlink>
          </w:p>
        </w:tc>
        <w:tc>
          <w:tcPr>
            <w:tcW w:w="3000" w:type="dxa"/>
            <w:vAlign w:val="bottom"/>
            <w:gridSpan w:val="5"/>
          </w:tcPr>
          <w:p>
            <w:pPr>
              <w:spacing w:after="0"/>
              <w:rPr>
                <w:sz w:val="16"/>
                <w:szCs w:val="16"/>
                <w:color w:val="auto"/>
              </w:rPr>
            </w:pPr>
          </w:p>
        </w:tc>
        <w:tc>
          <w:tcPr>
            <w:tcW w:w="7200" w:type="dxa"/>
            <w:vAlign w:val="bottom"/>
          </w:tcPr>
          <w:p>
            <w:pPr>
              <w:jc w:val="right"/>
              <w:ind w:right="12"/>
              <w:spacing w:after="0" w:line="195" w:lineRule="exact"/>
              <w:rPr>
                <w:sz w:val="20"/>
                <w:szCs w:val="20"/>
                <w:color w:val="auto"/>
              </w:rPr>
            </w:pPr>
            <w:r>
              <w:rPr>
                <w:rFonts w:ascii="Arial" w:cs="Arial" w:eastAsia="Arial" w:hAnsi="Arial"/>
                <w:sz w:val="18"/>
                <w:szCs w:val="18"/>
                <w:color w:val="auto"/>
              </w:rPr>
              <w:t>9</w:t>
            </w:r>
          </w:p>
        </w:tc>
      </w:tr>
      <w:tr>
        <w:trPr>
          <w:trHeight w:val="195"/>
        </w:trPr>
        <w:tc>
          <w:tcPr>
            <w:tcW w:w="1480" w:type="dxa"/>
            <w:vAlign w:val="bottom"/>
            <w:tcBorders>
              <w:bottom w:val="single" w:sz="8" w:color="0000EE"/>
            </w:tcBorders>
            <w:gridSpan w:val="8"/>
          </w:tcPr>
          <w:p>
            <w:pPr>
              <w:spacing w:after="0" w:line="195"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Plan Of Distribution</w:t>
              </w:r>
            </w:hyperlink>
          </w:p>
        </w:tc>
        <w:tc>
          <w:tcPr>
            <w:tcW w:w="2740" w:type="dxa"/>
            <w:vAlign w:val="bottom"/>
            <w:gridSpan w:val="4"/>
          </w:tcPr>
          <w:p>
            <w:pPr>
              <w:spacing w:after="0"/>
              <w:rPr>
                <w:sz w:val="16"/>
                <w:szCs w:val="16"/>
                <w:color w:val="auto"/>
              </w:rPr>
            </w:pPr>
          </w:p>
        </w:tc>
        <w:tc>
          <w:tcPr>
            <w:tcW w:w="7200" w:type="dxa"/>
            <w:vAlign w:val="bottom"/>
          </w:tcPr>
          <w:p>
            <w:pPr>
              <w:jc w:val="right"/>
              <w:ind w:right="12"/>
              <w:spacing w:after="0" w:line="195" w:lineRule="exact"/>
              <w:rPr>
                <w:sz w:val="20"/>
                <w:szCs w:val="20"/>
                <w:color w:val="auto"/>
              </w:rPr>
            </w:pPr>
            <w:r>
              <w:rPr>
                <w:rFonts w:ascii="Arial" w:cs="Arial" w:eastAsia="Arial" w:hAnsi="Arial"/>
                <w:sz w:val="18"/>
                <w:szCs w:val="18"/>
                <w:color w:val="auto"/>
              </w:rPr>
              <w:t>10</w:t>
            </w:r>
          </w:p>
        </w:tc>
      </w:tr>
      <w:tr>
        <w:trPr>
          <w:trHeight w:val="195"/>
        </w:trPr>
        <w:tc>
          <w:tcPr>
            <w:tcW w:w="4220" w:type="dxa"/>
            <w:vAlign w:val="bottom"/>
            <w:gridSpan w:val="12"/>
          </w:tcPr>
          <w:p>
            <w:pPr>
              <w:spacing w:after="0" w:line="195" w:lineRule="exact"/>
              <w:rPr>
                <w:rFonts w:ascii="Arial" w:cs="Arial" w:eastAsia="Arial" w:hAnsi="Arial"/>
                <w:sz w:val="18"/>
                <w:szCs w:val="18"/>
                <w:color w:val="0000EE"/>
              </w:rPr>
            </w:pPr>
            <w:hyperlink w:anchor="page15">
              <w:r>
                <w:rPr>
                  <w:rFonts w:ascii="Arial" w:cs="Arial" w:eastAsia="Arial" w:hAnsi="Arial"/>
                  <w:sz w:val="18"/>
                  <w:szCs w:val="18"/>
                  <w:color w:val="0000EE"/>
                </w:rPr>
                <w:t>Where You Can Find More Information</w:t>
              </w:r>
            </w:hyperlink>
          </w:p>
        </w:tc>
        <w:tc>
          <w:tcPr>
            <w:tcW w:w="7200" w:type="dxa"/>
            <w:vAlign w:val="bottom"/>
          </w:tcPr>
          <w:p>
            <w:pPr>
              <w:jc w:val="right"/>
              <w:ind w:right="12"/>
              <w:spacing w:after="0" w:line="195" w:lineRule="exact"/>
              <w:rPr>
                <w:sz w:val="20"/>
                <w:szCs w:val="20"/>
                <w:color w:val="auto"/>
              </w:rPr>
            </w:pPr>
            <w:r>
              <w:rPr>
                <w:rFonts w:ascii="Arial" w:cs="Arial" w:eastAsia="Arial" w:hAnsi="Arial"/>
                <w:sz w:val="18"/>
                <w:szCs w:val="18"/>
                <w:color w:val="auto"/>
              </w:rPr>
              <w:t>11</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5"/>
        </w:trPr>
        <w:tc>
          <w:tcPr>
            <w:tcW w:w="3680" w:type="dxa"/>
            <w:vAlign w:val="bottom"/>
            <w:tcBorders>
              <w:bottom w:val="single" w:sz="8" w:color="0000EE"/>
            </w:tcBorders>
            <w:gridSpan w:val="11"/>
          </w:tcPr>
          <w:p>
            <w:pPr>
              <w:spacing w:after="0" w:line="195"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Incorporation Of Certain Documents By Reference</w:t>
              </w:r>
            </w:hyperlink>
          </w:p>
        </w:tc>
        <w:tc>
          <w:tcPr>
            <w:tcW w:w="540" w:type="dxa"/>
            <w:vAlign w:val="bottom"/>
          </w:tcPr>
          <w:p>
            <w:pPr>
              <w:spacing w:after="0"/>
              <w:rPr>
                <w:sz w:val="16"/>
                <w:szCs w:val="16"/>
                <w:color w:val="auto"/>
              </w:rPr>
            </w:pPr>
          </w:p>
        </w:tc>
        <w:tc>
          <w:tcPr>
            <w:tcW w:w="7200" w:type="dxa"/>
            <w:vAlign w:val="bottom"/>
          </w:tcPr>
          <w:p>
            <w:pPr>
              <w:jc w:val="right"/>
              <w:ind w:right="12"/>
              <w:spacing w:after="0" w:line="195" w:lineRule="exact"/>
              <w:rPr>
                <w:sz w:val="20"/>
                <w:szCs w:val="20"/>
                <w:color w:val="auto"/>
              </w:rPr>
            </w:pPr>
            <w:r>
              <w:rPr>
                <w:rFonts w:ascii="Arial" w:cs="Arial" w:eastAsia="Arial" w:hAnsi="Arial"/>
                <w:sz w:val="18"/>
                <w:szCs w:val="18"/>
                <w:color w:val="auto"/>
              </w:rPr>
              <w:t>11</w:t>
            </w:r>
          </w:p>
        </w:tc>
      </w:tr>
      <w:tr>
        <w:trPr>
          <w:trHeight w:val="195"/>
        </w:trPr>
        <w:tc>
          <w:tcPr>
            <w:tcW w:w="4220" w:type="dxa"/>
            <w:vAlign w:val="bottom"/>
            <w:gridSpan w:val="12"/>
          </w:tcPr>
          <w:p>
            <w:pPr>
              <w:spacing w:after="0" w:line="195" w:lineRule="exact"/>
              <w:rPr>
                <w:rFonts w:ascii="Arial" w:cs="Arial" w:eastAsia="Arial" w:hAnsi="Arial"/>
                <w:sz w:val="18"/>
                <w:szCs w:val="18"/>
                <w:color w:val="0000EE"/>
              </w:rPr>
            </w:pPr>
            <w:hyperlink w:anchor="page16">
              <w:r>
                <w:rPr>
                  <w:rFonts w:ascii="Arial" w:cs="Arial" w:eastAsia="Arial" w:hAnsi="Arial"/>
                  <w:sz w:val="18"/>
                  <w:szCs w:val="18"/>
                  <w:color w:val="0000EE"/>
                </w:rPr>
                <w:t>Legal Opinion</w:t>
              </w:r>
            </w:hyperlink>
          </w:p>
        </w:tc>
        <w:tc>
          <w:tcPr>
            <w:tcW w:w="7200" w:type="dxa"/>
            <w:vAlign w:val="bottom"/>
          </w:tcPr>
          <w:p>
            <w:pPr>
              <w:jc w:val="right"/>
              <w:ind w:right="12"/>
              <w:spacing w:after="0" w:line="195" w:lineRule="exact"/>
              <w:rPr>
                <w:sz w:val="20"/>
                <w:szCs w:val="20"/>
                <w:color w:val="auto"/>
              </w:rPr>
            </w:pPr>
            <w:r>
              <w:rPr>
                <w:rFonts w:ascii="Arial" w:cs="Arial" w:eastAsia="Arial" w:hAnsi="Arial"/>
                <w:sz w:val="18"/>
                <w:szCs w:val="18"/>
                <w:color w:val="auto"/>
              </w:rPr>
              <w:t>12</w:t>
            </w:r>
          </w:p>
        </w:tc>
      </w:tr>
      <w:tr>
        <w:trPr>
          <w:trHeight w:val="195"/>
        </w:trPr>
        <w:tc>
          <w:tcPr>
            <w:tcW w:w="56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Experts</w:t>
              </w:r>
            </w:hyperlink>
          </w:p>
        </w:tc>
        <w:tc>
          <w:tcPr>
            <w:tcW w:w="480" w:type="dxa"/>
            <w:vAlign w:val="bottom"/>
            <w:tcBorders>
              <w:top w:val="single" w:sz="8" w:color="0000EE"/>
            </w:tcBorders>
            <w:gridSpan w:val="3"/>
          </w:tcPr>
          <w:p>
            <w:pPr>
              <w:spacing w:after="0"/>
              <w:rPr>
                <w:sz w:val="16"/>
                <w:szCs w:val="16"/>
                <w:color w:val="auto"/>
              </w:rPr>
            </w:pPr>
          </w:p>
        </w:tc>
        <w:tc>
          <w:tcPr>
            <w:tcW w:w="3180" w:type="dxa"/>
            <w:vAlign w:val="bottom"/>
            <w:gridSpan w:val="7"/>
          </w:tcPr>
          <w:p>
            <w:pPr>
              <w:spacing w:after="0"/>
              <w:rPr>
                <w:sz w:val="16"/>
                <w:szCs w:val="16"/>
                <w:color w:val="auto"/>
              </w:rPr>
            </w:pPr>
          </w:p>
        </w:tc>
        <w:tc>
          <w:tcPr>
            <w:tcW w:w="7200" w:type="dxa"/>
            <w:vAlign w:val="bottom"/>
          </w:tcPr>
          <w:p>
            <w:pPr>
              <w:jc w:val="right"/>
              <w:ind w:right="12"/>
              <w:spacing w:after="0" w:line="195" w:lineRule="exact"/>
              <w:rPr>
                <w:sz w:val="20"/>
                <w:szCs w:val="20"/>
                <w:color w:val="auto"/>
              </w:rPr>
            </w:pPr>
            <w:r>
              <w:rPr>
                <w:rFonts w:ascii="Arial" w:cs="Arial" w:eastAsia="Arial" w:hAnsi="Arial"/>
                <w:sz w:val="18"/>
                <w:szCs w:val="18"/>
                <w:color w:val="auto"/>
              </w:rPr>
              <w:t>12</w:t>
            </w:r>
          </w:p>
        </w:tc>
      </w:tr>
      <w:tr>
        <w:trPr>
          <w:trHeight w:val="195"/>
        </w:trPr>
        <w:tc>
          <w:tcPr>
            <w:tcW w:w="60" w:type="dxa"/>
            <w:vAlign w:val="bottom"/>
          </w:tcPr>
          <w:p>
            <w:pPr>
              <w:spacing w:after="0"/>
              <w:rPr>
                <w:sz w:val="16"/>
                <w:szCs w:val="16"/>
                <w:color w:val="auto"/>
              </w:rPr>
            </w:pPr>
          </w:p>
        </w:tc>
        <w:tc>
          <w:tcPr>
            <w:tcW w:w="104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w w:val="98"/>
              </w:rPr>
              <w:t>EXHIBIT 23.1</w:t>
            </w:r>
          </w:p>
        </w:tc>
        <w:tc>
          <w:tcPr>
            <w:tcW w:w="3120" w:type="dxa"/>
            <w:vAlign w:val="bottom"/>
            <w:gridSpan w:val="6"/>
          </w:tcPr>
          <w:p>
            <w:pPr>
              <w:spacing w:after="0"/>
              <w:rPr>
                <w:sz w:val="16"/>
                <w:szCs w:val="16"/>
                <w:color w:val="auto"/>
              </w:rPr>
            </w:pPr>
          </w:p>
        </w:tc>
        <w:tc>
          <w:tcPr>
            <w:tcW w:w="720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4160" w:type="dxa"/>
            <w:vAlign w:val="bottom"/>
            <w:gridSpan w:val="11"/>
          </w:tcPr>
          <w:p>
            <w:pPr>
              <w:spacing w:after="0"/>
              <w:rPr>
                <w:sz w:val="20"/>
                <w:szCs w:val="20"/>
                <w:color w:val="auto"/>
              </w:rPr>
            </w:pPr>
            <w:r>
              <w:rPr>
                <w:rFonts w:ascii="Arial" w:cs="Arial" w:eastAsia="Arial" w:hAnsi="Arial"/>
                <w:sz w:val="17"/>
                <w:szCs w:val="17"/>
                <w:color w:val="0000EE"/>
              </w:rPr>
              <w:t>EXHIBIT 23.2</w:t>
            </w:r>
          </w:p>
        </w:tc>
        <w:tc>
          <w:tcPr>
            <w:tcW w:w="7200" w:type="dxa"/>
            <w:vAlign w:val="bottom"/>
          </w:tcPr>
          <w:p>
            <w:pPr>
              <w:spacing w:after="0"/>
              <w:rPr>
                <w:sz w:val="16"/>
                <w:szCs w:val="16"/>
                <w:color w:val="auto"/>
              </w:rPr>
            </w:pPr>
          </w:p>
        </w:tc>
      </w:tr>
      <w:tr>
        <w:trPr>
          <w:trHeight w:val="635"/>
        </w:trPr>
        <w:tc>
          <w:tcPr>
            <w:tcW w:w="60" w:type="dxa"/>
            <w:vAlign w:val="bottom"/>
            <w:tcBorders>
              <w:bottom w:val="single" w:sz="8" w:color="808080"/>
            </w:tcBorders>
          </w:tcPr>
          <w:p>
            <w:pPr>
              <w:spacing w:after="0"/>
              <w:rPr>
                <w:sz w:val="24"/>
                <w:szCs w:val="24"/>
                <w:color w:val="auto"/>
              </w:rPr>
            </w:pPr>
          </w:p>
        </w:tc>
        <w:tc>
          <w:tcPr>
            <w:tcW w:w="50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7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20" w:lineRule="exact"/>
        <w:rPr>
          <w:sz w:val="20"/>
          <w:szCs w:val="20"/>
          <w:color w:val="auto"/>
        </w:rPr>
      </w:pPr>
    </w:p>
    <w:p>
      <w:pPr>
        <w:ind w:right="20" w:firstLine="448"/>
        <w:spacing w:after="0" w:line="262"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financial statements appearing elsewhere or incorporated by reference in this prospectus. Without limiting the generality of the foregoing, prospective investors should carefully consider factors set forth under the caption “Risk Factors” below.</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120" w:lineRule="exact"/>
        <w:rPr>
          <w:sz w:val="20"/>
          <w:szCs w:val="20"/>
          <w:color w:val="auto"/>
        </w:rPr>
      </w:pPr>
    </w:p>
    <w:p>
      <w:pPr>
        <w:ind w:right="100" w:firstLine="445"/>
        <w:spacing w:after="0" w:line="269" w:lineRule="auto"/>
        <w:rPr>
          <w:sz w:val="20"/>
          <w:szCs w:val="20"/>
          <w:color w:val="auto"/>
        </w:rPr>
      </w:pPr>
      <w:r>
        <w:rPr>
          <w:rFonts w:ascii="Arial" w:cs="Arial" w:eastAsia="Arial" w:hAnsi="Arial"/>
          <w:sz w:val="17"/>
          <w:szCs w:val="17"/>
          <w:color w:val="auto"/>
        </w:rPr>
        <w:t>We are engaged in research aimed at the development of therapies that would use stem and progenitor cells to treat, and possibly cure, human diseases and injuries such as neurodegenerative diseases (for instance, Batten, Parkinson’s, and Alzheimer’s diseases, and other metabolic genetic disorders), demyelinating disorders (for instance, Multiple Sclerosis), spinal cord injuries, stroke, hepatitis, chronic liver failure, and diabetes. 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 We use cells derived from fetal or adult tissue sources, and are not developing embryonic stem cells for therapeutic use. Neither are we involved in any activity directed toward human cloning; our programs are all directed toward the use of tissue-derived cells for treating or curing diseases and injuries.</w:t>
      </w:r>
    </w:p>
    <w:p>
      <w:pPr>
        <w:spacing w:after="0" w:line="71" w:lineRule="exact"/>
        <w:rPr>
          <w:sz w:val="20"/>
          <w:szCs w:val="20"/>
          <w:color w:val="auto"/>
        </w:rPr>
      </w:pPr>
    </w:p>
    <w:p>
      <w:pPr>
        <w:ind w:firstLine="448"/>
        <w:spacing w:after="0" w:line="278" w:lineRule="auto"/>
        <w:rPr>
          <w:sz w:val="20"/>
          <w:szCs w:val="20"/>
          <w:color w:val="auto"/>
        </w:rPr>
      </w:pPr>
      <w:r>
        <w:rPr>
          <w:rFonts w:ascii="Arial" w:cs="Arial" w:eastAsia="Arial" w:hAnsi="Arial"/>
          <w:sz w:val="17"/>
          <w:szCs w:val="17"/>
          <w:color w:val="auto"/>
        </w:rPr>
        <w:t>Many diseases, such as Alzheimer’s, Parkinson’s, lysosomal storage diseases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that these neural, liver and pancreatic conditions affect more than 50 million people in the United States and account for more than $300 billion annually in health care costs.</w:t>
      </w:r>
    </w:p>
    <w:p>
      <w:pPr>
        <w:spacing w:after="0" w:line="62" w:lineRule="exact"/>
        <w:rPr>
          <w:sz w:val="20"/>
          <w:szCs w:val="20"/>
          <w:color w:val="auto"/>
        </w:rPr>
      </w:pPr>
    </w:p>
    <w:p>
      <w:pPr>
        <w:ind w:right="60" w:firstLine="448"/>
        <w:spacing w:after="0" w:line="270" w:lineRule="auto"/>
        <w:rPr>
          <w:sz w:val="20"/>
          <w:szCs w:val="20"/>
          <w:color w:val="auto"/>
        </w:rPr>
      </w:pPr>
      <w:r>
        <w:rPr>
          <w:rFonts w:ascii="Arial" w:cs="Arial" w:eastAsia="Arial" w:hAnsi="Arial"/>
          <w:sz w:val="17"/>
          <w:szCs w:val="17"/>
          <w:color w:val="auto"/>
        </w:rPr>
        <w:t>Our stem cell discovery engine relies upon our state-of-the-art cell sorting capabilities and our library of known and proprietary monoclonal antibodies to human proteins. Using this library of monoclonal antibodies, we have successfully identified, purified, and characterized the human central nervous system stem cell. We have also used our proprietary monoclonal antibodies to make significant advances in our search for stem or progenitor cells of the liver and the pancreas. We have established an intellectual property position in all three areas of our stem cell research — the nervous system, the liver and the pancreas — by patenting our discoveries and entering into exclusive in-licensing arrangements. We believe that, if successfully developed, our platform of stem cell technologies may create the basis for therapies that would address a number of conditions with significant unmet medical needs. We are concentrating our efforts on the preclinical and clinical development of our neural stem cell program and research endeavors in characterizing the candidate stem/progenitor cells for the liver and pancreas programs.</w:t>
      </w:r>
    </w:p>
    <w:p>
      <w:pPr>
        <w:spacing w:after="0" w:line="69" w:lineRule="exact"/>
        <w:rPr>
          <w:sz w:val="20"/>
          <w:szCs w:val="20"/>
          <w:color w:val="auto"/>
        </w:rPr>
      </w:pPr>
    </w:p>
    <w:p>
      <w:pPr>
        <w:ind w:right="20" w:firstLine="493"/>
        <w:spacing w:after="0" w:line="258" w:lineRule="auto"/>
        <w:rPr>
          <w:sz w:val="20"/>
          <w:szCs w:val="20"/>
          <w:color w:val="auto"/>
        </w:rPr>
      </w:pPr>
      <w:r>
        <w:rPr>
          <w:rFonts w:ascii="Arial" w:cs="Arial" w:eastAsia="Arial" w:hAnsi="Arial"/>
          <w:sz w:val="18"/>
          <w:szCs w:val="18"/>
          <w:color w:val="auto"/>
        </w:rPr>
        <w:t>In late December 2004, we submitted our first Investigational New Drug application (IND) to the U.S. Food and Drug Administration (FDA) for a clinical trial using our proprietary human neural stem cells to treat Batten disease. On October 19, 2005, the Company received clearance from the FDA to begin a Phase I safety and preliminary efficacy trial. The Company plans to seek Institutional Review Board (IRB) approval from a number of leading medical institutions. Such approval is needed before the clinical trial may begin.</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principal executive offices are located at StemCells, Inc., 3155 Porter Drive, Palo Alto, CA 94304 and our phone number is (650) 475-3100.</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i w:val="1"/>
          <w:iCs w:val="1"/>
          <w:color w:val="auto"/>
        </w:rPr>
        <w:t>Investing in our common stock is risky. In addition to the other information in this prospectus, the following risk factors should be considered carefully in evaluating us and our business. If any of the following risks were to occur, our business, financial condition or results of operations would likely suffer. In that event, the trading price of our common stock could decline, and you could lose all or a part of your investment.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17"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12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i w:val="1"/>
          <w:iCs w:val="1"/>
          <w:color w:val="auto"/>
        </w:rPr>
        <w:t>Our financial situation is precarious and, based on currently estimated operating expenses, our existing capital resources may not be sufficient to fund our operations beyond 2006.</w:t>
      </w:r>
    </w:p>
    <w:p>
      <w:pPr>
        <w:spacing w:after="0" w:line="63" w:lineRule="exact"/>
        <w:rPr>
          <w:sz w:val="20"/>
          <w:szCs w:val="20"/>
          <w:color w:val="auto"/>
        </w:rPr>
      </w:pPr>
    </w:p>
    <w:p>
      <w:pPr>
        <w:ind w:right="20" w:firstLine="445"/>
        <w:spacing w:after="0" w:line="268" w:lineRule="auto"/>
        <w:rPr>
          <w:sz w:val="20"/>
          <w:szCs w:val="20"/>
          <w:color w:val="auto"/>
        </w:rPr>
      </w:pPr>
      <w:r>
        <w:rPr>
          <w:rFonts w:ascii="Arial" w:cs="Arial" w:eastAsia="Arial" w:hAnsi="Arial"/>
          <w:sz w:val="17"/>
          <w:szCs w:val="17"/>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and for acquisition of technologies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 We rely on cash reserves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reserves and are unable to realize adequate financing, we may be unable to meet operating obligations and be required to initiate bankruptcy proceedings. Our existing capital resources may not be sufficient to fund our operations beyond 2006.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72" w:lineRule="exact"/>
        <w:rPr>
          <w:sz w:val="20"/>
          <w:szCs w:val="20"/>
          <w:color w:val="auto"/>
        </w:rPr>
      </w:pPr>
    </w:p>
    <w:p>
      <w:pPr>
        <w:ind w:right="20" w:firstLine="445"/>
        <w:spacing w:after="0" w:line="274"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to delay, scale back or eliminate some or all of our research and product development programs and/or our capital expenditures or to license our potential products or technologies to third parties.</w:t>
      </w:r>
    </w:p>
    <w:p>
      <w:pPr>
        <w:spacing w:after="0" w:line="67"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i w:val="1"/>
          <w:iCs w:val="1"/>
          <w:color w:val="auto"/>
        </w:rPr>
        <w:t>Institutional Review Boards (IRBs) at the clinical sites to which we apply may fail to approve the clinical protocol for our Phase I clinical trial of our proprietary neural cell therapy product in Batten disease.</w:t>
      </w:r>
    </w:p>
    <w:p>
      <w:pPr>
        <w:spacing w:after="0" w:line="63" w:lineRule="exact"/>
        <w:rPr>
          <w:sz w:val="20"/>
          <w:szCs w:val="20"/>
          <w:color w:val="auto"/>
        </w:rPr>
      </w:pPr>
    </w:p>
    <w:p>
      <w:pPr>
        <w:ind w:right="40" w:firstLine="445"/>
        <w:spacing w:after="0" w:line="258" w:lineRule="auto"/>
        <w:rPr>
          <w:sz w:val="20"/>
          <w:szCs w:val="20"/>
          <w:color w:val="auto"/>
        </w:rPr>
      </w:pPr>
      <w:r>
        <w:rPr>
          <w:rFonts w:ascii="Arial" w:cs="Arial" w:eastAsia="Arial" w:hAnsi="Arial"/>
          <w:sz w:val="18"/>
          <w:szCs w:val="18"/>
          <w:color w:val="auto"/>
        </w:rPr>
        <w:t>We filed our first Investigational New Drug application, or IND, with the U.S. Food and Drug Administration (FDA) in late December 2004 for our proposed Phase I clinical trial of our proprietary neural cell therapy product – HuCNS SC – to treat Batten disease. The FDA recently informed us that it has approved our IND. We plan to seek Institutional Review Board (IRB) approval from a number of leading medical institutions. Such approval is needed before the clinical trial may begin. There can be no guarantee that we will obtain IRB approval.</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is at an early stage of discovery and development, and we may fail to develop any commercially acceptable products.</w:t>
      </w:r>
    </w:p>
    <w:p>
      <w:pPr>
        <w:spacing w:after="0" w:line="127"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We have yet to develop any products. Our stem cell technology is still at the discovery phase for the liver and pancreas stem cells and, while the FDA has approved our IND with respect to our human neural (brain) stem cells, as described above we need to obtain IRB approval before we can proceed with our clinical trial.</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417"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We may fail to discover the stem cells we are seeking, to develop any products, to obtain regulatory approvals, to enter clinical trials, or to commercialize any products. Any product using stem cell technology may fail to:</w:t>
      </w:r>
    </w:p>
    <w:p>
      <w:pPr>
        <w:spacing w:after="0" w:line="63" w:lineRule="exact"/>
        <w:rPr>
          <w:sz w:val="20"/>
          <w:szCs w:val="20"/>
          <w:color w:val="auto"/>
        </w:rPr>
      </w:pPr>
    </w:p>
    <w:p>
      <w:pPr>
        <w:ind w:left="440" w:hanging="217"/>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survive and persist in the desired location;</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provide the intended therapeutic benefits;</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properly integrate into existing tissue in the desired manner; or</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achieve therapeutic benefits equal to or better than the standard of treatment at the time of testing.</w:t>
      </w:r>
    </w:p>
    <w:p>
      <w:pPr>
        <w:spacing w:after="0" w:line="116" w:lineRule="exact"/>
        <w:rPr>
          <w:sz w:val="20"/>
          <w:szCs w:val="20"/>
          <w:color w:val="auto"/>
        </w:rPr>
      </w:pPr>
    </w:p>
    <w:p>
      <w:pPr>
        <w:ind w:firstLine="448"/>
        <w:spacing w:after="0" w:line="254" w:lineRule="auto"/>
        <w:rPr>
          <w:sz w:val="20"/>
          <w:szCs w:val="20"/>
          <w:color w:val="auto"/>
        </w:rPr>
      </w:pPr>
      <w:r>
        <w:rPr>
          <w:rFonts w:ascii="Arial" w:cs="Arial" w:eastAsia="Arial" w:hAnsi="Arial"/>
          <w:sz w:val="18"/>
          <w:szCs w:val="18"/>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 claims.</w:t>
      </w:r>
    </w:p>
    <w:p>
      <w:pPr>
        <w:spacing w:after="0" w:line="84" w:lineRule="exact"/>
        <w:rPr>
          <w:sz w:val="20"/>
          <w:szCs w:val="20"/>
          <w:color w:val="auto"/>
        </w:rPr>
      </w:pPr>
    </w:p>
    <w:p>
      <w:pPr>
        <w:ind w:right="120" w:firstLine="448"/>
        <w:spacing w:after="0" w:line="295" w:lineRule="auto"/>
        <w:rPr>
          <w:sz w:val="20"/>
          <w:szCs w:val="20"/>
          <w:color w:val="auto"/>
        </w:rPr>
      </w:pPr>
      <w:r>
        <w:rPr>
          <w:rFonts w:ascii="Arial" w:cs="Arial" w:eastAsia="Arial" w:hAnsi="Arial"/>
          <w:sz w:val="16"/>
          <w:szCs w:val="16"/>
          <w:color w:val="auto"/>
        </w:rPr>
        <w:t>Moreover, because our cell therapy treatments will be derived from tissue of individuals other than the patient (that is, they will be “non-self” or “allogeneic” transplant products), patients will require the use of immunosuppressive drugs such as cyclosporine, FK506, or others to prevent rejection of the cells. While immunosuppression is now standard in connection with allogeneic transplants of various kinds, long-term maintenance on immunosuppressive drugs can produce complications that include infection, cancer, cardiovascular disease, renal dysfunction and other side effects depending upon which immunosuppressive regimen is employed. Immunosuppression has not been tested with our therapies since we have not yet conducted any clinical trials.</w:t>
      </w:r>
    </w:p>
    <w:p>
      <w:pPr>
        <w:spacing w:after="0" w:line="5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i w:val="1"/>
          <w:iCs w:val="1"/>
          <w:color w:val="auto"/>
        </w:rPr>
        <w:t>We have payment obligations resulting from real property owned or leased by us in Rhode Island, which diverts funding from our stem cell research and development.</w:t>
      </w:r>
    </w:p>
    <w:p>
      <w:pPr>
        <w:spacing w:after="0" w:line="63" w:lineRule="exact"/>
        <w:rPr>
          <w:sz w:val="20"/>
          <w:szCs w:val="20"/>
          <w:color w:val="auto"/>
        </w:rPr>
      </w:pPr>
    </w:p>
    <w:p>
      <w:pPr>
        <w:ind w:right="20" w:firstLine="448"/>
        <w:spacing w:after="0" w:line="284" w:lineRule="auto"/>
        <w:rPr>
          <w:sz w:val="20"/>
          <w:szCs w:val="20"/>
          <w:color w:val="auto"/>
        </w:rPr>
      </w:pPr>
      <w:r>
        <w:rPr>
          <w:rFonts w:ascii="Arial" w:cs="Arial" w:eastAsia="Arial" w:hAnsi="Arial"/>
          <w:sz w:val="16"/>
          <w:szCs w:val="16"/>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lease payments and payments for operating costs of approximately $1,450,000 per year before sub-tenant rent income for our former science and administrative facility, which we have leased through June 30, 2013, and debt service payments and payments for operating costs of approximately $500,000 per year for our former encapsulated cell therapy pilot manufacturing facility, which we own. We have currently subleased a portion of the science and administrative facility, and are seeking to sublease the remaining portion, but we cannot be sure that we will be able to keep any part of the facility subleased for the duration of our obligation. We have currently subleased the entire pilot manufacturing facility to a privately-held biotechnology company, but may not be able to sublease or sell the facility in the future once the current sublease agreements expire. These continuing costs significantly reduce our cash resources and adversely affect our ability to fund further development of our stem cell technology.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September 30, 2005, the reserve was $5,520,000. The Company incurred $845,000 in operating expenses for the nine month period ending September 30, 2005, which was recorded against the reserve.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but fail to obtain partners to support our stem cell development efforts and to commercialize our technology.</w:t>
      </w:r>
    </w:p>
    <w:p>
      <w:pPr>
        <w:spacing w:after="0" w:line="116" w:lineRule="exact"/>
        <w:rPr>
          <w:sz w:val="20"/>
          <w:szCs w:val="20"/>
          <w:color w:val="auto"/>
        </w:rPr>
      </w:pPr>
    </w:p>
    <w:p>
      <w:pPr>
        <w:ind w:right="20" w:firstLine="448"/>
        <w:spacing w:after="0" w:line="288" w:lineRule="auto"/>
        <w:rPr>
          <w:sz w:val="20"/>
          <w:szCs w:val="20"/>
          <w:color w:val="auto"/>
        </w:rPr>
      </w:pPr>
      <w:r>
        <w:rPr>
          <w:rFonts w:ascii="Arial" w:cs="Arial" w:eastAsia="Arial" w:hAnsi="Arial"/>
          <w:sz w:val="16"/>
          <w:szCs w:val="16"/>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we may fail to obtain revenues or become profitable.</w:t>
      </w:r>
    </w:p>
    <w:p>
      <w:pPr>
        <w:spacing w:after="0" w:line="116"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we have only one current research grant for our stem cell technology, and we may not obtain any such agreements or additional grants in the future or receive any revenues from them.</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patents and proprietary rights, our business, financial condition and results of operations will be harmed.</w:t>
      </w:r>
    </w:p>
    <w:p>
      <w:pPr>
        <w:spacing w:after="0" w:line="127"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We own or license a number of patents and pending patent applications related to various stem and progenitor cells and methods of deriving and using them, including human neural stem cell cultures.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if any existing or future patents will provide sufficient protection or significant commercial advantage or if others will circumvent these patents. We cannot be certain that we were the first to discover the inventions covered by each of our pending patent applications or that we were the first to file patent applications for such inventions because patent applications are secret until they are published and because publication of discoveries in the scientific or patent literature often lags behind actual discoveries. Patents may not issue from our pending or future patent applications or, if issued, may not be of commercial benefit to us. In addition, our patents may not afford us adequate protection from competing products.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 Under the procedures of the European Patent Office, third parties may oppose our issued European patents during the relevant opposition period. Such oppositions could result in substantial uncertainties and cost for us, even if the eventual outcome is favorable to us, and the outcome might not be favorable to us. One party has opposed two of our granted European patents. If we are unsuccessful in our defense of the opposed patents, all claimed rights in the opposed patents will be lost in Europe.</w:t>
      </w:r>
    </w:p>
    <w:p>
      <w:pPr>
        <w:spacing w:after="0" w:line="65" w:lineRule="exact"/>
        <w:rPr>
          <w:sz w:val="20"/>
          <w:szCs w:val="20"/>
          <w:color w:val="auto"/>
        </w:rPr>
      </w:pPr>
    </w:p>
    <w:p>
      <w:pPr>
        <w:ind w:right="160" w:firstLine="448"/>
        <w:spacing w:after="0" w:line="275"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others are first to discover and patent the stem cells we are seeking to discover, we could be blocked from further work on those stem cells.</w:t>
      </w:r>
    </w:p>
    <w:p>
      <w:pPr>
        <w:spacing w:after="0" w:line="139" w:lineRule="exact"/>
        <w:rPr>
          <w:sz w:val="20"/>
          <w:szCs w:val="20"/>
          <w:color w:val="auto"/>
        </w:rPr>
      </w:pPr>
    </w:p>
    <w:p>
      <w:pPr>
        <w:ind w:right="220" w:firstLine="448"/>
        <w:spacing w:after="0" w:line="262" w:lineRule="auto"/>
        <w:rPr>
          <w:sz w:val="20"/>
          <w:szCs w:val="20"/>
          <w:color w:val="auto"/>
        </w:rPr>
      </w:pPr>
      <w:r>
        <w:rPr>
          <w:rFonts w:ascii="Arial" w:cs="Arial" w:eastAsia="Arial" w:hAnsi="Arial"/>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obtain necessary licenses to third-party patents and other rights, we may not be able to commercially develop our expected products.</w:t>
      </w:r>
    </w:p>
    <w:p>
      <w:pPr>
        <w:spacing w:after="0" w:line="150" w:lineRule="exact"/>
        <w:rPr>
          <w:sz w:val="20"/>
          <w:szCs w:val="20"/>
          <w:color w:val="auto"/>
        </w:rPr>
      </w:pPr>
    </w:p>
    <w:p>
      <w:pPr>
        <w:ind w:right="20" w:firstLine="438"/>
        <w:spacing w:after="0" w:line="269" w:lineRule="auto"/>
        <w:rPr>
          <w:sz w:val="20"/>
          <w:szCs w:val="20"/>
          <w:color w:val="auto"/>
        </w:rPr>
      </w:pPr>
      <w:r>
        <w:rPr>
          <w:rFonts w:ascii="Arial" w:cs="Arial" w:eastAsia="Arial" w:hAnsi="Arial"/>
          <w:sz w:val="17"/>
          <w:szCs w:val="17"/>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valid claims that our technology infringes upon their technology, we may be unable to obtain licenses to these patents at a reasonable cost, if at all, and may also be unable to develop or obtain alternative technology. If we are unable to obtain such licenses at a reasonable cost, our business could be significantly harmed. We have obtained rights from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risks of third-party patents and/or technology. We can give no assurance that any of these licenses will provide effective protection against our competitors.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companies that have significant advantages over us.</w:t>
      </w:r>
    </w:p>
    <w:p>
      <w:pPr>
        <w:spacing w:after="0" w:line="116"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The market for therapeutic products to treat diseases of, or injuries to, the central nervous system (CNS) is large, and competition is intense. The majority of the products currently on the market or in development are small molecule pharmaceutical compounds. Many of the world’s large pharmaceutical companies, including Merck, Pfizer, Abbott, Bristol-Myers Squibb, Novartis and GlaxoSmithKline, have made significant commitments to the CNS field. Any cell-based therapy to treat diseases of, or injuries to, the CNS is likely to face intense competition from the small molecule sector. In addition, a number of biotechnology companies with resources far greater than ours may also emerge as competitors. These include Genzyme, Amgen, Cephalon, Shire Pharmaceuticals, BioMarin, Celgene, Biogen Idec, and Titan Pharmaceuticals/Schering AG. Finally, we also expect to compete with smaller biotechnology companies, such as NeuralStem, Geron, NeuroNova, ReNeuron, and ES Cell International, some of which are privately owned.</w:t>
      </w:r>
    </w:p>
    <w:p>
      <w:pPr>
        <w:spacing w:after="0" w:line="68" w:lineRule="exact"/>
        <w:rPr>
          <w:sz w:val="20"/>
          <w:szCs w:val="20"/>
          <w:color w:val="auto"/>
        </w:rPr>
      </w:pPr>
    </w:p>
    <w:p>
      <w:pPr>
        <w:ind w:right="140" w:firstLine="445"/>
        <w:spacing w:after="0" w:line="295" w:lineRule="auto"/>
        <w:rPr>
          <w:sz w:val="20"/>
          <w:szCs w:val="20"/>
          <w:color w:val="auto"/>
        </w:rPr>
      </w:pPr>
      <w:r>
        <w:rPr>
          <w:rFonts w:ascii="Arial" w:cs="Arial" w:eastAsia="Arial" w:hAnsi="Arial"/>
          <w:sz w:val="16"/>
          <w:szCs w:val="16"/>
          <w:color w:val="auto"/>
        </w:rPr>
        <w:t>We believe that our human neural stem cells may have application to many or most of the Lysosomal Storage Diseases (“LSDs”) with CNS involvement. We have received approval for our first IND to treat the Infantile and Late Infantile forms of Batten disease, which are among the LSDs that affect the CNS. However, we will need to obtain IRB approval prior to initiating our clinical trial, and we have no assurance as to when IRB approval will be obtained. There are, so far as we know, no approved therapies for Batten Disease or any of the other CNS-specific LSDs, but other companies, including Genzyme, BioMarin, and Shire, have products approved to treat peripheral aspects of some of the other LSDs, and other products are in clinical trials.</w:t>
      </w:r>
    </w:p>
    <w:p>
      <w:pPr>
        <w:spacing w:after="0" w:line="52" w:lineRule="exact"/>
        <w:rPr>
          <w:sz w:val="20"/>
          <w:szCs w:val="20"/>
          <w:color w:val="auto"/>
        </w:rPr>
      </w:pPr>
    </w:p>
    <w:p>
      <w:pPr>
        <w:ind w:right="220" w:firstLine="448"/>
        <w:spacing w:after="0" w:line="285" w:lineRule="auto"/>
        <w:rPr>
          <w:sz w:val="20"/>
          <w:szCs w:val="20"/>
          <w:color w:val="auto"/>
        </w:rPr>
      </w:pPr>
      <w:r>
        <w:rPr>
          <w:rFonts w:ascii="Arial" w:cs="Arial" w:eastAsia="Arial" w:hAnsi="Arial"/>
          <w:sz w:val="17"/>
          <w:szCs w:val="17"/>
          <w:color w:val="auto"/>
        </w:rPr>
        <w:t>In the field of diabetes, a number of major companies currently market products for the treatment of diabetes and are also engaged in the research and development of new therapies. Such companies include Eli Lilly, Novo Nordisk, J&amp;J, Amylin, ViaCell, and Serono. Consequently, should we successfully develop a cell-based therapy for diabetes, we would expect to face severe competition from these and similar companies.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right="260" w:firstLine="448"/>
        <w:spacing w:after="0" w:line="262" w:lineRule="auto"/>
        <w:rPr>
          <w:sz w:val="20"/>
          <w:szCs w:val="20"/>
          <w:color w:val="auto"/>
        </w:rPr>
      </w:pPr>
      <w:r>
        <w:rPr>
          <w:rFonts w:ascii="Arial" w:cs="Arial" w:eastAsia="Arial" w:hAnsi="Arial"/>
          <w:sz w:val="18"/>
          <w:szCs w:val="18"/>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our technology is subject to and restricted by extensive government regulation, which could impede our business.</w:t>
      </w:r>
    </w:p>
    <w:p>
      <w:pPr>
        <w:spacing w:after="0" w:line="116" w:lineRule="exact"/>
        <w:rPr>
          <w:sz w:val="20"/>
          <w:szCs w:val="20"/>
          <w:color w:val="auto"/>
        </w:rPr>
      </w:pPr>
    </w:p>
    <w:p>
      <w:pPr>
        <w:ind w:right="160" w:firstLine="448"/>
        <w:spacing w:after="0" w:line="272" w:lineRule="auto"/>
        <w:rPr>
          <w:sz w:val="20"/>
          <w:szCs w:val="20"/>
          <w:color w:val="auto"/>
        </w:rPr>
      </w:pPr>
      <w:r>
        <w:rPr>
          <w:rFonts w:ascii="Arial" w:cs="Arial" w:eastAsia="Arial" w:hAnsi="Arial"/>
          <w:sz w:val="17"/>
          <w:szCs w:val="17"/>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FDA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69" w:lineRule="exact"/>
        <w:rPr>
          <w:sz w:val="20"/>
          <w:szCs w:val="20"/>
          <w:color w:val="auto"/>
        </w:rPr>
      </w:pPr>
    </w:p>
    <w:p>
      <w:pPr>
        <w:ind w:right="100" w:firstLine="445"/>
        <w:spacing w:after="0" w:line="295" w:lineRule="auto"/>
        <w:rPr>
          <w:sz w:val="20"/>
          <w:szCs w:val="20"/>
          <w:color w:val="auto"/>
        </w:rPr>
      </w:pPr>
      <w:r>
        <w:rPr>
          <w:rFonts w:ascii="Arial" w:cs="Arial" w:eastAsia="Arial" w:hAnsi="Arial"/>
          <w:sz w:val="16"/>
          <w:szCs w:val="16"/>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 – 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52" w:lineRule="exact"/>
        <w:rPr>
          <w:sz w:val="20"/>
          <w:szCs w:val="20"/>
          <w:color w:val="auto"/>
        </w:rPr>
      </w:pPr>
    </w:p>
    <w:p>
      <w:pPr>
        <w:ind w:right="20" w:firstLine="438"/>
        <w:spacing w:after="0" w:line="271" w:lineRule="auto"/>
        <w:rPr>
          <w:sz w:val="20"/>
          <w:szCs w:val="20"/>
          <w:color w:val="auto"/>
        </w:rPr>
      </w:pPr>
      <w:r>
        <w:rPr>
          <w:rFonts w:ascii="Arial" w:cs="Arial" w:eastAsia="Arial" w:hAnsi="Arial"/>
          <w:sz w:val="17"/>
          <w:szCs w:val="17"/>
          <w:color w:val="auto"/>
        </w:rPr>
        <w:t>Although we do not use embryonic stem cells, government regulation and threatened regulation of embryonic tissue may lead top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the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68" w:lineRule="exact"/>
        <w:rPr>
          <w:sz w:val="20"/>
          <w:szCs w:val="20"/>
          <w:color w:val="auto"/>
        </w:rPr>
      </w:pPr>
    </w:p>
    <w:p>
      <w:pPr>
        <w:ind w:right="80" w:firstLine="445"/>
        <w:spacing w:after="0" w:line="258" w:lineRule="auto"/>
        <w:rPr>
          <w:sz w:val="20"/>
          <w:szCs w:val="20"/>
          <w:color w:val="auto"/>
        </w:rPr>
      </w:pPr>
      <w:r>
        <w:rPr>
          <w:rFonts w:ascii="Arial" w:cs="Arial" w:eastAsia="Arial" w:hAnsi="Arial"/>
          <w:sz w:val="18"/>
          <w:szCs w:val="18"/>
          <w:color w:val="auto"/>
        </w:rPr>
        <w:t>We may apply for status under the Orphan Drug Act for some of our therapies to gain a seven-year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services of key personnel.</w:t>
      </w:r>
    </w:p>
    <w:p>
      <w:pPr>
        <w:spacing w:after="0" w:line="11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presidents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improve our financial control procedures.</w:t>
      </w:r>
    </w:p>
    <w:p>
      <w:pPr>
        <w:spacing w:after="0" w:line="116" w:lineRule="exact"/>
        <w:rPr>
          <w:sz w:val="20"/>
          <w:szCs w:val="20"/>
          <w:color w:val="auto"/>
        </w:rPr>
      </w:pPr>
    </w:p>
    <w:p>
      <w:pPr>
        <w:ind w:right="240" w:firstLine="448"/>
        <w:spacing w:after="0" w:line="275" w:lineRule="auto"/>
        <w:rPr>
          <w:sz w:val="20"/>
          <w:szCs w:val="20"/>
          <w:color w:val="auto"/>
        </w:rPr>
      </w:pPr>
      <w:r>
        <w:rPr>
          <w:rFonts w:ascii="Arial" w:cs="Arial" w:eastAsia="Arial" w:hAnsi="Arial"/>
          <w:sz w:val="18"/>
          <w:szCs w:val="18"/>
          <w:color w:val="auto"/>
        </w:rPr>
        <w:t>Management’s Annual Report on Internal Controls Over Financial Reporting found deficiencies in the operating effectiveness of our internal controls over financial reporting. Such deficiencies collectively constituted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significant deficiencies and a material weakness under standards established by the American Institute of Certified Public Accountants, resulting in more than a remote likelihood that a material misstatement of the annual or interim financial statements of the Company would not be prevented or detected. In the opinion of Grant Thornton LLP, our independent auditors, management’s assessment that we did not maintain effective internal control over financial reporting as of December 31, 2004, is fairly stated, in all material respects. It is also the opinion of Grant Thornton that because of the effect of the material weakness identified by management (i.e., instances where both the preparation and review of general journal entries were performed by the same individual) on the achievement of the objectives of the control criteria, we have not maintained effective internal control over financial reporting as of December 31, 2004, based on criteria established in Internal Control—Integrated Framework issued by the Committee of Sponsoring Organizations of the Treadway Commission. We have already taken remedial steps, and will continue our on-going evaluation of internal controls and attempts to improve our internal controls over financial reporting as necessary to assure their effectiveness, but there can be no assurance that we will succeed or that other deficiencies will not be identified.</w:t>
      </w:r>
    </w:p>
    <w:p>
      <w:pPr>
        <w:spacing w:after="0" w:line="8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Since health care insurers and other organizations may not pay for our products or may impose limits on reimbursements, our ability to become profitable could be reduced.</w:t>
      </w:r>
    </w:p>
    <w:p>
      <w:pPr>
        <w:spacing w:after="0" w:line="63" w:lineRule="exact"/>
        <w:rPr>
          <w:sz w:val="20"/>
          <w:szCs w:val="20"/>
          <w:color w:val="auto"/>
        </w:rPr>
      </w:pPr>
    </w:p>
    <w:p>
      <w:pPr>
        <w:ind w:right="120" w:firstLine="448"/>
        <w:spacing w:after="0" w:line="267" w:lineRule="auto"/>
        <w:rPr>
          <w:sz w:val="20"/>
          <w:szCs w:val="20"/>
          <w:color w:val="auto"/>
        </w:rPr>
      </w:pPr>
      <w:r>
        <w:rPr>
          <w:rFonts w:ascii="Arial" w:cs="Arial" w:eastAsia="Arial" w:hAnsi="Arial"/>
          <w:sz w:val="17"/>
          <w:szCs w:val="17"/>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FDA has not granted marketing approval. Significant uncertainty exists as to the reimbursement status of newly approved health care products or novel therapies such as ours.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74"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i w:val="1"/>
          <w:iCs w:val="1"/>
          <w:color w:val="auto"/>
        </w:rPr>
        <w:t>We have limited liquidity and capital resources and may not obtain the significant capital resources we will need to sustain our research and development efforts.</w:t>
      </w:r>
    </w:p>
    <w:p>
      <w:pPr>
        <w:spacing w:after="0" w:line="63"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commercialize them ourselves.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successfully any such arrangements will depend upon market conditions and, more specifically, on continued progress in our research and development efforts.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18"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Securities Market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Our stock price has been, and will likely continue to be, highly volatile, which may negatively affect our ability to obtain additional financing in the future.</w:t>
      </w:r>
    </w:p>
    <w:p>
      <w:pPr>
        <w:spacing w:after="0" w:line="150" w:lineRule="exact"/>
        <w:rPr>
          <w:sz w:val="20"/>
          <w:szCs w:val="20"/>
          <w:color w:val="auto"/>
        </w:rPr>
      </w:pPr>
    </w:p>
    <w:p>
      <w:pPr>
        <w:ind w:right="280" w:firstLine="445"/>
        <w:spacing w:after="0" w:line="275" w:lineRule="auto"/>
        <w:rPr>
          <w:sz w:val="20"/>
          <w:szCs w:val="20"/>
          <w:color w:val="auto"/>
        </w:rPr>
      </w:pPr>
      <w:r>
        <w:rPr>
          <w:rFonts w:ascii="Arial" w:cs="Arial" w:eastAsia="Arial" w:hAnsi="Arial"/>
          <w:sz w:val="18"/>
          <w:szCs w:val="18"/>
          <w:color w:val="auto"/>
        </w:rPr>
        <w:t>The market price of our stock has been and is likely to continue to be highly volatile due to the risks and uncertainties described in this section of the prospectus, as well as other factors, including:</w:t>
      </w:r>
    </w:p>
    <w:p>
      <w:pPr>
        <w:spacing w:after="0" w:line="63" w:lineRule="exact"/>
        <w:rPr>
          <w:sz w:val="20"/>
          <w:szCs w:val="20"/>
          <w:color w:val="auto"/>
        </w:rPr>
      </w:pPr>
    </w:p>
    <w:p>
      <w:pPr>
        <w:ind w:left="440" w:hanging="217"/>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conditions and publicity regarding the industry in which we operate, as well as the specific areas our product candidates seek to address;</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price and volume fluctuations in the stock market at large that are unrelated to our operating performance; and</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comments by securities analysts, or our failure to meet market expectations.</w:t>
      </w:r>
    </w:p>
    <w:p>
      <w:pPr>
        <w:spacing w:after="0" w:line="116" w:lineRule="exact"/>
        <w:rPr>
          <w:sz w:val="20"/>
          <w:szCs w:val="20"/>
          <w:color w:val="auto"/>
        </w:rPr>
      </w:pPr>
    </w:p>
    <w:p>
      <w:pPr>
        <w:ind w:right="180" w:firstLine="448"/>
        <w:spacing w:after="0" w:line="255" w:lineRule="auto"/>
        <w:rPr>
          <w:sz w:val="20"/>
          <w:szCs w:val="20"/>
          <w:color w:val="auto"/>
        </w:rPr>
      </w:pPr>
      <w:r>
        <w:rPr>
          <w:rFonts w:ascii="Arial" w:cs="Arial" w:eastAsia="Arial" w:hAnsi="Arial"/>
          <w:sz w:val="18"/>
          <w:szCs w:val="18"/>
          <w:color w:val="auto"/>
        </w:rPr>
        <w:t>Over the two-year period ended October 31, 2005, our common stock was listed on the Nasdaq Capital Market (previously known as the Nasdaq SmallCap Market) until September 30, 2005, when it began listing on the Nasdaq National Market. During such two-year period, the closing price of our common stock as reported on the Nasdaq Capital Market and the Nasdaq National Market ranged from a high of $6.26 to a low of $1.24. As a result of this volatility, your investment in our stock is subject to substantial risk. Furthermore, the volatility of our stock price could negatively impact our ability to raise capital in the future.</w:t>
      </w:r>
    </w:p>
    <w:p>
      <w:pPr>
        <w:spacing w:after="0" w:line="83" w:lineRule="exact"/>
        <w:rPr>
          <w:sz w:val="20"/>
          <w:szCs w:val="20"/>
          <w:color w:val="auto"/>
        </w:rPr>
      </w:pPr>
    </w:p>
    <w:p>
      <w:pPr>
        <w:ind w:right="60" w:firstLine="438"/>
        <w:spacing w:after="0" w:line="290" w:lineRule="auto"/>
        <w:rPr>
          <w:sz w:val="20"/>
          <w:szCs w:val="20"/>
          <w:color w:val="auto"/>
        </w:rPr>
      </w:pPr>
      <w:r>
        <w:rPr>
          <w:rFonts w:ascii="Arial" w:cs="Arial" w:eastAsia="Arial" w:hAnsi="Arial"/>
          <w:sz w:val="16"/>
          <w:szCs w:val="16"/>
          <w:color w:val="auto"/>
        </w:rPr>
        <w:t>As of October 31, 2005, our common stock is listed on the Nasdaq National Market. To keep our listing on this market, we must meet Nasdaq’s listing maintenance standards. If we are unable to continue to meet Nasdaq’s listing maintenance standards, our common stock could be delisted from the Nasdaq National Market. If our common stock were delisted, we likely would seek to list the common stock on the Nasdaq Capital Market, the American Stock Exchange or a regional stock exchange. Listing on such other market or exchange could reduce the liquidity for our common stock. If were we unable to list our common stock on such other market or exchange, trading of our common stock likely would be conducted in the over-the-counter market on an electronic bulletin board established for unlisted securities or directly through market makers in our common stock. If our common stock were to trade in the over-the-counter market, an investor would find it more difficult to dispose of, or to obtain accurate quotations for the price of, the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contractually obligated to issue shares in the future, diluting your interest in us.</w:t>
      </w:r>
    </w:p>
    <w:p>
      <w:pPr>
        <w:spacing w:after="0" w:line="116" w:lineRule="exact"/>
        <w:rPr>
          <w:sz w:val="20"/>
          <w:szCs w:val="20"/>
          <w:color w:val="auto"/>
        </w:rPr>
      </w:pPr>
    </w:p>
    <w:p>
      <w:pPr>
        <w:ind w:right="160" w:firstLine="438"/>
        <w:spacing w:after="0" w:line="295" w:lineRule="auto"/>
        <w:rPr>
          <w:sz w:val="20"/>
          <w:szCs w:val="20"/>
          <w:color w:val="auto"/>
        </w:rPr>
      </w:pPr>
      <w:r>
        <w:rPr>
          <w:rFonts w:ascii="Arial" w:cs="Arial" w:eastAsia="Arial" w:hAnsi="Arial"/>
          <w:sz w:val="16"/>
          <w:szCs w:val="16"/>
          <w:color w:val="auto"/>
        </w:rPr>
        <w:t>As of September 30, 2005, there were outstanding and exercisable warrants to purchase 3,341,212 shares of our common stock, at a weighted average exercise price of $2.10 per share. As of September 30, 2005, there were also outstanding options to purchase 6,641,401 shares of our common stock, at a weighted average exercise price of $3.00 per share.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further diluting the interest of the purchasers of the securities being sold in this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This prospectus and the documents incorporated in this prospectus by reference may contain “forward-looking statements” within the meaning of Section 27A of the Securities Act of 1933, as amended (the “Securities Act”), and Section 21E of the Securities Exchange Act of 1934, as amended (the “Exchange Act”). These statements may be identified by the use of forward-looking words or phrases such as “anticipate,” “believe,” “could,” “expect,” “intend,” “look forward,” “may,” “planned,” “potential,” “should,” “will,” and “would.” These forward-looking statements reflect our current expectations and are based upon currently available data.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 Such statements include, without limitation, all statements as to expectation or belief and statements as to our future results of operations, the progress of our research, product development and clinical programs, the need for, and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17"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color w:val="auto"/>
        </w:rPr>
        <w:t>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the risks to which we are subject, including those listed above.</w:t>
      </w: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20" w:lineRule="exact"/>
        <w:rPr>
          <w:sz w:val="20"/>
          <w:szCs w:val="20"/>
          <w:color w:val="auto"/>
        </w:rPr>
      </w:pPr>
    </w:p>
    <w:p>
      <w:pPr>
        <w:ind w:firstLine="448"/>
        <w:spacing w:after="0" w:line="258" w:lineRule="auto"/>
        <w:rPr>
          <w:sz w:val="20"/>
          <w:szCs w:val="20"/>
          <w:color w:val="auto"/>
        </w:rPr>
      </w:pPr>
      <w:r>
        <w:rPr>
          <w:rFonts w:ascii="Arial" w:cs="Arial" w:eastAsia="Arial" w:hAnsi="Arial"/>
          <w:sz w:val="18"/>
          <w:szCs w:val="18"/>
          <w:color w:val="auto"/>
        </w:rPr>
        <w:t>Unless otherwise indicated in the applicable prospectus supplement, we anticipate that the net proceeds from the sale of the securities offered under this prospectus will be used for working capital and general corporate purposes, as well as in connection with selected acquisitions that may be considered in the future or for other strategic purposes. Pending the application of the net proceeds, we expect to invest the proceeds in investment-grade, interest-bearing instruments or other securities.</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417"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20" w:lineRule="exact"/>
        <w:rPr>
          <w:sz w:val="20"/>
          <w:szCs w:val="20"/>
          <w:color w:val="auto"/>
        </w:rPr>
      </w:pPr>
    </w:p>
    <w:p>
      <w:pPr>
        <w:ind w:right="120" w:firstLine="448"/>
        <w:spacing w:after="0" w:line="306"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We may sell the securities offered hereby to or through underwriters, through agents or dealers, directly to one or more purchasers, or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combination of such methods. A prospectus supplement or supplements will describe the terms of the offering of these securities, including:</w:t>
      </w:r>
    </w:p>
    <w:p>
      <w:pPr>
        <w:spacing w:after="0" w:line="39" w:lineRule="exact"/>
        <w:rPr>
          <w:sz w:val="20"/>
          <w:szCs w:val="20"/>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name or names of any underwriters, agents or dealers, if any;</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number of securities involved;</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purchase price of the securities and the proceeds we will receive from the sale;</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any over-allotment options under which underwriters may purchase additional securities from us;</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any agency fees or underwriting discounts and other items constituting underwriters’, agents’ or dealers’ compensation;</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any public offering price;</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any discounts or concessions allowed or reallowed or paid to dealers; and</w:t>
      </w:r>
    </w:p>
    <w:p>
      <w:pPr>
        <w:spacing w:after="0" w:line="129" w:lineRule="exact"/>
        <w:rPr>
          <w:rFonts w:ascii="Arial" w:cs="Arial" w:eastAsia="Arial" w:hAnsi="Arial"/>
          <w:sz w:val="18"/>
          <w:szCs w:val="18"/>
          <w:b w:val="1"/>
          <w:bCs w:val="1"/>
          <w:color w:val="auto"/>
        </w:rPr>
      </w:pPr>
    </w:p>
    <w:p>
      <w:pPr>
        <w:ind w:left="440" w:hanging="217"/>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other information material to the transaction.</w:t>
      </w:r>
    </w:p>
    <w:p>
      <w:pPr>
        <w:spacing w:after="0" w:line="116" w:lineRule="exact"/>
        <w:rPr>
          <w:sz w:val="20"/>
          <w:szCs w:val="20"/>
          <w:color w:val="auto"/>
        </w:rPr>
      </w:pPr>
    </w:p>
    <w:p>
      <w:pPr>
        <w:ind w:right="80" w:firstLine="448"/>
        <w:spacing w:after="0" w:line="255" w:lineRule="auto"/>
        <w:rPr>
          <w:sz w:val="20"/>
          <w:szCs w:val="20"/>
          <w:color w:val="auto"/>
        </w:rPr>
      </w:pPr>
      <w:r>
        <w:rPr>
          <w:rFonts w:ascii="Arial" w:cs="Arial" w:eastAsia="Arial" w:hAnsi="Arial"/>
          <w:sz w:val="18"/>
          <w:szCs w:val="18"/>
          <w:b w:val="1"/>
          <w:bCs w:val="1"/>
          <w:i w:val="1"/>
          <w:iCs w:val="1"/>
          <w:color w:val="auto"/>
        </w:rPr>
        <w:t xml:space="preserve">Underwriters. </w:t>
      </w:r>
      <w:r>
        <w:rPr>
          <w:rFonts w:ascii="Arial" w:cs="Arial" w:eastAsia="Arial" w:hAnsi="Arial"/>
          <w:sz w:val="18"/>
          <w:szCs w:val="18"/>
          <w:color w:val="auto"/>
        </w:rPr>
        <w:t>If underwriters are used in the sale of the securities, we will execute an underwriting agreement relating to the securities that we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The obligations of the underwriters to purchase the securities will be subject to the conditions set forth in the applicable underwriting agreement. Unless otherwise set forth in the applicable prospectus supplement, the underwriting agreement will provide that the obligations of the underwriters will be subject to certain conditions precedent and that the underwriters with respect to a sale of the securities will be obligated to purchase all the securities if any are purchased.</w:t>
      </w:r>
    </w:p>
    <w:p>
      <w:pPr>
        <w:spacing w:after="0" w:line="83" w:lineRule="exact"/>
        <w:rPr>
          <w:sz w:val="20"/>
          <w:szCs w:val="20"/>
          <w:color w:val="auto"/>
        </w:rPr>
      </w:pPr>
    </w:p>
    <w:p>
      <w:pPr>
        <w:ind w:firstLine="445"/>
        <w:spacing w:after="0" w:line="292" w:lineRule="auto"/>
        <w:rPr>
          <w:sz w:val="20"/>
          <w:szCs w:val="20"/>
          <w:color w:val="auto"/>
        </w:rPr>
      </w:pPr>
      <w:r>
        <w:rPr>
          <w:rFonts w:ascii="Arial" w:cs="Arial" w:eastAsia="Arial" w:hAnsi="Arial"/>
          <w:sz w:val="16"/>
          <w:szCs w:val="16"/>
          <w:color w:val="auto"/>
        </w:rPr>
        <w:t>The securities subject to the underwriting agreement will be acquired by the underwriters for their own account and may be resold by them from time to time in one or more transactions, including negotiated transactions, at a fixed public offering price or at varying prices determined at the time of sale. Underwriters may be deemed to have received compensation from us in the form of underwriting discounts or commissions and may also receive commissions from the purchasers of these securities for whom they may act as agent. Underwriters may sell these securities to or through dealers. These dealers may receive compensation in the form of discounts, concessions or commissions from the underwriters or commissions from the purchasers for whom they may act as agent. Any initial public offering price and any discounts or concessions allowed or reallowed or paid to dealers may be changed from time to time.</w:t>
      </w:r>
    </w:p>
    <w:p>
      <w:pPr>
        <w:spacing w:after="0" w:line="55" w:lineRule="exact"/>
        <w:rPr>
          <w:sz w:val="20"/>
          <w:szCs w:val="20"/>
          <w:color w:val="auto"/>
        </w:rPr>
      </w:pPr>
    </w:p>
    <w:p>
      <w:pPr>
        <w:jc w:val="both"/>
        <w:ind w:right="200" w:firstLine="445"/>
        <w:spacing w:after="0" w:line="262" w:lineRule="auto"/>
        <w:rPr>
          <w:sz w:val="20"/>
          <w:szCs w:val="20"/>
          <w:color w:val="auto"/>
        </w:rPr>
      </w:pPr>
      <w:r>
        <w:rPr>
          <w:rFonts w:ascii="Arial" w:cs="Arial" w:eastAsia="Arial" w:hAnsi="Arial"/>
          <w:sz w:val="18"/>
          <w:szCs w:val="18"/>
          <w:color w:val="auto"/>
        </w:rPr>
        <w:t>We also may sell the securities in connection with a remarketing upon their purchase, in connection with a redemption or repayment, by a remarketing firm acting as principal for its own account or as our agent. Remarketing firms may be deemed to be underwriters in connection with the securities that they remarket.</w:t>
      </w:r>
    </w:p>
    <w:p>
      <w:pPr>
        <w:spacing w:after="0" w:line="75" w:lineRule="exact"/>
        <w:rPr>
          <w:sz w:val="20"/>
          <w:szCs w:val="20"/>
          <w:color w:val="auto"/>
        </w:rPr>
      </w:pPr>
    </w:p>
    <w:p>
      <w:pPr>
        <w:ind w:right="40" w:firstLine="448"/>
        <w:spacing w:after="0" w:line="255" w:lineRule="auto"/>
        <w:rPr>
          <w:sz w:val="20"/>
          <w:szCs w:val="20"/>
          <w:color w:val="auto"/>
        </w:rPr>
      </w:pPr>
      <w:r>
        <w:rPr>
          <w:rFonts w:ascii="Arial" w:cs="Arial" w:eastAsia="Arial" w:hAnsi="Arial"/>
          <w:sz w:val="18"/>
          <w:szCs w:val="18"/>
          <w:color w:val="auto"/>
        </w:rPr>
        <w:t>During and after an offering through underwriters, the underwriters may purchase and sell the securities in the open market. These transactions may include over-allotment and stabilizing transactions and purchases to convey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market price of the offered securities, which may be higher than the price that might otherwise prevail in the open market. If commenced, the underwriters may discontinue these activities at any time.</w:t>
      </w:r>
    </w:p>
    <w:p>
      <w:pPr>
        <w:spacing w:after="0" w:line="63" w:lineRule="exact"/>
        <w:rPr>
          <w:sz w:val="20"/>
          <w:szCs w:val="20"/>
          <w:color w:val="auto"/>
        </w:rPr>
      </w:pPr>
    </w:p>
    <w:p>
      <w:pPr>
        <w:jc w:val="both"/>
        <w:ind w:right="160" w:firstLine="448"/>
        <w:spacing w:after="0" w:line="285" w:lineRule="auto"/>
        <w:rPr>
          <w:sz w:val="20"/>
          <w:szCs w:val="20"/>
          <w:color w:val="auto"/>
        </w:rPr>
      </w:pPr>
      <w:r>
        <w:rPr>
          <w:rFonts w:ascii="Arial" w:cs="Arial" w:eastAsia="Arial" w:hAnsi="Arial"/>
          <w:sz w:val="17"/>
          <w:szCs w:val="17"/>
          <w:b w:val="1"/>
          <w:bCs w:val="1"/>
          <w:i w:val="1"/>
          <w:iCs w:val="1"/>
          <w:color w:val="auto"/>
        </w:rPr>
        <w:t xml:space="preserve">Agents. </w:t>
      </w:r>
      <w:r>
        <w:rPr>
          <w:rFonts w:ascii="Arial" w:cs="Arial" w:eastAsia="Arial" w:hAnsi="Arial"/>
          <w:sz w:val="17"/>
          <w:szCs w:val="17"/>
          <w:color w:val="auto"/>
        </w:rPr>
        <w:t>We may also sell any of the securities through agents designated by us from time to time. We will name any agent involved in the offer or sale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these securities and will list commissions payable by us to these agents in the prospectus supplement. These agents will be acting on a best efforts basis to solicit purchases for the period of their appointment, unless we state otherwise in the applicable prospectus supplement.</w:t>
      </w:r>
    </w:p>
    <w:p>
      <w:pPr>
        <w:spacing w:after="0" w:line="56" w:lineRule="exact"/>
        <w:rPr>
          <w:sz w:val="20"/>
          <w:szCs w:val="20"/>
          <w:color w:val="auto"/>
        </w:rPr>
      </w:pPr>
    </w:p>
    <w:p>
      <w:pPr>
        <w:ind w:right="360" w:firstLine="448"/>
        <w:spacing w:after="0" w:line="275" w:lineRule="auto"/>
        <w:rPr>
          <w:sz w:val="20"/>
          <w:szCs w:val="20"/>
          <w:color w:val="auto"/>
        </w:rPr>
      </w:pPr>
      <w:r>
        <w:rPr>
          <w:rFonts w:ascii="Arial" w:cs="Arial" w:eastAsia="Arial" w:hAnsi="Arial"/>
          <w:sz w:val="18"/>
          <w:szCs w:val="18"/>
          <w:b w:val="1"/>
          <w:bCs w:val="1"/>
          <w:i w:val="1"/>
          <w:iCs w:val="1"/>
          <w:color w:val="auto"/>
        </w:rPr>
        <w:t xml:space="preserve">Direct Sales. </w:t>
      </w:r>
      <w:r>
        <w:rPr>
          <w:rFonts w:ascii="Arial" w:cs="Arial" w:eastAsia="Arial" w:hAnsi="Arial"/>
          <w:sz w:val="18"/>
          <w:szCs w:val="18"/>
          <w:color w:val="auto"/>
        </w:rPr>
        <w:t>We may sell any of the securities directly to purchasers. In this case, we will not engage underwriters or agents in the offer and sale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securities.</w:t>
      </w:r>
    </w:p>
    <w:p>
      <w:pPr>
        <w:spacing w:after="0" w:line="63" w:lineRule="exact"/>
        <w:rPr>
          <w:sz w:val="20"/>
          <w:szCs w:val="20"/>
          <w:color w:val="auto"/>
        </w:rPr>
      </w:pPr>
    </w:p>
    <w:p>
      <w:pPr>
        <w:ind w:right="340" w:firstLine="448"/>
        <w:spacing w:after="0" w:line="262" w:lineRule="auto"/>
        <w:rPr>
          <w:sz w:val="20"/>
          <w:szCs w:val="20"/>
          <w:color w:val="auto"/>
        </w:rPr>
      </w:pPr>
      <w:r>
        <w:rPr>
          <w:rFonts w:ascii="Arial" w:cs="Arial" w:eastAsia="Arial" w:hAnsi="Arial"/>
          <w:sz w:val="18"/>
          <w:szCs w:val="18"/>
          <w:b w:val="1"/>
          <w:bCs w:val="1"/>
          <w:i w:val="1"/>
          <w:iCs w:val="1"/>
          <w:color w:val="auto"/>
        </w:rPr>
        <w:t xml:space="preserve">Indemnification. </w:t>
      </w:r>
      <w:r>
        <w:rPr>
          <w:rFonts w:ascii="Arial" w:cs="Arial" w:eastAsia="Arial" w:hAnsi="Arial"/>
          <w:sz w:val="18"/>
          <w:szCs w:val="18"/>
          <w:color w:val="auto"/>
        </w:rPr>
        <w:t>We may indemnify underwriters, dealers or agents who participate in the distribution of the securities against certain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liabilities under the Securities Act of 1933, as amended, and agree to contribute to payments which these underwriters, dealers or agents may be required to make.</w:t>
      </w:r>
    </w:p>
    <w:p>
      <w:pPr>
        <w:spacing w:after="0" w:line="75" w:lineRule="exact"/>
        <w:rPr>
          <w:sz w:val="20"/>
          <w:szCs w:val="20"/>
          <w:color w:val="auto"/>
        </w:rPr>
      </w:pPr>
    </w:p>
    <w:p>
      <w:pPr>
        <w:ind w:right="160" w:firstLine="448"/>
        <w:spacing w:after="0" w:line="275" w:lineRule="auto"/>
        <w:rPr>
          <w:sz w:val="20"/>
          <w:szCs w:val="20"/>
          <w:color w:val="auto"/>
        </w:rPr>
      </w:pPr>
      <w:r>
        <w:rPr>
          <w:rFonts w:ascii="Arial" w:cs="Arial" w:eastAsia="Arial" w:hAnsi="Arial"/>
          <w:sz w:val="18"/>
          <w:szCs w:val="18"/>
          <w:b w:val="1"/>
          <w:bCs w:val="1"/>
          <w:i w:val="1"/>
          <w:iCs w:val="1"/>
          <w:color w:val="auto"/>
        </w:rPr>
        <w:t xml:space="preserve">Listing. </w:t>
      </w:r>
      <w:r>
        <w:rPr>
          <w:rFonts w:ascii="Arial" w:cs="Arial" w:eastAsia="Arial" w:hAnsi="Arial"/>
          <w:sz w:val="18"/>
          <w:szCs w:val="18"/>
          <w:color w:val="auto"/>
        </w:rPr>
        <w:t>Our common stock is currently listed on the Nasdaq National Market under the symbol “STEM”. No underwriters will be obligated to make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in our securities. We cannot predict the activity or liquidity of any trading in our securities.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file annual, quarterly and special reports, proxy statements and other information with the SEC. Our SEC filings are available over the Internet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You may also read and copy any document we file with the SEC at its public reference facility:</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Public Reference Room</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F Street, N.E.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1" w:lineRule="exact"/>
        <w:rPr>
          <w:sz w:val="20"/>
          <w:szCs w:val="20"/>
          <w:color w:val="auto"/>
        </w:rPr>
      </w:pPr>
    </w:p>
    <w:p>
      <w:pPr>
        <w:ind w:right="60" w:firstLine="441"/>
        <w:spacing w:after="0" w:line="306" w:lineRule="auto"/>
        <w:rPr>
          <w:sz w:val="20"/>
          <w:szCs w:val="20"/>
          <w:color w:val="auto"/>
        </w:rPr>
      </w:pPr>
      <w:r>
        <w:rPr>
          <w:rFonts w:ascii="Arial" w:cs="Arial" w:eastAsia="Arial" w:hAnsi="Arial"/>
          <w:sz w:val="17"/>
          <w:szCs w:val="17"/>
          <w:color w:val="auto"/>
        </w:rPr>
        <w:t>You may also obtain copies of the documents at prescribed rates by writing to the Public Reference Section of the SEC, 100 F Street, N.E., Washington, DC 20549. Please call 1-800-SEC-0330 for further information on the operations of the public reference facility and copying charges.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0" w:lineRule="exact"/>
        <w:rPr>
          <w:sz w:val="20"/>
          <w:szCs w:val="20"/>
          <w:color w:val="auto"/>
        </w:rPr>
      </w:pPr>
    </w:p>
    <w:p>
      <w:pPr>
        <w:ind w:right="120" w:firstLine="445"/>
        <w:spacing w:after="0" w:line="258"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the information that we file later with the SEC will automatically update and supersede this information. We incorporate by reference in this prospectus the following documents filed by us with the SEC:</w:t>
      </w:r>
    </w:p>
    <w:p>
      <w:pPr>
        <w:spacing w:after="0" w:line="78" w:lineRule="exact"/>
        <w:rPr>
          <w:sz w:val="20"/>
          <w:szCs w:val="20"/>
          <w:color w:val="auto"/>
        </w:rPr>
      </w:pPr>
    </w:p>
    <w:p>
      <w:pPr>
        <w:ind w:left="1120" w:right="340" w:hanging="440"/>
        <w:spacing w:after="0" w:line="275" w:lineRule="auto"/>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Annual Report on Form 10-K for the year ended December 31, 2004, including any amendment filed for the purpose of updating such Annual Report;</w:t>
      </w:r>
    </w:p>
    <w:p>
      <w:pPr>
        <w:spacing w:after="0" w:line="76" w:lineRule="exact"/>
        <w:rPr>
          <w:rFonts w:ascii="Arial" w:cs="Arial" w:eastAsia="Arial" w:hAnsi="Arial"/>
          <w:sz w:val="18"/>
          <w:szCs w:val="18"/>
          <w:b w:val="1"/>
          <w:bCs w:val="1"/>
          <w:color w:val="auto"/>
        </w:rPr>
      </w:pPr>
    </w:p>
    <w:p>
      <w:pPr>
        <w:ind w:left="1120" w:right="20" w:hanging="440"/>
        <w:spacing w:after="0" w:line="275" w:lineRule="auto"/>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Quarterly Reports on Form 10-Q for the quarters ended March 31, 2005, June 30, 2005 and September 30, 2005 including any amendment filed for the purpose of updating such Quarterly Reports;</w:t>
      </w:r>
    </w:p>
    <w:p>
      <w:pPr>
        <w:spacing w:after="0" w:line="76" w:lineRule="exact"/>
        <w:rPr>
          <w:rFonts w:ascii="Arial" w:cs="Arial" w:eastAsia="Arial" w:hAnsi="Arial"/>
          <w:sz w:val="18"/>
          <w:szCs w:val="18"/>
          <w:b w:val="1"/>
          <w:bCs w:val="1"/>
          <w:color w:val="auto"/>
        </w:rPr>
      </w:pPr>
    </w:p>
    <w:p>
      <w:pPr>
        <w:ind w:left="1120" w:hanging="440"/>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 Proxy Statement for Annual Meeting of Stockholders on Schedule 14A filed with the SEC on March 23, 2005;</w:t>
      </w:r>
    </w:p>
    <w:p>
      <w:pPr>
        <w:spacing w:after="0" w:line="129" w:lineRule="exact"/>
        <w:rPr>
          <w:rFonts w:ascii="Arial" w:cs="Arial" w:eastAsia="Arial" w:hAnsi="Arial"/>
          <w:sz w:val="18"/>
          <w:szCs w:val="18"/>
          <w:b w:val="1"/>
          <w:bCs w:val="1"/>
          <w:color w:val="auto"/>
        </w:rPr>
      </w:pPr>
    </w:p>
    <w:p>
      <w:pPr>
        <w:ind w:left="1120" w:right="160" w:hanging="440"/>
        <w:spacing w:after="0" w:line="275" w:lineRule="auto"/>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description of our common stock contained in our registration statements on Form 8-A (File No. 1-19871) filed under the Exchange Act, including any amendment or report filed for the purpose of updating such description; and</w:t>
      </w:r>
    </w:p>
    <w:p>
      <w:pPr>
        <w:spacing w:after="0" w:line="76" w:lineRule="exact"/>
        <w:rPr>
          <w:rFonts w:ascii="Arial" w:cs="Arial" w:eastAsia="Arial" w:hAnsi="Arial"/>
          <w:sz w:val="18"/>
          <w:szCs w:val="18"/>
          <w:b w:val="1"/>
          <w:bCs w:val="1"/>
          <w:color w:val="auto"/>
        </w:rPr>
      </w:pPr>
    </w:p>
    <w:p>
      <w:pPr>
        <w:ind w:left="1120" w:right="340" w:hanging="440"/>
        <w:spacing w:after="0" w:line="340" w:lineRule="auto"/>
        <w:tabs>
          <w:tab w:leader="none" w:pos="112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Our Current Reports on Form 8-K filed with the SEC on November 1, 2005, October 20, 2005, September 27, 2005, September 8, 2005, September 1, 2005, August 3, 2005, July 6, 2005, April 27, 2005, March 15, 2005, March 4, 2005, February 1, 2005 and January 11, 2005.</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18"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140" w:firstLine="438"/>
        <w:spacing w:after="0" w:line="272" w:lineRule="auto"/>
        <w:rPr>
          <w:sz w:val="20"/>
          <w:szCs w:val="20"/>
          <w:color w:val="auto"/>
        </w:rPr>
      </w:pPr>
      <w:r>
        <w:rPr>
          <w:rFonts w:ascii="Arial" w:cs="Arial" w:eastAsia="Arial" w:hAnsi="Arial"/>
          <w:sz w:val="17"/>
          <w:szCs w:val="17"/>
          <w:color w:val="auto"/>
        </w:rPr>
        <w:t>Any statement made in a document incorporated by reference or deemed incorporated herein by reference is deemed to be modified or superseded for purposes of this prospectus if a statement contained in this prospectus or in any other subsequently filed document which is also incorporated or deemed incorporated by reference herein modifies or supersedes that statement. Any such statement so modified or superseded shall not be deemed, except as so modified or superseded, to constitute a part of this prospectus. We also incorporate by reference all documents filed pursuant to Sections 13(a), 13(c), 14 or 15(d) of the Exchange Act after the date of this prospectus and prior to the termination of this offering; provided, however, that we are not incorporating any information furnished under any of Item 2.02 or Item 7.01 of any current report on Form 8-K.</w:t>
      </w:r>
    </w:p>
    <w:p>
      <w:pPr>
        <w:spacing w:after="0" w:line="69" w:lineRule="exact"/>
        <w:rPr>
          <w:sz w:val="20"/>
          <w:szCs w:val="20"/>
          <w:color w:val="auto"/>
        </w:rPr>
      </w:pPr>
    </w:p>
    <w:p>
      <w:pPr>
        <w:ind w:firstLine="448"/>
        <w:spacing w:after="0" w:line="310" w:lineRule="auto"/>
        <w:rPr>
          <w:sz w:val="20"/>
          <w:szCs w:val="20"/>
          <w:color w:val="auto"/>
        </w:rPr>
      </w:pPr>
      <w:r>
        <w:rPr>
          <w:rFonts w:ascii="Arial" w:cs="Arial" w:eastAsia="Arial" w:hAnsi="Arial"/>
          <w:sz w:val="16"/>
          <w:szCs w:val="16"/>
          <w:color w:val="auto"/>
        </w:rPr>
        <w:t>Statements made in this prospectus or in any document incorporated by reference in this prospectus as to the contents of any contract or other document referred to herein or therein are not necessarily complete, and in each instance reference is made to the copy of such contract or other document filed as an exhibit to the documents incorporated by reference, each such statement being qualified in all material respects by such reference.</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3155 Porter Drive</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Palo Alto, Ca 94304</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Investor Relations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Phone: (650) 475-3100</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email: irpr@stemcellsinc.com</w:t>
      </w:r>
    </w:p>
    <w:p>
      <w:pPr>
        <w:spacing w:after="0" w:line="101" w:lineRule="exact"/>
        <w:rPr>
          <w:sz w:val="20"/>
          <w:szCs w:val="20"/>
          <w:color w:val="auto"/>
        </w:rPr>
      </w:pPr>
    </w:p>
    <w:p>
      <w:pPr>
        <w:ind w:right="80" w:firstLine="448"/>
        <w:spacing w:after="0" w:line="275" w:lineRule="auto"/>
        <w:rPr>
          <w:sz w:val="20"/>
          <w:szCs w:val="20"/>
          <w:color w:val="auto"/>
        </w:rPr>
      </w:pPr>
      <w:r>
        <w:rPr>
          <w:rFonts w:ascii="Arial" w:cs="Arial" w:eastAsia="Arial" w:hAnsi="Arial"/>
          <w:sz w:val="18"/>
          <w:szCs w:val="18"/>
          <w:color w:val="auto"/>
        </w:rPr>
        <w:t>Copies of these filings are also available, without charge, on our Internet website at www.stemcellsinc.com as soon as reasonably practicable after they are filed electronically with the SEC.</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OPINION</w:t>
      </w:r>
    </w:p>
    <w:p>
      <w:pPr>
        <w:spacing w:after="0" w:line="12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For the purpose of this offering, Ropes &amp; Gray LLP, Boston, Massachusetts, is giving its opinion on the validity of the securities offered hereby.</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20"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color w:val="auto"/>
        </w:rPr>
        <w:t>The financial statements incorporated in this prospectus by reference from the Company’s Annual Report on Form 10-K for each of the two years ended December 31, 2003 and 2004 have been audited by Grant Thornton LLP, independent registered public accounting firm, as stated in their reports, each of which is incorporated herein by reference and has been so incorporated in reliance upon such reports given upon their authority as experts in accounting and auditing.</w:t>
      </w:r>
    </w:p>
    <w:p>
      <w:pPr>
        <w:spacing w:after="0" w:line="78" w:lineRule="exact"/>
        <w:rPr>
          <w:sz w:val="20"/>
          <w:szCs w:val="20"/>
          <w:color w:val="auto"/>
        </w:rPr>
      </w:pPr>
    </w:p>
    <w:p>
      <w:pPr>
        <w:ind w:right="20" w:firstLine="445"/>
        <w:spacing w:after="0" w:line="258" w:lineRule="auto"/>
        <w:rPr>
          <w:sz w:val="20"/>
          <w:szCs w:val="20"/>
          <w:color w:val="auto"/>
        </w:rPr>
      </w:pPr>
      <w:r>
        <w:rPr>
          <w:rFonts w:ascii="Arial" w:cs="Arial" w:eastAsia="Arial" w:hAnsi="Arial"/>
          <w:sz w:val="18"/>
          <w:szCs w:val="18"/>
          <w:color w:val="auto"/>
        </w:rPr>
        <w:t>The financial statements of StemCells, Inc. for the year ended December 31, 2002 appearing in the Company’s Annual Report on Form 10-K for the year ended December 31, 2004, have been audited by Ernst &amp; Young LLP, independent registered public accounting firm, as set forth in their report thereon, included therein, and incorporated herein by reference. Such financial statements are incorporated herein by reference in reliance upon such report given upon the authority of such firm as experts in accounting and auditing.</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418"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924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558"/>
        </w:trPr>
        <w:tc>
          <w:tcPr>
            <w:tcW w:w="13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180" w:type="dxa"/>
            <w:vAlign w:val="bottom"/>
          </w:tcPr>
          <w:p>
            <w:pPr>
              <w:jc w:val="center"/>
              <w:ind w:left="30"/>
              <w:spacing w:after="0"/>
              <w:rPr>
                <w:sz w:val="20"/>
                <w:szCs w:val="20"/>
                <w:color w:val="auto"/>
              </w:rPr>
            </w:pPr>
            <w:r>
              <w:rPr>
                <w:rFonts w:ascii="Arial" w:cs="Arial" w:eastAsia="Arial" w:hAnsi="Arial"/>
                <w:sz w:val="18"/>
                <w:szCs w:val="18"/>
                <w:b w:val="1"/>
                <w:bCs w:val="1"/>
                <w:color w:val="auto"/>
              </w:rPr>
              <w:t>PART II</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3"/>
        </w:trPr>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180" w:type="dxa"/>
            <w:vAlign w:val="bottom"/>
          </w:tcPr>
          <w:p>
            <w:pPr>
              <w:jc w:val="center"/>
              <w:ind w:left="50"/>
              <w:spacing w:after="0"/>
              <w:rPr>
                <w:sz w:val="20"/>
                <w:szCs w:val="20"/>
                <w:color w:val="auto"/>
              </w:rPr>
            </w:pPr>
            <w:r>
              <w:rPr>
                <w:rFonts w:ascii="Arial" w:cs="Arial" w:eastAsia="Arial" w:hAnsi="Arial"/>
                <w:sz w:val="18"/>
                <w:szCs w:val="18"/>
                <w:b w:val="1"/>
                <w:bCs w:val="1"/>
                <w:color w:val="auto"/>
              </w:rPr>
              <w:t>INFORMATION NOT REQUIRED IN PROSPECTUS</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0"/>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ITEM 14. OTHER EXPENSES OF DISTRIBUTION</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5"/>
        </w:trPr>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11,770</w:t>
            </w:r>
          </w:p>
        </w:tc>
      </w:tr>
      <w:tr>
        <w:trPr>
          <w:trHeight w:val="215"/>
        </w:trPr>
        <w:tc>
          <w:tcPr>
            <w:tcW w:w="9240" w:type="dxa"/>
            <w:vAlign w:val="bottom"/>
            <w:gridSpan w:val="3"/>
          </w:tcPr>
          <w:p>
            <w:pPr>
              <w:spacing w:after="0"/>
              <w:rPr>
                <w:sz w:val="20"/>
                <w:szCs w:val="20"/>
                <w:color w:val="auto"/>
              </w:rPr>
            </w:pPr>
            <w:r>
              <w:rPr>
                <w:rFonts w:ascii="Arial" w:cs="Arial" w:eastAsia="Arial" w:hAnsi="Arial"/>
                <w:sz w:val="18"/>
                <w:szCs w:val="18"/>
                <w:color w:val="auto"/>
              </w:rPr>
              <w:t>Blue sky fees and expenses*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15"/>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15"/>
        </w:trPr>
        <w:tc>
          <w:tcPr>
            <w:tcW w:w="9240" w:type="dxa"/>
            <w:vAlign w:val="bottom"/>
            <w:gridSpan w:val="3"/>
          </w:tcPr>
          <w:p>
            <w:pPr>
              <w:spacing w:after="0"/>
              <w:rPr>
                <w:sz w:val="20"/>
                <w:szCs w:val="20"/>
                <w:color w:val="auto"/>
              </w:rPr>
            </w:pPr>
            <w:r>
              <w:rPr>
                <w:rFonts w:ascii="Arial" w:cs="Arial" w:eastAsia="Arial" w:hAnsi="Arial"/>
                <w:sz w:val="18"/>
                <w:szCs w:val="18"/>
                <w:color w:val="auto"/>
              </w:rPr>
              <w:t>Printing expenses*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15"/>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r>
        <w:trPr>
          <w:trHeight w:val="230"/>
        </w:trPr>
        <w:tc>
          <w:tcPr>
            <w:tcW w:w="924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01"/>
        </w:trPr>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5"/>
        </w:trPr>
        <w:tc>
          <w:tcPr>
            <w:tcW w:w="92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102,770</w:t>
            </w:r>
          </w:p>
        </w:tc>
      </w:tr>
      <w:tr>
        <w:trPr>
          <w:trHeight w:val="296"/>
        </w:trPr>
        <w:tc>
          <w:tcPr>
            <w:tcW w:w="1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6"/>
        </w:trPr>
        <w:tc>
          <w:tcPr>
            <w:tcW w:w="9240" w:type="dxa"/>
            <w:vAlign w:val="bottom"/>
            <w:gridSpan w:val="3"/>
          </w:tcPr>
          <w:p>
            <w:pPr>
              <w:spacing w:after="0"/>
              <w:rPr>
                <w:sz w:val="20"/>
                <w:szCs w:val="20"/>
                <w:color w:val="auto"/>
              </w:rPr>
            </w:pPr>
            <w:r>
              <w:rPr>
                <w:rFonts w:ascii="Arial" w:cs="Arial" w:eastAsia="Arial" w:hAnsi="Arial"/>
                <w:sz w:val="18"/>
                <w:szCs w:val="18"/>
                <w:color w:val="auto"/>
                <w:w w:val="87"/>
              </w:rPr>
              <w:t>*Estimated</w:t>
            </w:r>
          </w:p>
        </w:tc>
        <w:tc>
          <w:tcPr>
            <w:tcW w:w="14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430"/>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ITEM 15. INDEMNIFICATION OF DIRECTORS AND OFFICERS</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93" w:lineRule="exact"/>
        <w:rPr>
          <w:sz w:val="20"/>
          <w:szCs w:val="20"/>
          <w:color w:val="auto"/>
        </w:rPr>
      </w:pPr>
    </w:p>
    <w:p>
      <w:pPr>
        <w:ind w:right="40" w:firstLine="448"/>
        <w:spacing w:after="0" w:line="285" w:lineRule="auto"/>
        <w:rPr>
          <w:sz w:val="20"/>
          <w:szCs w:val="20"/>
          <w:color w:val="auto"/>
        </w:rPr>
      </w:pPr>
      <w:r>
        <w:rPr>
          <w:rFonts w:ascii="Arial" w:cs="Arial" w:eastAsia="Arial" w:hAnsi="Arial"/>
          <w:sz w:val="16"/>
          <w:szCs w:val="16"/>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against expenses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60" w:lineRule="exact"/>
        <w:rPr>
          <w:sz w:val="20"/>
          <w:szCs w:val="20"/>
          <w:color w:val="auto"/>
        </w:rPr>
      </w:pPr>
    </w:p>
    <w:p>
      <w:pPr>
        <w:ind w:right="20" w:firstLine="448"/>
        <w:spacing w:after="0" w:line="295" w:lineRule="auto"/>
        <w:rPr>
          <w:sz w:val="20"/>
          <w:szCs w:val="20"/>
          <w:color w:val="auto"/>
        </w:rPr>
      </w:pPr>
      <w:r>
        <w:rPr>
          <w:rFonts w:ascii="Arial" w:cs="Arial" w:eastAsia="Arial" w:hAnsi="Arial"/>
          <w:sz w:val="16"/>
          <w:szCs w:val="16"/>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(relating to unlawful payment of dividends and unlawful stock purchase and redemption) or (iv) for any transaction from which the director derived an improper personal benefit.</w:t>
      </w:r>
    </w:p>
    <w:p>
      <w:pPr>
        <w:spacing w:after="0" w:line="52"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color w:val="auto"/>
        </w:rPr>
        <w:t>The Registrant’s Certificate provides that the Company’s Directors shall not be liable to the Registrant or its stockholders for monetary damages for breach of fiduciary duty as a director except to the extent that exculpation from liabilities is not permitted under the DGCL as in effect at the time such liability is determined. The Registrant’s Certificate further provides that the Registrant shall indemnify its directors and officers to the fullest extent permitted by the DGCL.</w:t>
      </w:r>
    </w:p>
    <w:p>
      <w:pPr>
        <w:spacing w:after="0" w:line="78" w:lineRule="exact"/>
        <w:rPr>
          <w:sz w:val="20"/>
          <w:szCs w:val="20"/>
          <w:color w:val="auto"/>
        </w:rPr>
      </w:pPr>
    </w:p>
    <w:p>
      <w:pPr>
        <w:ind w:right="200" w:firstLine="445"/>
        <w:spacing w:after="0" w:line="275" w:lineRule="auto"/>
        <w:rPr>
          <w:sz w:val="20"/>
          <w:szCs w:val="20"/>
          <w:color w:val="auto"/>
        </w:rPr>
      </w:pPr>
      <w:r>
        <w:rPr>
          <w:rFonts w:ascii="Arial" w:cs="Arial" w:eastAsia="Arial" w:hAnsi="Arial"/>
          <w:sz w:val="18"/>
          <w:szCs w:val="18"/>
          <w:color w:val="auto"/>
        </w:rPr>
        <w:t>The Company has a liability insurance policy in effect which covers certain claims against any officer or director of the Company by reason of certain breaches of duty, neglect, errors or omissions committed by such person in his or her capacity as an officer or director.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Ropes &amp; Gray LLP (1)</w:t>
      </w:r>
    </w:p>
    <w:p>
      <w:pPr>
        <w:spacing w:after="0" w:line="1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independent registered public accounting firm (2)</w:t>
      </w:r>
    </w:p>
    <w:p>
      <w:pPr>
        <w:spacing w:after="0" w:line="1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Grant Thornton LLP, independent registered public accounting firm (2)</w:t>
      </w:r>
    </w:p>
    <w:p>
      <w:pPr>
        <w:spacing w:after="0" w:line="1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Ropes &amp; Gray LLP (included in the opinion filed as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13061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6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0" w:lineRule="exact"/>
        <w:rPr>
          <w:sz w:val="20"/>
          <w:szCs w:val="20"/>
          <w:color w:val="auto"/>
        </w:rPr>
      </w:pPr>
    </w:p>
    <w:p>
      <w:pPr>
        <w:ind w:right="20" w:firstLine="224"/>
        <w:spacing w:after="0" w:line="253" w:lineRule="auto"/>
        <w:rPr>
          <w:sz w:val="20"/>
          <w:szCs w:val="20"/>
          <w:color w:val="auto"/>
        </w:rPr>
      </w:pPr>
      <w:r>
        <w:rPr>
          <w:rFonts w:ascii="Arial" w:cs="Arial" w:eastAsia="Arial" w:hAnsi="Arial"/>
          <w:sz w:val="18"/>
          <w:szCs w:val="18"/>
          <w:color w:val="auto"/>
        </w:rPr>
        <w:t>a. Insofar as indemnification for liabilities arising under the Securities Act of 1933 may be permitted to directors, officers and controlling persons of the registrant pursuant to the provisions set forth in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3" w:lineRule="exact"/>
        <w:rPr>
          <w:sz w:val="20"/>
          <w:szCs w:val="20"/>
          <w:color w:val="auto"/>
        </w:rPr>
      </w:pPr>
    </w:p>
    <w:p>
      <w:pPr>
        <w:ind w:firstLine="224"/>
        <w:spacing w:after="0" w:line="255" w:lineRule="auto"/>
        <w:rPr>
          <w:sz w:val="20"/>
          <w:szCs w:val="20"/>
          <w:color w:val="auto"/>
        </w:rPr>
      </w:pPr>
      <w:r>
        <w:rPr>
          <w:rFonts w:ascii="Arial" w:cs="Arial" w:eastAsia="Arial" w:hAnsi="Arial"/>
          <w:sz w:val="18"/>
          <w:szCs w:val="18"/>
          <w:color w:val="auto"/>
        </w:rPr>
        <w:t>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The undersigned registrant hereby undertakes:</w:t>
      </w:r>
    </w:p>
    <w:p>
      <w:pPr>
        <w:spacing w:after="0" w:line="116" w:lineRule="exact"/>
        <w:rPr>
          <w:sz w:val="20"/>
          <w:szCs w:val="20"/>
          <w:color w:val="auto"/>
        </w:rPr>
      </w:pPr>
    </w:p>
    <w:p>
      <w:pPr>
        <w:ind w:left="700" w:hanging="245"/>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5" w:lineRule="exact"/>
        <w:rPr>
          <w:rFonts w:ascii="Arial" w:cs="Arial" w:eastAsia="Arial" w:hAnsi="Arial"/>
          <w:sz w:val="18"/>
          <w:szCs w:val="18"/>
          <w:color w:val="auto"/>
        </w:rPr>
      </w:pPr>
    </w:p>
    <w:p>
      <w:pPr>
        <w:ind w:left="1300" w:hanging="16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5" w:lineRule="exact"/>
        <w:rPr>
          <w:rFonts w:ascii="Arial" w:cs="Arial" w:eastAsia="Arial" w:hAnsi="Arial"/>
          <w:sz w:val="18"/>
          <w:szCs w:val="18"/>
          <w:color w:val="auto"/>
        </w:rPr>
      </w:pPr>
    </w:p>
    <w:p>
      <w:pPr>
        <w:ind w:left="700" w:right="20" w:firstLine="440"/>
        <w:spacing w:after="0" w:line="284" w:lineRule="auto"/>
        <w:tabs>
          <w:tab w:leader="none" w:pos="1327" w:val="left"/>
        </w:tabs>
        <w:numPr>
          <w:ilvl w:val="1"/>
          <w:numId w:val="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w:t>
      </w:r>
    </w:p>
    <w:p>
      <w:pPr>
        <w:spacing w:after="0" w:line="1" w:lineRule="exact"/>
        <w:rPr>
          <w:rFonts w:ascii="Arial" w:cs="Arial" w:eastAsia="Arial" w:hAnsi="Arial"/>
          <w:sz w:val="16"/>
          <w:szCs w:val="16"/>
          <w:color w:val="auto"/>
        </w:rPr>
      </w:pPr>
    </w:p>
    <w:p>
      <w:pPr>
        <w:ind w:left="700" w:right="520"/>
        <w:spacing w:after="0" w:line="258" w:lineRule="auto"/>
        <w:rPr>
          <w:rFonts w:ascii="Arial" w:cs="Arial" w:eastAsia="Arial" w:hAnsi="Arial"/>
          <w:sz w:val="16"/>
          <w:szCs w:val="16"/>
          <w:color w:val="auto"/>
        </w:rPr>
      </w:pPr>
      <w:r>
        <w:rPr>
          <w:rFonts w:ascii="Arial" w:cs="Arial" w:eastAsia="Arial" w:hAnsi="Arial"/>
          <w:sz w:val="18"/>
          <w:szCs w:val="18"/>
          <w:color w:val="auto"/>
        </w:rPr>
        <w:t>20 percent change in the maximum aggregate offering price set forth in the “Calculation of Registration Fee” table in the effective registration statement;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17"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700" w:right="400" w:firstLine="448"/>
        <w:spacing w:after="0" w:line="275" w:lineRule="auto"/>
        <w:rPr>
          <w:sz w:val="20"/>
          <w:szCs w:val="20"/>
          <w:color w:val="auto"/>
        </w:rPr>
      </w:pPr>
      <w:r>
        <w:rPr>
          <w:rFonts w:ascii="Arial" w:cs="Arial" w:eastAsia="Arial" w:hAnsi="Arial"/>
          <w:sz w:val="18"/>
          <w:szCs w:val="18"/>
          <w:color w:val="auto"/>
        </w:rPr>
        <w:t>c. To include any material information with respect to the plan of distribution not previously disclosed in the registration statement or any material change to such information in the registration statement;</w:t>
      </w:r>
    </w:p>
    <w:p>
      <w:pPr>
        <w:spacing w:after="0" w:line="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PROVIDED, HOWEVER, that paragraphs (c)(1)(a) and (c)(1)(b) do not apply if 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w:t>
      </w:r>
    </w:p>
    <w:p>
      <w:pPr>
        <w:spacing w:after="0" w:line="75" w:lineRule="exact"/>
        <w:rPr>
          <w:sz w:val="20"/>
          <w:szCs w:val="20"/>
          <w:color w:val="auto"/>
        </w:rPr>
      </w:pPr>
    </w:p>
    <w:p>
      <w:pPr>
        <w:ind w:right="60" w:firstLine="455"/>
        <w:spacing w:after="0" w:line="262"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4" w:lineRule="exact"/>
        <w:rPr>
          <w:rFonts w:ascii="Arial" w:cs="Arial" w:eastAsia="Arial" w:hAnsi="Arial"/>
          <w:sz w:val="18"/>
          <w:szCs w:val="18"/>
          <w:color w:val="auto"/>
        </w:rPr>
      </w:pPr>
    </w:p>
    <w:p>
      <w:pPr>
        <w:ind w:firstLine="455"/>
        <w:spacing w:after="0" w:line="275"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17"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0" w:lineRule="exact"/>
        <w:rPr>
          <w:sz w:val="20"/>
          <w:szCs w:val="20"/>
          <w:color w:val="auto"/>
        </w:rPr>
      </w:pPr>
    </w:p>
    <w:p>
      <w:pPr>
        <w:ind w:right="140" w:firstLine="448"/>
        <w:spacing w:after="0" w:line="262"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Palo Alto, State of California, on the 3rd day of November, 2005.</w:t>
      </w:r>
    </w:p>
    <w:p>
      <w:pPr>
        <w:spacing w:after="0" w:line="17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TEM</w:t>
      </w:r>
      <w:r>
        <w:rPr>
          <w:rFonts w:ascii="Arial" w:cs="Arial" w:eastAsia="Arial" w:hAnsi="Arial"/>
          <w:sz w:val="18"/>
          <w:szCs w:val="18"/>
          <w:b w:val="1"/>
          <w:bCs w:val="1"/>
          <w:color w:val="auto"/>
        </w:rPr>
        <w:t>C</w:t>
      </w:r>
      <w:r>
        <w:rPr>
          <w:rFonts w:ascii="Arial" w:cs="Arial" w:eastAsia="Arial" w:hAnsi="Arial"/>
          <w:sz w:val="12"/>
          <w:szCs w:val="12"/>
          <w:b w:val="1"/>
          <w:bCs w:val="1"/>
          <w:color w:val="auto"/>
        </w:rPr>
        <w:t>ELLS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7" w:lineRule="exact"/>
        <w:rPr>
          <w:sz w:val="20"/>
          <w:szCs w:val="20"/>
          <w:color w:val="auto"/>
        </w:rPr>
      </w:pPr>
    </w:p>
    <w:p>
      <w:pPr>
        <w:ind w:left="504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Martin M.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13970</wp:posOffset>
            </wp:positionV>
            <wp:extent cx="21513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Martin M. McGlynn</w:t>
      </w:r>
    </w:p>
    <w:p>
      <w:pPr>
        <w:spacing w:after="0" w:line="22" w:lineRule="exact"/>
        <w:rPr>
          <w:sz w:val="20"/>
          <w:szCs w:val="20"/>
          <w:color w:val="auto"/>
        </w:rPr>
      </w:pPr>
    </w:p>
    <w:p>
      <w:pPr>
        <w:ind w:left="5400"/>
        <w:spacing w:after="0"/>
        <w:tabs>
          <w:tab w:leader="none" w:pos="5960" w:val="left"/>
        </w:tabs>
        <w:rPr>
          <w:sz w:val="20"/>
          <w:szCs w:val="20"/>
          <w:color w:val="auto"/>
        </w:rPr>
      </w:pPr>
      <w:r>
        <w:rPr>
          <w:rFonts w:ascii="Arial" w:cs="Arial" w:eastAsia="Arial" w:hAnsi="Arial"/>
          <w:sz w:val="18"/>
          <w:szCs w:val="18"/>
          <w:color w:val="auto"/>
        </w:rPr>
        <w:t>Title:</w:t>
        <w:tab/>
        <w:t>President and Chief Executive</w:t>
      </w:r>
    </w:p>
    <w:p>
      <w:pPr>
        <w:spacing w:after="0" w:line="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Officer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116" w:lineRule="exact"/>
        <w:rPr>
          <w:sz w:val="20"/>
          <w:szCs w:val="20"/>
          <w:color w:val="auto"/>
        </w:rPr>
      </w:pPr>
    </w:p>
    <w:p>
      <w:pPr>
        <w:ind w:right="400" w:firstLine="448"/>
        <w:spacing w:after="0" w:line="275"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420"/>
          </w:cols>
          <w:pgMar w:left="240" w:top="417" w:right="2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9533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Martin M. McGlynn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ARTIN</w:t>
      </w:r>
      <w:r>
        <w:rPr>
          <w:rFonts w:ascii="Arial" w:cs="Arial" w:eastAsia="Arial" w:hAnsi="Arial"/>
          <w:sz w:val="18"/>
          <w:szCs w:val="18"/>
          <w:color w:val="auto"/>
        </w:rPr>
        <w:t xml:space="preserve"> M. M</w:t>
      </w:r>
      <w:r>
        <w:rPr>
          <w:rFonts w:ascii="Arial" w:cs="Arial" w:eastAsia="Arial" w:hAnsi="Arial"/>
          <w:sz w:val="12"/>
          <w:szCs w:val="12"/>
          <w:color w:val="auto"/>
        </w:rPr>
        <w:t>C</w:t>
      </w:r>
      <w:r>
        <w:rPr>
          <w:rFonts w:ascii="Arial" w:cs="Arial" w:eastAsia="Arial" w:hAnsi="Arial"/>
          <w:sz w:val="18"/>
          <w:szCs w:val="18"/>
          <w:color w:val="auto"/>
        </w:rPr>
        <w:t>G</w:t>
      </w:r>
      <w:r>
        <w:rPr>
          <w:rFonts w:ascii="Arial" w:cs="Arial" w:eastAsia="Arial" w:hAnsi="Arial"/>
          <w:sz w:val="12"/>
          <w:szCs w:val="12"/>
          <w:color w:val="auto"/>
        </w:rPr>
        <w:t>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Rodney K.B. Young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ODNEY</w:t>
      </w:r>
      <w:r>
        <w:rPr>
          <w:rFonts w:ascii="Arial" w:cs="Arial" w:eastAsia="Arial" w:hAnsi="Arial"/>
          <w:sz w:val="18"/>
          <w:szCs w:val="18"/>
          <w:color w:val="auto"/>
        </w:rPr>
        <w:t xml:space="preserve"> K.B. Y</w:t>
      </w:r>
      <w:r>
        <w:rPr>
          <w:rFonts w:ascii="Arial" w:cs="Arial" w:eastAsia="Arial" w:hAnsi="Arial"/>
          <w:sz w:val="12"/>
          <w:szCs w:val="12"/>
          <w:color w:val="auto"/>
        </w:rPr>
        <w:t>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 George Koshy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EORGE</w:t>
      </w:r>
      <w:r>
        <w:rPr>
          <w:rFonts w:ascii="Arial" w:cs="Arial" w:eastAsia="Arial" w:hAnsi="Arial"/>
          <w:sz w:val="18"/>
          <w:szCs w:val="18"/>
          <w:color w:val="auto"/>
        </w:rPr>
        <w:t xml:space="preserve"> K</w:t>
      </w:r>
      <w:r>
        <w:rPr>
          <w:rFonts w:ascii="Arial" w:cs="Arial" w:eastAsia="Arial" w:hAnsi="Arial"/>
          <w:sz w:val="12"/>
          <w:szCs w:val="12"/>
          <w:color w:val="auto"/>
        </w:rPr>
        <w:t>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 John J. Schwartz, Ph.D.*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OHN</w:t>
      </w:r>
      <w:r>
        <w:rPr>
          <w:rFonts w:ascii="Arial" w:cs="Arial" w:eastAsia="Arial" w:hAnsi="Arial"/>
          <w:sz w:val="18"/>
          <w:szCs w:val="18"/>
          <w:color w:val="auto"/>
        </w:rPr>
        <w:t xml:space="preserve"> J. S</w:t>
      </w:r>
      <w:r>
        <w:rPr>
          <w:rFonts w:ascii="Arial" w:cs="Arial" w:eastAsia="Arial" w:hAnsi="Arial"/>
          <w:sz w:val="12"/>
          <w:szCs w:val="12"/>
          <w:color w:val="auto"/>
        </w:rPr>
        <w:t>CHWARTZ</w:t>
      </w:r>
      <w:r>
        <w:rPr>
          <w:rFonts w:ascii="Arial" w:cs="Arial" w:eastAsia="Arial" w:hAnsi="Arial"/>
          <w:sz w:val="18"/>
          <w:szCs w:val="18"/>
          <w:color w:val="auto"/>
        </w:rPr>
        <w:t>, P</w:t>
      </w:r>
      <w:r>
        <w:rPr>
          <w:rFonts w:ascii="Arial" w:cs="Arial" w:eastAsia="Arial" w:hAnsi="Arial"/>
          <w:sz w:val="12"/>
          <w:szCs w:val="12"/>
          <w:color w:val="auto"/>
        </w:rPr>
        <w:t>H</w:t>
      </w: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 Eric H. Bjerkholt*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RIC</w:t>
      </w:r>
      <w:r>
        <w:rPr>
          <w:rFonts w:ascii="Arial" w:cs="Arial" w:eastAsia="Arial" w:hAnsi="Arial"/>
          <w:sz w:val="18"/>
          <w:szCs w:val="18"/>
          <w:color w:val="auto"/>
        </w:rPr>
        <w:t xml:space="preserve"> H. B</w:t>
      </w:r>
      <w:r>
        <w:rPr>
          <w:rFonts w:ascii="Arial" w:cs="Arial" w:eastAsia="Arial" w:hAnsi="Arial"/>
          <w:sz w:val="12"/>
          <w:szCs w:val="12"/>
          <w:color w:val="auto"/>
        </w:rPr>
        <w:t>JERKHOLT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 Ricardo B. Levy, Ph.D.*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ICARDO B</w:t>
      </w:r>
      <w:r>
        <w:rPr>
          <w:rFonts w:ascii="Arial" w:cs="Arial" w:eastAsia="Arial" w:hAnsi="Arial"/>
          <w:sz w:val="18"/>
          <w:szCs w:val="18"/>
          <w:color w:val="auto"/>
        </w:rPr>
        <w:t>. L</w:t>
      </w:r>
      <w:r>
        <w:rPr>
          <w:rFonts w:ascii="Arial" w:cs="Arial" w:eastAsia="Arial" w:hAnsi="Arial"/>
          <w:sz w:val="12"/>
          <w:szCs w:val="12"/>
          <w:color w:val="auto"/>
        </w:rPr>
        <w:t>EVY</w:t>
      </w:r>
      <w:r>
        <w:rPr>
          <w:rFonts w:ascii="Arial" w:cs="Arial" w:eastAsia="Arial" w:hAnsi="Arial"/>
          <w:sz w:val="18"/>
          <w:szCs w:val="18"/>
          <w:color w:val="auto"/>
        </w:rPr>
        <w:t>, P</w:t>
      </w:r>
      <w:r>
        <w:rPr>
          <w:rFonts w:ascii="Arial" w:cs="Arial" w:eastAsia="Arial" w:hAnsi="Arial"/>
          <w:sz w:val="12"/>
          <w:szCs w:val="12"/>
          <w:color w:val="auto"/>
        </w:rPr>
        <w:t>H</w:t>
      </w: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 Roger M. Perlmutter, M.D., P</w:t>
      </w:r>
      <w:r>
        <w:rPr>
          <w:rFonts w:ascii="Arial" w:cs="Arial" w:eastAsia="Arial" w:hAnsi="Arial"/>
          <w:sz w:val="11"/>
          <w:szCs w:val="11"/>
          <w:color w:val="auto"/>
        </w:rPr>
        <w:t>H</w:t>
      </w:r>
      <w:r>
        <w:rPr>
          <w:rFonts w:ascii="Arial" w:cs="Arial" w:eastAsia="Arial" w:hAnsi="Arial"/>
          <w:sz w:val="16"/>
          <w:szCs w:val="16"/>
          <w:color w:val="auto"/>
        </w:rPr>
        <w:t>.D.*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OGER</w:t>
      </w:r>
      <w:r>
        <w:rPr>
          <w:rFonts w:ascii="Arial" w:cs="Arial" w:eastAsia="Arial" w:hAnsi="Arial"/>
          <w:sz w:val="18"/>
          <w:szCs w:val="18"/>
          <w:color w:val="auto"/>
        </w:rPr>
        <w:t xml:space="preserve"> M. P</w:t>
      </w:r>
      <w:r>
        <w:rPr>
          <w:rFonts w:ascii="Arial" w:cs="Arial" w:eastAsia="Arial" w:hAnsi="Arial"/>
          <w:sz w:val="12"/>
          <w:szCs w:val="12"/>
          <w:color w:val="auto"/>
        </w:rPr>
        <w:t>ERLMUTTER</w:t>
      </w:r>
      <w:r>
        <w:rPr>
          <w:rFonts w:ascii="Arial" w:cs="Arial" w:eastAsia="Arial" w:hAnsi="Arial"/>
          <w:sz w:val="18"/>
          <w:szCs w:val="18"/>
          <w:color w:val="auto"/>
        </w:rPr>
        <w:t xml:space="preserve"> M.D., P</w:t>
      </w:r>
      <w:r>
        <w:rPr>
          <w:rFonts w:ascii="Arial" w:cs="Arial" w:eastAsia="Arial" w:hAnsi="Arial"/>
          <w:sz w:val="12"/>
          <w:szCs w:val="12"/>
          <w:color w:val="auto"/>
        </w:rPr>
        <w:t>H</w:t>
      </w: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 Irving L. Weissman, M.D.*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RVING</w:t>
      </w:r>
      <w:r>
        <w:rPr>
          <w:rFonts w:ascii="Arial" w:cs="Arial" w:eastAsia="Arial" w:hAnsi="Arial"/>
          <w:sz w:val="18"/>
          <w:szCs w:val="18"/>
          <w:color w:val="auto"/>
        </w:rPr>
        <w:t xml:space="preserve"> L. W</w:t>
      </w:r>
      <w:r>
        <w:rPr>
          <w:rFonts w:ascii="Arial" w:cs="Arial" w:eastAsia="Arial" w:hAnsi="Arial"/>
          <w:sz w:val="12"/>
          <w:szCs w:val="12"/>
          <w:color w:val="auto"/>
        </w:rPr>
        <w:t>EISSMAN</w:t>
      </w:r>
      <w:r>
        <w:rPr>
          <w:rFonts w:ascii="Arial" w:cs="Arial" w:eastAsia="Arial" w:hAnsi="Arial"/>
          <w:sz w:val="18"/>
          <w:szCs w:val="18"/>
          <w:color w:val="auto"/>
        </w:rPr>
        <w: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19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 /s/ Martin M.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13970</wp:posOffset>
            </wp:positionV>
            <wp:extent cx="2159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Martin M. McGlynn</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167"/>
        </w:trPr>
        <w:tc>
          <w:tcPr>
            <w:tcW w:w="2560" w:type="dxa"/>
            <w:vAlign w:val="bottom"/>
          </w:tcPr>
          <w:p>
            <w:pPr>
              <w:spacing w:after="0"/>
              <w:rPr>
                <w:sz w:val="20"/>
                <w:szCs w:val="20"/>
                <w:color w:val="auto"/>
              </w:rPr>
            </w:pPr>
            <w:r>
              <w:rPr>
                <w:rFonts w:ascii="Arial" w:cs="Arial" w:eastAsia="Arial" w:hAnsi="Arial"/>
                <w:sz w:val="14"/>
                <w:szCs w:val="14"/>
                <w:color w:val="auto"/>
              </w:rPr>
              <w:t>Title</w:t>
            </w:r>
          </w:p>
        </w:tc>
        <w:tc>
          <w:tcPr>
            <w:tcW w:w="3040" w:type="dxa"/>
            <w:vAlign w:val="bottom"/>
            <w:gridSpan w:val="2"/>
          </w:tcPr>
          <w:p>
            <w:pPr>
              <w:ind w:left="580"/>
              <w:spacing w:after="0"/>
              <w:rPr>
                <w:sz w:val="20"/>
                <w:szCs w:val="20"/>
                <w:color w:val="auto"/>
              </w:rPr>
            </w:pPr>
            <w:r>
              <w:rPr>
                <w:rFonts w:ascii="Arial" w:cs="Arial" w:eastAsia="Arial" w:hAnsi="Arial"/>
                <w:sz w:val="14"/>
                <w:szCs w:val="14"/>
                <w:color w:val="auto"/>
              </w:rPr>
              <w:t>Date</w:t>
            </w:r>
          </w:p>
        </w:tc>
      </w:tr>
      <w:tr>
        <w:trPr>
          <w:trHeight w:val="194"/>
        </w:trPr>
        <w:tc>
          <w:tcPr>
            <w:tcW w:w="2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President, Chief Executive Officer</w:t>
            </w:r>
          </w:p>
        </w:tc>
        <w:tc>
          <w:tcPr>
            <w:tcW w:w="580" w:type="dxa"/>
            <w:vAlign w:val="bottom"/>
          </w:tcPr>
          <w:p>
            <w:pPr>
              <w:spacing w:after="0"/>
              <w:rPr>
                <w:sz w:val="16"/>
                <w:szCs w:val="16"/>
                <w:color w:val="auto"/>
              </w:rPr>
            </w:pPr>
          </w:p>
        </w:tc>
        <w:tc>
          <w:tcPr>
            <w:tcW w:w="246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November 3, 2005</w:t>
            </w: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w w:val="98"/>
              </w:rPr>
              <w:t>and Director (principal executive</w:t>
            </w:r>
          </w:p>
        </w:tc>
        <w:tc>
          <w:tcPr>
            <w:tcW w:w="5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officer)</w:t>
            </w:r>
          </w:p>
        </w:tc>
        <w:tc>
          <w:tcPr>
            <w:tcW w:w="5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w w:val="99"/>
              </w:rPr>
              <w:t>Chief Financial Officer (principal</w:t>
            </w:r>
          </w:p>
        </w:tc>
        <w:tc>
          <w:tcPr>
            <w:tcW w:w="580" w:type="dxa"/>
            <w:vAlign w:val="bottom"/>
          </w:tcPr>
          <w:p>
            <w:pPr>
              <w:spacing w:after="0"/>
              <w:rPr>
                <w:sz w:val="18"/>
                <w:szCs w:val="18"/>
                <w:color w:val="auto"/>
              </w:rPr>
            </w:pPr>
          </w:p>
        </w:tc>
        <w:tc>
          <w:tcPr>
            <w:tcW w:w="2460" w:type="dxa"/>
            <w:vAlign w:val="bottom"/>
          </w:tcPr>
          <w:p>
            <w:pPr>
              <w:ind w:left="560"/>
              <w:spacing w:after="0"/>
              <w:rPr>
                <w:sz w:val="20"/>
                <w:szCs w:val="20"/>
                <w:color w:val="auto"/>
              </w:rPr>
            </w:pPr>
            <w:r>
              <w:rPr>
                <w:rFonts w:ascii="Arial" w:cs="Arial" w:eastAsia="Arial" w:hAnsi="Arial"/>
                <w:sz w:val="18"/>
                <w:szCs w:val="18"/>
                <w:color w:val="auto"/>
              </w:rPr>
              <w:t>November 3, 2005</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financial officer)</w:t>
            </w:r>
          </w:p>
        </w:tc>
        <w:tc>
          <w:tcPr>
            <w:tcW w:w="5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27"/>
        </w:trPr>
        <w:tc>
          <w:tcPr>
            <w:tcW w:w="2560" w:type="dxa"/>
            <w:vAlign w:val="bottom"/>
          </w:tcPr>
          <w:p>
            <w:pPr>
              <w:spacing w:after="0"/>
              <w:rPr>
                <w:sz w:val="20"/>
                <w:szCs w:val="20"/>
                <w:color w:val="auto"/>
              </w:rPr>
            </w:pPr>
            <w:r>
              <w:rPr>
                <w:rFonts w:ascii="Arial" w:cs="Arial" w:eastAsia="Arial" w:hAnsi="Arial"/>
                <w:sz w:val="18"/>
                <w:szCs w:val="18"/>
                <w:color w:val="auto"/>
              </w:rPr>
              <w:t>Controller (principal accounting</w:t>
            </w:r>
          </w:p>
        </w:tc>
        <w:tc>
          <w:tcPr>
            <w:tcW w:w="580" w:type="dxa"/>
            <w:vAlign w:val="bottom"/>
          </w:tcPr>
          <w:p>
            <w:pPr>
              <w:spacing w:after="0"/>
              <w:rPr>
                <w:sz w:val="19"/>
                <w:szCs w:val="19"/>
                <w:color w:val="auto"/>
              </w:rPr>
            </w:pPr>
          </w:p>
        </w:tc>
        <w:tc>
          <w:tcPr>
            <w:tcW w:w="2460" w:type="dxa"/>
            <w:vAlign w:val="bottom"/>
          </w:tcPr>
          <w:p>
            <w:pPr>
              <w:ind w:left="560"/>
              <w:spacing w:after="0"/>
              <w:rPr>
                <w:sz w:val="20"/>
                <w:szCs w:val="20"/>
                <w:color w:val="auto"/>
              </w:rPr>
            </w:pPr>
            <w:r>
              <w:rPr>
                <w:rFonts w:ascii="Arial" w:cs="Arial" w:eastAsia="Arial" w:hAnsi="Arial"/>
                <w:sz w:val="18"/>
                <w:szCs w:val="18"/>
                <w:color w:val="auto"/>
              </w:rPr>
              <w:t>November 3, 2005</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officer)</w:t>
            </w:r>
          </w:p>
        </w:tc>
        <w:tc>
          <w:tcPr>
            <w:tcW w:w="5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42"/>
        </w:trPr>
        <w:tc>
          <w:tcPr>
            <w:tcW w:w="2560" w:type="dxa"/>
            <w:vAlign w:val="bottom"/>
          </w:tcPr>
          <w:p>
            <w:pPr>
              <w:spacing w:after="0"/>
              <w:rPr>
                <w:sz w:val="20"/>
                <w:szCs w:val="20"/>
                <w:color w:val="auto"/>
              </w:rPr>
            </w:pPr>
            <w:r>
              <w:rPr>
                <w:rFonts w:ascii="Arial" w:cs="Arial" w:eastAsia="Arial" w:hAnsi="Arial"/>
                <w:sz w:val="18"/>
                <w:szCs w:val="18"/>
                <w:color w:val="auto"/>
              </w:rPr>
              <w:t>Chairman</w:t>
            </w:r>
          </w:p>
        </w:tc>
        <w:tc>
          <w:tcPr>
            <w:tcW w:w="580" w:type="dxa"/>
            <w:vAlign w:val="bottom"/>
          </w:tcPr>
          <w:p>
            <w:pPr>
              <w:spacing w:after="0"/>
              <w:rPr>
                <w:sz w:val="21"/>
                <w:szCs w:val="21"/>
                <w:color w:val="auto"/>
              </w:rPr>
            </w:pPr>
          </w:p>
        </w:tc>
        <w:tc>
          <w:tcPr>
            <w:tcW w:w="2460" w:type="dxa"/>
            <w:vAlign w:val="bottom"/>
          </w:tcPr>
          <w:p>
            <w:pPr>
              <w:ind w:left="560"/>
              <w:spacing w:after="0"/>
              <w:rPr>
                <w:sz w:val="20"/>
                <w:szCs w:val="20"/>
                <w:color w:val="auto"/>
              </w:rPr>
            </w:pPr>
            <w:r>
              <w:rPr>
                <w:rFonts w:ascii="Arial" w:cs="Arial" w:eastAsia="Arial" w:hAnsi="Arial"/>
                <w:sz w:val="18"/>
                <w:szCs w:val="18"/>
                <w:color w:val="auto"/>
              </w:rPr>
              <w:t>November 3, 2005</w:t>
            </w:r>
          </w:p>
        </w:tc>
      </w:tr>
      <w:tr>
        <w:trPr>
          <w:trHeight w:val="457"/>
        </w:trPr>
        <w:tc>
          <w:tcPr>
            <w:tcW w:w="2560" w:type="dxa"/>
            <w:vAlign w:val="bottom"/>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2460" w:type="dxa"/>
            <w:vAlign w:val="bottom"/>
          </w:tcPr>
          <w:p>
            <w:pPr>
              <w:ind w:left="560"/>
              <w:spacing w:after="0"/>
              <w:rPr>
                <w:sz w:val="20"/>
                <w:szCs w:val="20"/>
                <w:color w:val="auto"/>
              </w:rPr>
            </w:pPr>
            <w:r>
              <w:rPr>
                <w:rFonts w:ascii="Arial" w:cs="Arial" w:eastAsia="Arial" w:hAnsi="Arial"/>
                <w:sz w:val="18"/>
                <w:szCs w:val="18"/>
                <w:color w:val="auto"/>
              </w:rPr>
              <w:t>November 3, 2005</w:t>
            </w:r>
          </w:p>
        </w:tc>
      </w:tr>
      <w:tr>
        <w:trPr>
          <w:trHeight w:val="457"/>
        </w:trPr>
        <w:tc>
          <w:tcPr>
            <w:tcW w:w="2560" w:type="dxa"/>
            <w:vAlign w:val="bottom"/>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2460" w:type="dxa"/>
            <w:vAlign w:val="bottom"/>
          </w:tcPr>
          <w:p>
            <w:pPr>
              <w:ind w:left="560"/>
              <w:spacing w:after="0"/>
              <w:rPr>
                <w:sz w:val="20"/>
                <w:szCs w:val="20"/>
                <w:color w:val="auto"/>
              </w:rPr>
            </w:pPr>
            <w:r>
              <w:rPr>
                <w:rFonts w:ascii="Arial" w:cs="Arial" w:eastAsia="Arial" w:hAnsi="Arial"/>
                <w:sz w:val="18"/>
                <w:szCs w:val="18"/>
                <w:color w:val="auto"/>
              </w:rPr>
              <w:t>November 3, 2005</w:t>
            </w:r>
          </w:p>
        </w:tc>
      </w:tr>
      <w:tr>
        <w:trPr>
          <w:trHeight w:val="457"/>
        </w:trPr>
        <w:tc>
          <w:tcPr>
            <w:tcW w:w="2560" w:type="dxa"/>
            <w:vAlign w:val="bottom"/>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2460" w:type="dxa"/>
            <w:vAlign w:val="bottom"/>
          </w:tcPr>
          <w:p>
            <w:pPr>
              <w:ind w:left="560"/>
              <w:spacing w:after="0"/>
              <w:rPr>
                <w:sz w:val="20"/>
                <w:szCs w:val="20"/>
                <w:color w:val="auto"/>
              </w:rPr>
            </w:pPr>
            <w:r>
              <w:rPr>
                <w:rFonts w:ascii="Arial" w:cs="Arial" w:eastAsia="Arial" w:hAnsi="Arial"/>
                <w:sz w:val="18"/>
                <w:szCs w:val="18"/>
                <w:color w:val="auto"/>
              </w:rPr>
              <w:t>November 3, 2005</w:t>
            </w:r>
          </w:p>
        </w:tc>
      </w:tr>
      <w:tr>
        <w:trPr>
          <w:trHeight w:val="457"/>
        </w:trPr>
        <w:tc>
          <w:tcPr>
            <w:tcW w:w="2560" w:type="dxa"/>
            <w:vAlign w:val="bottom"/>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4"/>
                <w:szCs w:val="24"/>
                <w:color w:val="auto"/>
              </w:rPr>
            </w:pPr>
          </w:p>
        </w:tc>
        <w:tc>
          <w:tcPr>
            <w:tcW w:w="2460" w:type="dxa"/>
            <w:vAlign w:val="bottom"/>
          </w:tcPr>
          <w:p>
            <w:pPr>
              <w:ind w:left="560"/>
              <w:spacing w:after="0"/>
              <w:rPr>
                <w:sz w:val="20"/>
                <w:szCs w:val="20"/>
                <w:color w:val="auto"/>
              </w:rPr>
            </w:pPr>
            <w:r>
              <w:rPr>
                <w:rFonts w:ascii="Arial" w:cs="Arial" w:eastAsia="Arial" w:hAnsi="Arial"/>
                <w:sz w:val="18"/>
                <w:szCs w:val="18"/>
                <w:color w:val="auto"/>
              </w:rPr>
              <w:t>November 3, 2005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148590</wp:posOffset>
            </wp:positionV>
            <wp:extent cx="725106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2">
            <w:col w:w="4860" w:space="720"/>
            <w:col w:w="5840"/>
          </w:cols>
          <w:pgMar w:left="240" w:top="417"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380" w:type="dxa"/>
            <w:vAlign w:val="bottom"/>
          </w:tcPr>
          <w:p>
            <w:pPr>
              <w:ind w:left="4020"/>
              <w:spacing w:after="0"/>
              <w:rPr>
                <w:sz w:val="20"/>
                <w:szCs w:val="20"/>
                <w:color w:val="auto"/>
              </w:rPr>
            </w:pPr>
            <w:r>
              <w:rPr>
                <w:rFonts w:ascii="Arial" w:cs="Arial" w:eastAsia="Arial" w:hAnsi="Arial"/>
                <w:sz w:val="18"/>
                <w:szCs w:val="18"/>
                <w:color w:val="auto"/>
              </w:rPr>
              <w:t>EXHIBIT INDEX</w:t>
            </w:r>
          </w:p>
        </w:tc>
      </w:tr>
      <w:tr>
        <w:trPr>
          <w:trHeight w:val="344"/>
        </w:trPr>
        <w:tc>
          <w:tcPr>
            <w:tcW w:w="70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24"/>
                <w:szCs w:val="24"/>
                <w:color w:val="auto"/>
              </w:rPr>
            </w:pPr>
          </w:p>
        </w:tc>
        <w:tc>
          <w:tcPr>
            <w:tcW w:w="10380" w:type="dxa"/>
            <w:vAlign w:val="bottom"/>
          </w:tcPr>
          <w:p>
            <w:pPr>
              <w:spacing w:after="0"/>
              <w:rPr>
                <w:sz w:val="24"/>
                <w:szCs w:val="24"/>
                <w:color w:val="auto"/>
              </w:rPr>
            </w:pPr>
          </w:p>
        </w:tc>
      </w:tr>
      <w:tr>
        <w:trPr>
          <w:trHeight w:val="167"/>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w:t>
            </w:r>
          </w:p>
        </w:tc>
        <w:tc>
          <w:tcPr>
            <w:tcW w:w="340" w:type="dxa"/>
            <w:vAlign w:val="bottom"/>
          </w:tcPr>
          <w:p>
            <w:pPr>
              <w:spacing w:after="0"/>
              <w:rPr>
                <w:sz w:val="14"/>
                <w:szCs w:val="1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 of Exhibit</w:t>
            </w:r>
          </w:p>
        </w:tc>
      </w:tr>
      <w:tr>
        <w:trPr>
          <w:trHeight w:val="424"/>
        </w:trPr>
        <w:tc>
          <w:tcPr>
            <w:tcW w:w="700" w:type="dxa"/>
            <w:vAlign w:val="bottom"/>
          </w:tcPr>
          <w:p>
            <w:pPr>
              <w:spacing w:after="0"/>
              <w:rPr>
                <w:sz w:val="20"/>
                <w:szCs w:val="20"/>
                <w:color w:val="auto"/>
              </w:rPr>
            </w:pPr>
            <w:r>
              <w:rPr>
                <w:rFonts w:ascii="Arial" w:cs="Arial" w:eastAsia="Arial" w:hAnsi="Arial"/>
                <w:sz w:val="18"/>
                <w:szCs w:val="18"/>
                <w:color w:val="auto"/>
              </w:rPr>
              <w:t>5.1</w:t>
            </w:r>
          </w:p>
        </w:tc>
        <w:tc>
          <w:tcPr>
            <w:tcW w:w="10720" w:type="dxa"/>
            <w:vAlign w:val="bottom"/>
            <w:gridSpan w:val="2"/>
          </w:tcPr>
          <w:p>
            <w:pPr>
              <w:ind w:left="340"/>
              <w:spacing w:after="0"/>
              <w:rPr>
                <w:sz w:val="20"/>
                <w:szCs w:val="20"/>
                <w:color w:val="auto"/>
              </w:rPr>
            </w:pPr>
            <w:r>
              <w:rPr>
                <w:rFonts w:ascii="Arial" w:cs="Arial" w:eastAsia="Arial" w:hAnsi="Arial"/>
                <w:sz w:val="18"/>
                <w:szCs w:val="18"/>
                <w:color w:val="auto"/>
              </w:rPr>
              <w:t>Opinion of Ropes &amp; Gray LLP (1)</w:t>
            </w:r>
          </w:p>
        </w:tc>
      </w:tr>
      <w:tr>
        <w:trPr>
          <w:trHeight w:val="430"/>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10720" w:type="dxa"/>
            <w:vAlign w:val="bottom"/>
            <w:gridSpan w:val="2"/>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 (2)</w:t>
            </w:r>
          </w:p>
        </w:tc>
      </w:tr>
      <w:tr>
        <w:trPr>
          <w:trHeight w:val="430"/>
        </w:trPr>
        <w:tc>
          <w:tcPr>
            <w:tcW w:w="700" w:type="dxa"/>
            <w:vAlign w:val="bottom"/>
          </w:tcPr>
          <w:p>
            <w:pPr>
              <w:spacing w:after="0"/>
              <w:rPr>
                <w:sz w:val="20"/>
                <w:szCs w:val="20"/>
                <w:color w:val="auto"/>
              </w:rPr>
            </w:pPr>
            <w:r>
              <w:rPr>
                <w:rFonts w:ascii="Arial" w:cs="Arial" w:eastAsia="Arial" w:hAnsi="Arial"/>
                <w:sz w:val="18"/>
                <w:szCs w:val="18"/>
                <w:color w:val="auto"/>
              </w:rPr>
              <w:t>23.2</w:t>
            </w:r>
          </w:p>
        </w:tc>
        <w:tc>
          <w:tcPr>
            <w:tcW w:w="10720" w:type="dxa"/>
            <w:vAlign w:val="bottom"/>
            <w:gridSpan w:val="2"/>
          </w:tcPr>
          <w:p>
            <w:pPr>
              <w:ind w:left="340"/>
              <w:spacing w:after="0"/>
              <w:rPr>
                <w:sz w:val="20"/>
                <w:szCs w:val="20"/>
                <w:color w:val="auto"/>
              </w:rPr>
            </w:pPr>
            <w:r>
              <w:rPr>
                <w:rFonts w:ascii="Arial" w:cs="Arial" w:eastAsia="Arial" w:hAnsi="Arial"/>
                <w:sz w:val="18"/>
                <w:szCs w:val="18"/>
                <w:color w:val="auto"/>
              </w:rPr>
              <w:t>Consent of Grant Thornton LLP, independent registered public accounting firm (2)</w:t>
            </w:r>
          </w:p>
        </w:tc>
      </w:tr>
      <w:tr>
        <w:trPr>
          <w:trHeight w:val="430"/>
        </w:trPr>
        <w:tc>
          <w:tcPr>
            <w:tcW w:w="700" w:type="dxa"/>
            <w:vAlign w:val="bottom"/>
          </w:tcPr>
          <w:p>
            <w:pPr>
              <w:spacing w:after="0"/>
              <w:rPr>
                <w:sz w:val="20"/>
                <w:szCs w:val="20"/>
                <w:color w:val="auto"/>
              </w:rPr>
            </w:pPr>
            <w:r>
              <w:rPr>
                <w:rFonts w:ascii="Arial" w:cs="Arial" w:eastAsia="Arial" w:hAnsi="Arial"/>
                <w:sz w:val="18"/>
                <w:szCs w:val="18"/>
                <w:color w:val="auto"/>
              </w:rPr>
              <w:t>23.3</w:t>
            </w:r>
          </w:p>
        </w:tc>
        <w:tc>
          <w:tcPr>
            <w:tcW w:w="10720" w:type="dxa"/>
            <w:vAlign w:val="bottom"/>
            <w:gridSpan w:val="2"/>
          </w:tcPr>
          <w:p>
            <w:pPr>
              <w:ind w:left="340"/>
              <w:spacing w:after="0"/>
              <w:rPr>
                <w:sz w:val="20"/>
                <w:szCs w:val="20"/>
                <w:color w:val="auto"/>
              </w:rPr>
            </w:pPr>
            <w:r>
              <w:rPr>
                <w:rFonts w:ascii="Arial" w:cs="Arial" w:eastAsia="Arial" w:hAnsi="Arial"/>
                <w:sz w:val="18"/>
                <w:szCs w:val="18"/>
                <w:color w:val="auto"/>
              </w:rPr>
              <w:t>Consent of Ropes &amp; Gray LLP (included in the opinion filed as Exhibit 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13061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 w:lineRule="exact"/>
        <w:rPr>
          <w:rFonts w:ascii="Arial" w:cs="Arial" w:eastAsia="Arial" w:hAnsi="Arial"/>
          <w:sz w:val="18"/>
          <w:szCs w:val="18"/>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420"/>
          </w:cols>
          <w:pgMar w:left="240" w:top="417"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23.1</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ERNST &amp; YOUNG LLP, INDEPENDENT REGISTERED PUBLIC ACCOUNTING FIRM</w:t>
      </w:r>
    </w:p>
    <w:p>
      <w:pPr>
        <w:spacing w:after="0" w:line="116" w:lineRule="exact"/>
        <w:rPr>
          <w:sz w:val="20"/>
          <w:szCs w:val="20"/>
          <w:color w:val="auto"/>
        </w:rPr>
      </w:pPr>
    </w:p>
    <w:p>
      <w:pPr>
        <w:jc w:val="both"/>
        <w:ind w:right="60" w:firstLine="445"/>
        <w:spacing w:after="0" w:line="278"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S-3) and related Prospectus of StemCells, Inc. for the registration of $100,000,000 of its common stock and to the incorporation by reference therein of our report dated March 4, 2003, except for Note 1, as to which the date is March 25, 2004, with respect to the 2002 consolidated financial statements of StemCells, Inc. included in its Annual Report (Form 10-K) for the year ended December 31, 2004 filed with the Securities and Exchange Commission.</w:t>
      </w:r>
    </w:p>
    <w:p>
      <w:pPr>
        <w:spacing w:after="0" w:line="38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28, 2005</w:t>
      </w:r>
    </w:p>
    <w:p>
      <w:pPr>
        <w:sectPr>
          <w:pgSz w:w="11900" w:h="16838" w:orient="portrait"/>
          <w:cols w:equalWidth="0" w:num="1">
            <w:col w:w="11420"/>
          </w:cols>
          <w:pgMar w:left="240" w:top="928"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23.2</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0"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We have issued our reports dated March 4, 2005 accompanying the consolidated financial statements and management’s assessment of the effectiveness of internal control over financial reporting as of December 31, 2004 of StemCells, Inc. appearing in the Annual Report on Form 10-K for the year ended December 31, 2004, which are incorporated by reference in this Registration Statement. We consent to the incorporation by reference in the Registration Statement of the aforementioned reports and to the use of our name as it appears under the caption “Experts.”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28, 2005</w:t>
      </w:r>
    </w:p>
    <w:sectPr>
      <w:pgSz w:w="11900" w:h="16838" w:orient="portrait"/>
      <w:cols w:equalWidth="0" w:num="1">
        <w:col w:w="11420"/>
      </w:cols>
      <w:pgMar w:left="240" w:top="9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2019-12-13T21:57:48Z</dcterms:created>
  <dcterms:modified xsi:type="dcterms:W3CDTF">2019-12-13T21:57:48Z</dcterms:modified>
</cp:coreProperties>
</file>