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Delaware</w:t>
            </w:r>
          </w:p>
        </w:tc>
        <w:tc>
          <w:tcPr>
            <w:tcW w:w="448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000-19871</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2940" w:type="dxa"/>
            <w:vAlign w:val="bottom"/>
            <w:tcBorders>
              <w:top w:val="single" w:sz="8" w:color="auto"/>
            </w:tcBorders>
          </w:tcPr>
          <w:p>
            <w:pPr>
              <w:jc w:val="center"/>
              <w:ind w:left="570"/>
              <w:spacing w:after="0" w:line="198" w:lineRule="exact"/>
              <w:rPr>
                <w:sz w:val="20"/>
                <w:szCs w:val="20"/>
                <w:color w:val="auto"/>
              </w:rPr>
            </w:pPr>
            <w:r>
              <w:rPr>
                <w:rFonts w:ascii="Arial" w:cs="Arial" w:eastAsia="Arial" w:hAnsi="Arial"/>
                <w:sz w:val="18"/>
                <w:szCs w:val="18"/>
                <w:b w:val="1"/>
                <w:bCs w:val="1"/>
                <w:color w:val="auto"/>
                <w:w w:val="90"/>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4"/>
              </w:rPr>
              <w:t>File Number)</w:t>
            </w: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2"/>
              </w:rPr>
              <w:t>25 Recreation Park Drive, Unit 108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9"/>
              </w:rPr>
              <w:t>Hingham, Massachusetts 02043</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40" w:type="dxa"/>
            <w:vAlign w:val="bottom"/>
          </w:tcPr>
          <w:p>
            <w:pPr>
              <w:spacing w:after="0"/>
              <w:rPr>
                <w:sz w:val="22"/>
                <w:szCs w:val="22"/>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200" w:type="dxa"/>
            <w:vAlign w:val="bottom"/>
          </w:tcPr>
          <w:p>
            <w:pPr>
              <w:spacing w:after="0"/>
              <w:rPr>
                <w:sz w:val="22"/>
                <w:szCs w:val="22"/>
                <w:color w:val="auto"/>
              </w:rPr>
            </w:pP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9"/>
              </w:rPr>
              <w:t>MBOT</w:t>
            </w:r>
          </w:p>
        </w:tc>
        <w:tc>
          <w:tcPr>
            <w:tcW w:w="20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June 2, 2023, Microbot Medical Inc., a Delaware corporation (the “Company”), entered into Securities Purchase Agreements (the “Purchase Agreements”) with institutional investors (the “Investors”), pursuant to which the Company agreed to issue and sell, in a registered direct offering priced at-the-market under the rules of The Nasdaq Stock Market (the “Registered Offering”), an aggregate of 701,756 shares (the “Shares”) of the Company’s common stock, par value $0.01 per share (“Common Stock”), at an offering price of $2.1375 per share, for aggregate gross proceeds from the Offerings (as defined below) of approximately $1.5 million before deducting the placement agent fee (as described in greater detail below) and related offering expenses.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Agreements contain customary representations and warranties and agreements of the Company and the Investors and customary indemnification rights and obligations of the parties. Pursuant to the terms of each of the Purchase Agreements, the Company has agreed to certain restrictions on the issuance and sale of its Common Stock or Common Stock Equivalents (as defined in the Purchase Agreements) during the 5-trading day period following the closing of the Registered Offering.</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Shares were offered by the Company pursuant to a registration statement on Form S-3 (File No. 333-250966), which was filed with the Securities and Exchange Commission (the “Commission”) on November 25, 2020 and was declared effective by the Commission on December 4, 2020 (the “Registration Statement”), a base prospectus dated December 4, 2020 and a prospectus supplement dated June 2, 2023.</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 concurrent private placement (the “Private Placement” and, together with the Registered Offering, the “Offerings”), the Company agreed to issue to the Investors Series C preferred investment options to purchase up to 350,878 shares of Common Stock (the “Series C Warrants”) at an exercise price of $2.075 per share. Each Series C Warrant is exercisable immediately and will expire five and one-half years from the initial exercise date. The Series C Warrants and the shares of the Common Stock issuable upon the exercise of the Series C Warrants (the “Series C Warrant Shares”) are not being registered under the Securities Act of 1933, as amended (the “Securities Act”), were not offered pursuant to the Registration Statement and were offered pursuant to the exemption provided in Section 4(a)(2) under the Securities Act, and Rule 506(b)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both"/>
        <w:spacing w:after="0" w:line="275" w:lineRule="auto"/>
        <w:rPr>
          <w:sz w:val="20"/>
          <w:szCs w:val="20"/>
          <w:color w:val="auto"/>
        </w:rPr>
      </w:pPr>
      <w:r>
        <w:rPr>
          <w:rFonts w:ascii="Arial" w:cs="Arial" w:eastAsia="Arial" w:hAnsi="Arial"/>
          <w:sz w:val="17"/>
          <w:szCs w:val="17"/>
          <w:color w:val="auto"/>
        </w:rPr>
        <w:t>A holder (together with its affiliates) may not exercise any portion of the Series C Warrants to the extent that the holder would own more than 4.99% (or, at the purchaser’s option upon issuance, 9.99%) of the Company’s outstanding Common Stock immediately after exercise. However, upon at least 61 days’ prior notice from the holder to the Company, a holder with a 4.99% ownership blocker may increase the amount of ownership of outstanding Common Stock after exercising the holder’s Series C Warrants up to 9.99% of the number of the Company’s Common Stock outstanding immediately after giving effect to the exercise, as such percentage ownership is determined in accordance with the terms of the Series C Warrant.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On May 16, 2023 and in connection with the Offerings, the Company entered into an engagement letter (the “Engagement Letter”) with H.C. Wainwright</w:t>
      </w:r>
    </w:p>
    <w:p>
      <w:pPr>
        <w:spacing w:after="0" w:line="46" w:lineRule="exact"/>
        <w:rPr>
          <w:sz w:val="20"/>
          <w:szCs w:val="20"/>
          <w:color w:val="auto"/>
        </w:rPr>
      </w:pPr>
    </w:p>
    <w:p>
      <w:pPr>
        <w:jc w:val="both"/>
        <w:ind w:firstLine="8"/>
        <w:spacing w:after="0" w:line="284" w:lineRule="auto"/>
        <w:tabs>
          <w:tab w:leader="none" w:pos="194" w:val="left"/>
        </w:tabs>
        <w:numPr>
          <w:ilvl w:val="0"/>
          <w:numId w:val="2"/>
        </w:numPr>
        <w:rPr>
          <w:rFonts w:ascii="Arial" w:cs="Arial" w:eastAsia="Arial" w:hAnsi="Arial"/>
          <w:sz w:val="16"/>
          <w:szCs w:val="16"/>
          <w:color w:val="auto"/>
        </w:rPr>
      </w:pPr>
      <w:r>
        <w:rPr>
          <w:rFonts w:ascii="Arial" w:cs="Arial" w:eastAsia="Arial" w:hAnsi="Arial"/>
          <w:sz w:val="16"/>
          <w:szCs w:val="16"/>
          <w:color w:val="auto"/>
        </w:rPr>
        <w:t>Co., LLC (“Wainwright”), pursuant to which Wainwright agreed to serve as the exclusive placement agent for the issuance and sale of securities of the Company pursuant to the Purchase Agreement. As compensation for such placement agent services, the Company has agreed to pay Wainwright an aggregate cash fee equal to 7.0% of the gross proceeds received by the Company from the Offerings, plus a management fee equal to 1.0% of the gross proceeds received by the Company from the Offerings, a non-accountable expense of $25,000, up to $35,000 for its fees and expenses of legal counsel and $15,950 for clearing expenses. The Company has also agreed to issue to Wainwright or its designees warrants to purchase 35,088 shares of Common Stock (the “Wainwright Warrants” and, together with the Series C Warrants, the “Warrants”). The Wainwright Warrants are exercisable immediately, will expire five years from the commencement of sales of the Offerings, and have an exercise price of $2.6719 per share. Further, pursuant to the Engagement Letter, Wainwright is entitled to compensation with respect to any financing of the Company occurring within six months of the termination of the Engagement Letter when such financing is provided by investors whom Wainwright introduced to the Company during the term of the Engagement Letter.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termination of the Engagement Letter. In addition, upon any exercise for cash of any preferred investment options issued to investors in the Offering, the Company shall pay Wainwright, within five (5) business days of the Company’s receipt of the exercise price, a cash fee of seven (7.0%) percent of the aggregate gross exercise price paid in cash with respect thereto. Also, upon any exercise for cash of any preferred investment options issued to investors in the Offering, the Company shall issue to Wainwright (or its designees), within five (5) business days of the Company’s receipt of the exercise price, warrants to purchase that number of shares of Common Stock of the Company equal to five (5.0%) percent of the aggregate number of such shares of Common Stock underlying the preferred investment options that have been so exercised. The Engagement Letter also includes indemnification obligations of the Company and other provisions customary for transactions of this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 w:name="page4"/>
    <w:bookmarkEnd w:id="3"/>
    <w:p>
      <w:pPr>
        <w:jc w:val="both"/>
        <w:spacing w:after="0" w:line="263" w:lineRule="auto"/>
        <w:rPr>
          <w:sz w:val="20"/>
          <w:szCs w:val="20"/>
          <w:color w:val="auto"/>
        </w:rPr>
      </w:pPr>
      <w:r>
        <w:rPr>
          <w:rFonts w:ascii="Arial" w:cs="Arial" w:eastAsia="Arial" w:hAnsi="Arial"/>
          <w:sz w:val="18"/>
          <w:szCs w:val="18"/>
          <w:color w:val="auto"/>
        </w:rPr>
        <w:t>Neither of the Wainwright Warrants nor the shares of Common Stock issuable upon the exercise of the Wainwright Warrants (the “Wainwright Warrant Shares”) are registered under the Securities Act. The Wainwright Warrants and the Warrant Shares were issued in reliance on the exemptions from registration provided by Section 4(a)(2) under the Securities Act.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Common Stock is listed on The Nasdaq Capital Market. There is no established trading market for the Warrants, and the Company does not intend to list the Warrants on any securities exchange or nationally recognized trading system. Without a trading market, the liquidity of the Warrants may be extremely limited.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summaries of the form of Series C Warrant, the form of Wainwright Warrant and the form of Purchase Agreement do not purport to be complete and are subject to, and qualified in their entirety by, such documents attached as Exhibits 4.1, 4.2 and 10.1, respectively, to this Current Report on Form 8-K, which are incorporated herein by reference.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copy of the opinion of Mintz, Levin, Cohn, Ferris, Glovsky and Popeo, P.C. relating to the legality of the issuance and sale of the Shares is attached as Exhibit 5.1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Item 1.01 above related to the Warrants, the Series C Warrant Shares and the Wainwright Warrant Shares is incorporated herein by reference into this Item 3.02.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June 2, 2023 the Company issued a press release announcing the Offerings, a copy of which is attached hereto as Exhibit 99.1 and is incorporated by reference into this Item 8.01 of this Current Report on Form 8-K. On June 6, 2023, the Company issued a press release announcing the closing of the Offerings, a copy of which is attached hereto as Exhibit 99.2 and is incorporated by reference into this Item 8.01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0000EE"/>
        </w:rPr>
        <w:t>Form of Series C Warrant.</w:t>
      </w:r>
    </w:p>
    <w:p>
      <w:pPr>
        <w:spacing w:after="0" w:line="225"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0000EE"/>
        </w:rPr>
        <w:t>Form of Wainwright Warrant.</w:t>
      </w:r>
    </w:p>
    <w:p>
      <w:pPr>
        <w:spacing w:after="0" w:line="225"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Opinion of Mintz, Levin, Cohn, Ferris, Glovsky and Popeo, P.C.</w:t>
      </w:r>
    </w:p>
    <w:p>
      <w:pPr>
        <w:spacing w:after="0" w:line="225"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0000EE"/>
        </w:rPr>
        <w:t>Form of Securities Purchase Agreement, dated as of June 2, 2023, by and among the Company and the purchasers party thereto.</w:t>
      </w:r>
    </w:p>
    <w:p>
      <w:pPr>
        <w:spacing w:after="0" w:line="225"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Mintz, Levin, Cohn, Ferris, Glovsky and Popeo, P.C. (included in Exhibit 5.1).</w:t>
      </w:r>
    </w:p>
    <w:p>
      <w:pPr>
        <w:spacing w:after="0" w:line="225"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Pricing Press Release.</w:t>
      </w:r>
    </w:p>
    <w:p>
      <w:pPr>
        <w:spacing w:after="0" w:line="225"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u w:val="single" w:color="auto"/>
          <w:color w:val="0000EE"/>
        </w:rPr>
        <w:t>Closing Press Release.</w:t>
      </w:r>
    </w:p>
    <w:p>
      <w:pPr>
        <w:spacing w:after="0" w:line="225" w:lineRule="exact"/>
        <w:rPr>
          <w:sz w:val="20"/>
          <w:szCs w:val="20"/>
          <w:color w:val="auto"/>
        </w:rPr>
      </w:pPr>
    </w:p>
    <w:p>
      <w:pPr>
        <w:ind w:left="200"/>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ind w:left="10160"/>
        <w:spacing w:after="0"/>
        <w:rPr>
          <w:sz w:val="20"/>
          <w:szCs w:val="20"/>
          <w:color w:val="auto"/>
        </w:rPr>
      </w:pPr>
      <w:r>
        <w:rPr>
          <w:rFonts w:ascii="Arial" w:cs="Arial" w:eastAsia="Arial" w:hAnsi="Arial"/>
          <w:sz w:val="18"/>
          <w:szCs w:val="18"/>
          <w:b w:val="1"/>
          <w:bCs w:val="1"/>
          <w:color w:val="auto"/>
        </w:rPr>
        <w:t>EXHIBIT A-2</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C PREFERRED INVESTMENT OPTION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ectPr>
          <w:pgSz w:w="11900" w:h="16838" w:orient="portrait"/>
          <w:cols w:equalWidth="0" w:num="1">
            <w:col w:w="11240"/>
          </w:cols>
          <w:pgMar w:left="320" w:top="337"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Preferred Investment Option Shares: 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Issue Date: June ___, 2023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Initial Exercise Date: June ___, 2023</w:t>
      </w:r>
    </w:p>
    <w:p>
      <w:pPr>
        <w:spacing w:after="0" w:line="200" w:lineRule="exact"/>
        <w:rPr>
          <w:sz w:val="20"/>
          <w:szCs w:val="20"/>
          <w:color w:val="auto"/>
        </w:rPr>
      </w:pPr>
    </w:p>
    <w:p>
      <w:pPr>
        <w:sectPr>
          <w:pgSz w:w="11900" w:h="16838" w:orient="portrait"/>
          <w:cols w:equalWidth="0" w:num="2">
            <w:col w:w="6020" w:space="720"/>
            <w:col w:w="4500"/>
          </w:cols>
          <w:pgMar w:left="320" w:top="337" w:right="339" w:bottom="1440" w:gutter="0" w:footer="0" w:header="0"/>
          <w:type w:val="continuous"/>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SERIES C PREFERRED INVESTMENT OPTION (the “</w:t>
      </w:r>
      <w:r>
        <w:rPr>
          <w:rFonts w:ascii="Arial" w:cs="Arial" w:eastAsia="Arial" w:hAnsi="Arial"/>
          <w:sz w:val="18"/>
          <w:szCs w:val="18"/>
          <w:u w:val="single" w:color="auto"/>
          <w:color w:val="auto"/>
        </w:rPr>
        <w:t>Preferred Investment Option</w:t>
      </w:r>
      <w:r>
        <w:rPr>
          <w:rFonts w:ascii="Arial" w:cs="Arial" w:eastAsia="Arial" w:hAnsi="Arial"/>
          <w:sz w:val="18"/>
          <w:szCs w:val="18"/>
          <w:color w:val="auto"/>
        </w:rPr>
        <w:t>”) certifies that, for value received,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 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w:t>
      </w:r>
    </w:p>
    <w:p>
      <w:pPr>
        <w:spacing w:after="0" w:line="27"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any time on or after the date set forth above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December ___, 2028</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 for and purchase from Microbot Medical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w:t>
      </w:r>
    </w:p>
    <w:p>
      <w:pPr>
        <w:spacing w:after="0" w:line="260" w:lineRule="auto"/>
        <w:rPr>
          <w:sz w:val="20"/>
          <w:szCs w:val="20"/>
          <w:color w:val="auto"/>
        </w:rPr>
      </w:pPr>
      <w:r>
        <w:rPr>
          <w:rFonts w:ascii="Arial" w:cs="Arial" w:eastAsia="Arial" w:hAnsi="Arial"/>
          <w:sz w:val="18"/>
          <w:szCs w:val="18"/>
          <w:color w:val="auto"/>
        </w:rPr>
        <w:t>shares (as subject to adjustment hereunder, the “</w:t>
      </w:r>
      <w:r>
        <w:rPr>
          <w:rFonts w:ascii="Arial" w:cs="Arial" w:eastAsia="Arial" w:hAnsi="Arial"/>
          <w:sz w:val="18"/>
          <w:szCs w:val="18"/>
          <w:u w:val="single" w:color="auto"/>
          <w:color w:val="auto"/>
        </w:rPr>
        <w:t>Preferred Investment Option Shares</w:t>
      </w:r>
      <w:r>
        <w:rPr>
          <w:rFonts w:ascii="Arial" w:cs="Arial" w:eastAsia="Arial" w:hAnsi="Arial"/>
          <w:sz w:val="18"/>
          <w:szCs w:val="18"/>
          <w:color w:val="auto"/>
        </w:rPr>
        <w:t>”) of Common Stock. The purchase price of one share of Common Stock under this Preferred Investment Option shall be equal to the Exercise Price, as defined in Section 2(b).</w:t>
      </w:r>
    </w:p>
    <w:p>
      <w:pPr>
        <w:spacing w:after="0" w:line="18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otherwise defined herein shall have the meanings set forth in that certain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dated June ___, 2023, among the Company and the purchasers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Insert the date that is the five and one-half (5.5) year anniversary of the Initial Exercise Date, provided that, if such date is not a Trading Day, insert the immediately following Trading Day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5" w:lineRule="auto"/>
        <w:tabs>
          <w:tab w:leader="none" w:pos="858"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Exercise of Preferred Investment Option</w:t>
      </w:r>
      <w:r>
        <w:rPr>
          <w:rFonts w:ascii="Arial" w:cs="Arial" w:eastAsia="Arial" w:hAnsi="Arial"/>
          <w:sz w:val="16"/>
          <w:szCs w:val="16"/>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 and any assignee, by acceptance of this Preferred Investment Option,</w:t>
      </w:r>
      <w:r>
        <w:rPr>
          <w:rFonts w:ascii="Arial" w:cs="Arial" w:eastAsia="Arial" w:hAnsi="Arial"/>
          <w:sz w:val="16"/>
          <w:szCs w:val="16"/>
          <w:color w:val="auto"/>
        </w:rPr>
        <w:t xml:space="preserve"> </w:t>
      </w:r>
      <w:r>
        <w:rPr>
          <w:rFonts w:ascii="Arial" w:cs="Arial" w:eastAsia="Arial" w:hAnsi="Arial"/>
          <w:sz w:val="16"/>
          <w:szCs w:val="16"/>
          <w:b w:val="1"/>
          <w:bCs w:val="1"/>
          <w:color w:val="auto"/>
        </w:rPr>
        <w:t>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380" w:lineRule="exact"/>
        <w:rPr>
          <w:rFonts w:ascii="Arial" w:cs="Arial" w:eastAsia="Arial" w:hAnsi="Arial"/>
          <w:sz w:val="16"/>
          <w:szCs w:val="16"/>
          <w:color w:val="auto"/>
        </w:rPr>
      </w:pPr>
    </w:p>
    <w:p>
      <w:pPr>
        <w:ind w:firstLine="644"/>
        <w:spacing w:after="0" w:line="282" w:lineRule="auto"/>
        <w:tabs>
          <w:tab w:leader="none" w:pos="86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of Common Stock under this Preferred Investment Option shall be </w:t>
      </w:r>
      <w:r>
        <w:rPr>
          <w:rFonts w:ascii="Arial" w:cs="Arial" w:eastAsia="Arial" w:hAnsi="Arial"/>
          <w:sz w:val="18"/>
          <w:szCs w:val="18"/>
          <w:b w:val="1"/>
          <w:bCs w:val="1"/>
          <w:color w:val="auto"/>
        </w:rPr>
        <w:t>$2.075</w:t>
      </w:r>
      <w:r>
        <w:rPr>
          <w:rFonts w:ascii="Arial" w:cs="Arial" w:eastAsia="Arial" w:hAnsi="Arial"/>
          <w:sz w:val="18"/>
          <w:szCs w:val="18"/>
          <w:color w:val="auto"/>
        </w:rPr>
        <w:t>,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6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8" w:name="page9"/>
    <w:bookmarkEnd w:id="8"/>
    <w:p>
      <w:pPr>
        <w:jc w:val="both"/>
        <w:ind w:firstLine="644"/>
        <w:spacing w:after="0" w:line="279" w:lineRule="auto"/>
        <w:tabs>
          <w:tab w:leader="none" w:pos="841"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71" w:lineRule="exact"/>
        <w:rPr>
          <w:sz w:val="20"/>
          <w:szCs w:val="20"/>
          <w:color w:val="auto"/>
        </w:rPr>
      </w:pPr>
    </w:p>
    <w:p>
      <w:pPr>
        <w:jc w:val="right"/>
        <w:ind w:left="1300" w:hanging="656"/>
        <w:spacing w:after="0" w:line="285" w:lineRule="auto"/>
        <w:tabs>
          <w:tab w:leader="none" w:pos="1087" w:val="left"/>
        </w:tabs>
        <w:numPr>
          <w:ilvl w:val="0"/>
          <w:numId w:val="5"/>
        </w:numPr>
        <w:rPr>
          <w:rFonts w:ascii="Arial" w:cs="Arial" w:eastAsia="Arial" w:hAnsi="Arial"/>
          <w:sz w:val="16"/>
          <w:szCs w:val="16"/>
          <w:color w:val="auto"/>
        </w:rPr>
      </w:pPr>
      <w:r>
        <w:rPr>
          <w:rFonts w:ascii="Arial" w:cs="Arial" w:eastAsia="Arial" w:hAnsi="Arial"/>
          <w:sz w:val="16"/>
          <w:szCs w:val="16"/>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1" w:lineRule="exact"/>
        <w:rPr>
          <w:rFonts w:ascii="Arial" w:cs="Arial" w:eastAsia="Arial" w:hAnsi="Arial"/>
          <w:sz w:val="16"/>
          <w:szCs w:val="16"/>
          <w:color w:val="auto"/>
        </w:rPr>
      </w:pPr>
    </w:p>
    <w:p>
      <w:pPr>
        <w:jc w:val="both"/>
        <w:ind w:left="1300" w:hanging="8"/>
        <w:spacing w:after="0" w:line="270" w:lineRule="auto"/>
        <w:tabs>
          <w:tab w:leader="none" w:pos="155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Bid Price of the Common Stock on the principal Trading Market as reported by Bloomberg L.P. (“</w:t>
      </w:r>
      <w:r>
        <w:rPr>
          <w:rFonts w:ascii="Arial" w:cs="Arial" w:eastAsia="Arial" w:hAnsi="Arial"/>
          <w:sz w:val="17"/>
          <w:szCs w:val="17"/>
          <w:u w:val="single" w:color="auto"/>
          <w:color w:val="auto"/>
        </w:rPr>
        <w:t>Bloomberg</w:t>
      </w:r>
      <w:r>
        <w:rPr>
          <w:rFonts w:ascii="Arial" w:cs="Arial" w:eastAsia="Arial" w:hAnsi="Arial"/>
          <w:sz w:val="17"/>
          <w:szCs w:val="17"/>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78" w:lineRule="exact"/>
        <w:rPr>
          <w:rFonts w:ascii="Arial" w:cs="Arial" w:eastAsia="Arial" w:hAnsi="Arial"/>
          <w:sz w:val="17"/>
          <w:szCs w:val="17"/>
          <w:color w:val="auto"/>
        </w:rPr>
      </w:pPr>
    </w:p>
    <w:p>
      <w:pPr>
        <w:ind w:left="1080" w:hanging="436"/>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Exercise Price of this Preferred Investment Option, as adjusted hereunder; and</w:t>
      </w:r>
    </w:p>
    <w:p>
      <w:pPr>
        <w:spacing w:after="0" w:line="225" w:lineRule="exact"/>
        <w:rPr>
          <w:sz w:val="20"/>
          <w:szCs w:val="20"/>
          <w:color w:val="auto"/>
        </w:rPr>
      </w:pPr>
    </w:p>
    <w:p>
      <w:pPr>
        <w:ind w:left="1300" w:hanging="656"/>
        <w:spacing w:after="0" w:line="263" w:lineRule="auto"/>
        <w:tabs>
          <w:tab w:leader="none" w:pos="1087" w:val="left"/>
        </w:tabs>
        <w:numPr>
          <w:ilvl w:val="0"/>
          <w:numId w:val="6"/>
        </w:numPr>
        <w:rPr>
          <w:rFonts w:ascii="Arial" w:cs="Arial" w:eastAsia="Arial" w:hAnsi="Arial"/>
          <w:sz w:val="18"/>
          <w:szCs w:val="18"/>
          <w:color w:val="auto"/>
        </w:rPr>
      </w:pPr>
      <w:r>
        <w:rPr>
          <w:rFonts w:ascii="Arial" w:cs="Arial" w:eastAsia="Arial" w:hAnsi="Arial"/>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Bid Price</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9" w:name="page10"/>
    <w:bookmarkEnd w:id="9"/>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57" w:lineRule="exact"/>
        <w:rPr>
          <w:sz w:val="20"/>
          <w:szCs w:val="20"/>
          <w:color w:val="auto"/>
        </w:rPr>
      </w:pPr>
    </w:p>
    <w:p>
      <w:pPr>
        <w:ind w:left="840" w:hanging="196"/>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40"/>
        <w:spacing w:after="0" w:line="283" w:lineRule="auto"/>
        <w:tabs>
          <w:tab w:leader="none" w:pos="2100"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Delivery of Preferred Investment Option Shares Upon Exercise</w:t>
      </w:r>
      <w:r>
        <w:rPr>
          <w:rFonts w:ascii="Arial" w:cs="Arial" w:eastAsia="Arial" w:hAnsi="Arial"/>
          <w:sz w:val="16"/>
          <w:szCs w:val="16"/>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Preferred Investment Option Share Delivery Date</w:t>
      </w:r>
      <w:r>
        <w:rPr>
          <w:rFonts w:ascii="Arial" w:cs="Arial" w:eastAsia="Arial" w:hAnsi="Arial"/>
          <w:sz w:val="16"/>
          <w:szCs w:val="16"/>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Preferred Investment Option Shares subject to such notice(s) by 4:00 p.m. (New York City time) on the Initial Exercise Date and the Initial Exercise Date shall be the Preferred Investment Option Share Delivery Date for purposes hereunder, provided that payment of the aggregate Exercise Price (other than in the case of a cashless exercise) is received by such Preferred Investment Option Share Delivery Date.</w:t>
      </w:r>
    </w:p>
    <w:p>
      <w:pPr>
        <w:spacing w:after="0" w:line="200" w:lineRule="exact"/>
        <w:rPr>
          <w:sz w:val="20"/>
          <w:szCs w:val="20"/>
          <w:color w:val="auto"/>
        </w:rPr>
      </w:pPr>
    </w:p>
    <w:p>
      <w:pPr>
        <w:spacing w:after="0" w:line="20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10" w:name="page11"/>
    <w:bookmarkEnd w:id="10"/>
    <w:p>
      <w:pPr>
        <w:jc w:val="both"/>
        <w:ind w:left="840" w:firstLine="640"/>
        <w:spacing w:after="0" w:line="255" w:lineRule="auto"/>
        <w:tabs>
          <w:tab w:leader="none" w:pos="169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Delivery of New Preferred Investment Options Upon Exercise</w:t>
      </w:r>
      <w:r>
        <w:rPr>
          <w:rFonts w:ascii="Arial" w:cs="Arial" w:eastAsia="Arial" w:hAnsi="Arial"/>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92" w:lineRule="exact"/>
        <w:rPr>
          <w:rFonts w:ascii="Arial" w:cs="Arial" w:eastAsia="Arial" w:hAnsi="Arial"/>
          <w:sz w:val="18"/>
          <w:szCs w:val="18"/>
          <w:color w:val="auto"/>
        </w:rPr>
      </w:pPr>
    </w:p>
    <w:p>
      <w:pPr>
        <w:jc w:val="both"/>
        <w:ind w:left="840" w:firstLine="640"/>
        <w:spacing w:after="0" w:line="263" w:lineRule="auto"/>
        <w:tabs>
          <w:tab w:leader="none" w:pos="1769"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83" w:lineRule="exact"/>
        <w:rPr>
          <w:rFonts w:ascii="Arial" w:cs="Arial" w:eastAsia="Arial" w:hAnsi="Arial"/>
          <w:sz w:val="18"/>
          <w:szCs w:val="18"/>
          <w:color w:val="auto"/>
        </w:rPr>
      </w:pPr>
    </w:p>
    <w:p>
      <w:pPr>
        <w:jc w:val="both"/>
        <w:ind w:left="840" w:firstLine="640"/>
        <w:spacing w:after="0" w:line="284" w:lineRule="auto"/>
        <w:tabs>
          <w:tab w:leader="none" w:pos="1739"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Preferred Investment Option Shares Upon Exercise</w:t>
      </w:r>
      <w:r>
        <w:rPr>
          <w:rFonts w:ascii="Arial" w:cs="Arial" w:eastAsia="Arial" w:hAnsi="Arial"/>
          <w:sz w:val="16"/>
          <w:szCs w:val="16"/>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w:t>
      </w:r>
    </w:p>
    <w:p>
      <w:pPr>
        <w:spacing w:after="0" w:line="2" w:lineRule="exact"/>
        <w:rPr>
          <w:rFonts w:ascii="Arial" w:cs="Arial" w:eastAsia="Arial" w:hAnsi="Arial"/>
          <w:sz w:val="16"/>
          <w:szCs w:val="16"/>
          <w:color w:val="auto"/>
        </w:rPr>
      </w:pPr>
    </w:p>
    <w:p>
      <w:pPr>
        <w:jc w:val="both"/>
        <w:ind w:left="840" w:hanging="8"/>
        <w:spacing w:after="0" w:line="267" w:lineRule="auto"/>
        <w:tabs>
          <w:tab w:leader="none" w:pos="110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Holder’s total purchase price (including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8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11" w:name="page12"/>
    <w:bookmarkEnd w:id="11"/>
    <w:p>
      <w:pPr>
        <w:jc w:val="both"/>
        <w:ind w:left="840" w:firstLine="648"/>
        <w:spacing w:after="0" w:line="279" w:lineRule="auto"/>
        <w:rPr>
          <w:sz w:val="20"/>
          <w:szCs w:val="20"/>
          <w:color w:val="auto"/>
        </w:rPr>
      </w:pPr>
      <w:r>
        <w:rPr>
          <w:rFonts w:ascii="Arial" w:cs="Arial" w:eastAsia="Arial" w:hAnsi="Arial"/>
          <w:sz w:val="17"/>
          <w:szCs w:val="17"/>
          <w:color w:val="auto"/>
        </w:rPr>
        <w:t xml:space="preserve">v. </w:t>
      </w: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sz w:val="20"/>
          <w:szCs w:val="20"/>
          <w:color w:val="auto"/>
        </w:rPr>
      </w:pPr>
    </w:p>
    <w:p>
      <w:pPr>
        <w:jc w:val="both"/>
        <w:ind w:left="840" w:firstLine="640"/>
        <w:spacing w:after="0" w:line="288" w:lineRule="auto"/>
        <w:tabs>
          <w:tab w:leader="none" w:pos="1727"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68" w:lineRule="exact"/>
        <w:rPr>
          <w:rFonts w:ascii="Arial" w:cs="Arial" w:eastAsia="Arial" w:hAnsi="Arial"/>
          <w:sz w:val="16"/>
          <w:szCs w:val="16"/>
          <w:color w:val="auto"/>
        </w:rPr>
      </w:pPr>
    </w:p>
    <w:p>
      <w:pPr>
        <w:ind w:left="840" w:firstLine="640"/>
        <w:spacing w:after="0" w:line="277" w:lineRule="auto"/>
        <w:tabs>
          <w:tab w:leader="none" w:pos="177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Preferred Investment Option, pursuant to the terms hereof.</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12" w:name="page13"/>
    <w:bookmarkEnd w:id="12"/>
    <w:p>
      <w:pPr>
        <w:jc w:val="both"/>
        <w:ind w:firstLine="644"/>
        <w:spacing w:after="0" w:line="282" w:lineRule="auto"/>
        <w:tabs>
          <w:tab w:leader="none" w:pos="887"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of this Section 2(e) shall continue to apply. Any increase in the Beneficial Ownership Limitation will not be effective until the 61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18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7" w:lineRule="auto"/>
        <w:tabs>
          <w:tab w:leader="none" w:pos="86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67" w:lineRule="exact"/>
        <w:rPr>
          <w:rFonts w:ascii="Arial" w:cs="Arial" w:eastAsia="Arial" w:hAnsi="Arial"/>
          <w:sz w:val="16"/>
          <w:szCs w:val="16"/>
          <w:color w:val="auto"/>
        </w:rPr>
      </w:pPr>
    </w:p>
    <w:p>
      <w:pPr>
        <w:jc w:val="both"/>
        <w:ind w:firstLine="644"/>
        <w:spacing w:after="0" w:line="269" w:lineRule="auto"/>
        <w:tabs>
          <w:tab w:leader="none" w:pos="84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8" w:lineRule="exact"/>
        <w:rPr>
          <w:rFonts w:ascii="Arial" w:cs="Arial" w:eastAsia="Arial" w:hAnsi="Arial"/>
          <w:sz w:val="17"/>
          <w:szCs w:val="17"/>
          <w:color w:val="auto"/>
        </w:rPr>
      </w:pPr>
    </w:p>
    <w:p>
      <w:pPr>
        <w:jc w:val="both"/>
        <w:ind w:firstLine="644"/>
        <w:spacing w:after="0" w:line="286" w:lineRule="auto"/>
        <w:tabs>
          <w:tab w:leader="none" w:pos="836"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u w:val="single" w:color="auto"/>
          <w:color w:val="auto"/>
        </w:rPr>
        <w:t>Distribution</w:t>
      </w:r>
      <w:r>
        <w:rPr>
          <w:rFonts w:ascii="Arial" w:cs="Arial" w:eastAsia="Arial" w:hAnsi="Arial"/>
          <w:sz w:val="16"/>
          <w:szCs w:val="16"/>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7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14" w:name="page15"/>
    <w:bookmarkEnd w:id="14"/>
    <w:p>
      <w:pPr>
        <w:jc w:val="both"/>
        <w:ind w:left="-460" w:firstLine="644"/>
        <w:spacing w:after="0" w:line="282" w:lineRule="auto"/>
        <w:tabs>
          <w:tab w:leader="none" w:pos="386"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Preferred Investment Option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Arial" w:cs="Arial" w:eastAsia="Arial" w:hAnsi="Arial"/>
          <w:sz w:val="16"/>
          <w:szCs w:val="16"/>
          <w:u w:val="single" w:color="auto"/>
          <w:color w:val="auto"/>
        </w:rPr>
        <w:t>Black Scholes Value</w:t>
      </w:r>
      <w:r>
        <w:rPr>
          <w:rFonts w:ascii="Arial" w:cs="Arial" w:eastAsia="Arial" w:hAnsi="Arial"/>
          <w:sz w:val="16"/>
          <w:szCs w:val="16"/>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254" w:gutter="0" w:footer="0" w:header="0"/>
        </w:sectPr>
      </w:pPr>
    </w:p>
    <w:bookmarkStart w:id="15" w:name="page16"/>
    <w:bookmarkEnd w:id="15"/>
    <w:p>
      <w:pPr>
        <w:jc w:val="both"/>
        <w:ind w:left="-460" w:firstLine="644"/>
        <w:spacing w:after="0" w:line="286" w:lineRule="auto"/>
        <w:tabs>
          <w:tab w:leader="none" w:pos="381"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Arial" w:cs="Arial" w:eastAsia="Arial" w:hAnsi="Arial"/>
          <w:sz w:val="17"/>
          <w:szCs w:val="17"/>
          <w:color w:val="auto"/>
        </w:rPr>
      </w:pPr>
    </w:p>
    <w:p>
      <w:pPr>
        <w:ind w:left="340" w:hanging="156"/>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259" w:lineRule="auto"/>
        <w:tabs>
          <w:tab w:leader="none" w:pos="1619"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86" w:lineRule="exact"/>
        <w:rPr>
          <w:rFonts w:ascii="Arial" w:cs="Arial" w:eastAsia="Arial" w:hAnsi="Arial"/>
          <w:sz w:val="18"/>
          <w:szCs w:val="18"/>
          <w:color w:val="auto"/>
        </w:rPr>
      </w:pPr>
    </w:p>
    <w:p>
      <w:pPr>
        <w:jc w:val="both"/>
        <w:ind w:left="840" w:firstLine="640"/>
        <w:spacing w:after="0" w:line="284" w:lineRule="auto"/>
        <w:tabs>
          <w:tab w:leader="none" w:pos="1709"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Arial" w:cs="Arial" w:eastAsia="Arial" w:hAnsi="Arial"/>
          <w:sz w:val="16"/>
          <w:szCs w:val="16"/>
          <w:u w:val="single" w:color="auto"/>
          <w:color w:val="auto"/>
        </w:rPr>
        <w:t>Section 3(f)(ii)</w:t>
      </w:r>
      <w:r>
        <w:rPr>
          <w:rFonts w:ascii="Arial" w:cs="Arial" w:eastAsia="Arial" w:hAnsi="Arial"/>
          <w:sz w:val="16"/>
          <w:szCs w:val="16"/>
          <w:color w:val="auto"/>
        </w:rPr>
        <w:t xml:space="preserve"> in confidence until such information is publicly available, and shall comply with applicable law with respect to trading in the Company’s securities following receipt any such information.</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6" w:name="page17"/>
    <w:bookmarkEnd w:id="16"/>
    <w:p>
      <w:pPr>
        <w:jc w:val="both"/>
        <w:ind w:firstLine="644"/>
        <w:spacing w:after="0" w:line="263" w:lineRule="auto"/>
        <w:tabs>
          <w:tab w:leader="none" w:pos="84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the rules and regulations of the Trading Market, the Company may at any time during the term of this Preferred Investment Option reduce the then current Exercise Price to any amount and for any period of time deemed appropriate by the board of directors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Preferred Investment Option</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6" w:lineRule="auto"/>
        <w:tabs>
          <w:tab w:leader="none" w:pos="834"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70" w:lineRule="exact"/>
        <w:rPr>
          <w:rFonts w:ascii="Arial" w:cs="Arial" w:eastAsia="Arial" w:hAnsi="Arial"/>
          <w:sz w:val="16"/>
          <w:szCs w:val="16"/>
          <w:color w:val="auto"/>
        </w:rPr>
      </w:pPr>
    </w:p>
    <w:p>
      <w:pPr>
        <w:jc w:val="both"/>
        <w:ind w:firstLine="644"/>
        <w:spacing w:after="0" w:line="271" w:lineRule="auto"/>
        <w:tabs>
          <w:tab w:leader="none" w:pos="859"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New Preferred Investment Options</w:t>
      </w:r>
      <w:r>
        <w:rPr>
          <w:rFonts w:ascii="Arial" w:cs="Arial" w:eastAsia="Arial" w:hAnsi="Arial"/>
          <w:sz w:val="17"/>
          <w:szCs w:val="17"/>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7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17" w:name="page18"/>
    <w:bookmarkEnd w:id="17"/>
    <w:p>
      <w:pPr>
        <w:jc w:val="both"/>
        <w:ind w:firstLine="644"/>
        <w:spacing w:after="0" w:line="279" w:lineRule="auto"/>
        <w:tabs>
          <w:tab w:leader="none" w:pos="837"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Preferred Investment Option Register</w:t>
      </w:r>
      <w:r>
        <w:rPr>
          <w:rFonts w:ascii="Arial" w:cs="Arial" w:eastAsia="Arial" w:hAnsi="Arial"/>
          <w:sz w:val="17"/>
          <w:szCs w:val="17"/>
          <w:color w:val="auto"/>
        </w:rPr>
        <w:t>. The Company shall register this Preferred Investment Option, upon records to be maintained by the Company for that purpose (the “</w:t>
      </w:r>
      <w:r>
        <w:rPr>
          <w:rFonts w:ascii="Arial" w:cs="Arial" w:eastAsia="Arial" w:hAnsi="Arial"/>
          <w:sz w:val="17"/>
          <w:szCs w:val="17"/>
          <w:u w:val="single" w:color="auto"/>
          <w:color w:val="auto"/>
        </w:rPr>
        <w:t>Preferred Investment Option Register</w:t>
      </w:r>
      <w:r>
        <w:rPr>
          <w:rFonts w:ascii="Arial" w:cs="Arial" w:eastAsia="Arial" w:hAnsi="Arial"/>
          <w:sz w:val="17"/>
          <w:szCs w:val="17"/>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1" w:lineRule="exact"/>
        <w:rPr>
          <w:rFonts w:ascii="Arial" w:cs="Arial" w:eastAsia="Arial" w:hAnsi="Arial"/>
          <w:sz w:val="17"/>
          <w:szCs w:val="17"/>
          <w:color w:val="auto"/>
        </w:rPr>
      </w:pPr>
    </w:p>
    <w:p>
      <w:pPr>
        <w:jc w:val="both"/>
        <w:ind w:firstLine="644"/>
        <w:spacing w:after="0" w:line="255" w:lineRule="auto"/>
        <w:tabs>
          <w:tab w:leader="none" w:pos="869"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92" w:lineRule="exact"/>
        <w:rPr>
          <w:rFonts w:ascii="Arial" w:cs="Arial" w:eastAsia="Arial" w:hAnsi="Arial"/>
          <w:sz w:val="18"/>
          <w:szCs w:val="18"/>
          <w:color w:val="auto"/>
        </w:rPr>
      </w:pPr>
    </w:p>
    <w:p>
      <w:pPr>
        <w:jc w:val="both"/>
        <w:ind w:firstLine="644"/>
        <w:spacing w:after="0" w:line="279" w:lineRule="auto"/>
        <w:tabs>
          <w:tab w:leader="none" w:pos="87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Representation by the Holder</w:t>
      </w:r>
      <w:r>
        <w:rPr>
          <w:rFonts w:ascii="Arial" w:cs="Arial" w:eastAsia="Arial" w:hAnsi="Arial"/>
          <w:sz w:val="17"/>
          <w:szCs w:val="17"/>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5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7" w:lineRule="exact"/>
        <w:rPr>
          <w:rFonts w:ascii="Arial" w:cs="Arial" w:eastAsia="Arial" w:hAnsi="Arial"/>
          <w:sz w:val="18"/>
          <w:szCs w:val="18"/>
          <w:color w:val="auto"/>
        </w:rPr>
      </w:pPr>
    </w:p>
    <w:p>
      <w:pPr>
        <w:jc w:val="both"/>
        <w:ind w:firstLine="644"/>
        <w:spacing w:after="0" w:line="273" w:lineRule="auto"/>
        <w:tabs>
          <w:tab w:leader="none" w:pos="85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Preferred Investment Option</w:t>
      </w:r>
      <w:r>
        <w:rPr>
          <w:rFonts w:ascii="Arial" w:cs="Arial" w:eastAsia="Arial" w:hAnsi="Arial"/>
          <w:sz w:val="17"/>
          <w:szCs w:val="17"/>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7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18" w:name="page19"/>
    <w:bookmarkEnd w:id="18"/>
    <w:p>
      <w:pPr>
        <w:ind w:left="-460" w:firstLine="644"/>
        <w:spacing w:after="0" w:line="342" w:lineRule="auto"/>
        <w:tabs>
          <w:tab w:leader="none" w:pos="386"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color w:val="auto"/>
        </w:rPr>
      </w:pPr>
    </w:p>
    <w:p>
      <w:pPr>
        <w:ind w:left="360" w:hanging="176"/>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80" w:firstLine="1296"/>
        <w:spacing w:after="0" w:line="287" w:lineRule="auto"/>
        <w:rPr>
          <w:sz w:val="20"/>
          <w:szCs w:val="20"/>
          <w:color w:val="auto"/>
        </w:rPr>
      </w:pPr>
      <w:r>
        <w:rPr>
          <w:rFonts w:ascii="Arial" w:cs="Arial" w:eastAsia="Arial" w:hAnsi="Arial"/>
          <w:sz w:val="16"/>
          <w:szCs w:val="16"/>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8" w:lineRule="exact"/>
        <w:rPr>
          <w:sz w:val="20"/>
          <w:szCs w:val="20"/>
          <w:color w:val="auto"/>
        </w:rPr>
      </w:pPr>
    </w:p>
    <w:p>
      <w:pPr>
        <w:jc w:val="both"/>
        <w:ind w:left="180" w:firstLine="648"/>
        <w:spacing w:after="0" w:line="269"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9" w:name="page20"/>
    <w:bookmarkEnd w:id="19"/>
    <w:p>
      <w:pPr>
        <w:jc w:val="both"/>
        <w:ind w:left="180" w:firstLine="648"/>
        <w:spacing w:after="0" w:line="286" w:lineRule="auto"/>
        <w:rPr>
          <w:sz w:val="20"/>
          <w:szCs w:val="20"/>
          <w:color w:val="auto"/>
        </w:rPr>
      </w:pPr>
      <w:r>
        <w:rPr>
          <w:rFonts w:ascii="Arial" w:cs="Arial" w:eastAsia="Arial" w:hAnsi="Arial"/>
          <w:sz w:val="17"/>
          <w:szCs w:val="17"/>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65" w:lineRule="exact"/>
        <w:rPr>
          <w:sz w:val="20"/>
          <w:szCs w:val="20"/>
          <w:color w:val="auto"/>
        </w:rPr>
      </w:pPr>
    </w:p>
    <w:p>
      <w:pPr>
        <w:ind w:left="-460" w:firstLine="644"/>
        <w:spacing w:after="0" w:line="277" w:lineRule="auto"/>
        <w:tabs>
          <w:tab w:leader="none" w:pos="39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38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83" w:lineRule="exact"/>
        <w:rPr>
          <w:rFonts w:ascii="Arial" w:cs="Arial" w:eastAsia="Arial" w:hAnsi="Arial"/>
          <w:sz w:val="18"/>
          <w:szCs w:val="18"/>
          <w:color w:val="auto"/>
        </w:rPr>
      </w:pPr>
    </w:p>
    <w:p>
      <w:pPr>
        <w:jc w:val="both"/>
        <w:ind w:left="-460" w:firstLine="644"/>
        <w:spacing w:after="0" w:line="293" w:lineRule="auto"/>
        <w:tabs>
          <w:tab w:leader="none" w:pos="403"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Nonwaiver and Expenses</w:t>
      </w:r>
      <w:r>
        <w:rPr>
          <w:rFonts w:ascii="Arial" w:cs="Arial" w:eastAsia="Arial" w:hAnsi="Arial"/>
          <w:sz w:val="16"/>
          <w:szCs w:val="16"/>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64" w:lineRule="exact"/>
        <w:rPr>
          <w:rFonts w:ascii="Arial" w:cs="Arial" w:eastAsia="Arial" w:hAnsi="Arial"/>
          <w:sz w:val="16"/>
          <w:szCs w:val="16"/>
          <w:color w:val="auto"/>
        </w:rPr>
      </w:pPr>
    </w:p>
    <w:p>
      <w:pPr>
        <w:ind w:left="-460" w:firstLine="644"/>
        <w:spacing w:after="0" w:line="277" w:lineRule="auto"/>
        <w:tabs>
          <w:tab w:leader="none" w:pos="39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38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6" w:lineRule="exact"/>
        <w:rPr>
          <w:rFonts w:ascii="Arial" w:cs="Arial" w:eastAsia="Arial" w:hAnsi="Arial"/>
          <w:sz w:val="18"/>
          <w:szCs w:val="18"/>
          <w:color w:val="auto"/>
        </w:rPr>
      </w:pPr>
    </w:p>
    <w:p>
      <w:pPr>
        <w:jc w:val="both"/>
        <w:ind w:left="-460" w:firstLine="644"/>
        <w:spacing w:after="0" w:line="279" w:lineRule="auto"/>
        <w:tabs>
          <w:tab w:leader="none" w:pos="34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0" w:name="page21"/>
    <w:bookmarkEnd w:id="20"/>
    <w:p>
      <w:pPr>
        <w:jc w:val="both"/>
        <w:ind w:firstLine="644"/>
        <w:spacing w:after="0" w:line="301" w:lineRule="auto"/>
        <w:tabs>
          <w:tab w:leader="none" w:pos="885"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57" w:lineRule="exact"/>
        <w:rPr>
          <w:rFonts w:ascii="Arial" w:cs="Arial" w:eastAsia="Arial" w:hAnsi="Arial"/>
          <w:sz w:val="16"/>
          <w:szCs w:val="16"/>
          <w:color w:val="auto"/>
        </w:rPr>
      </w:pPr>
    </w:p>
    <w:p>
      <w:pPr>
        <w:ind w:firstLine="644"/>
        <w:spacing w:after="0" w:line="277"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Preferred Investment Option may be modified or amended or the provisions hereof waived with the written consent of the Company and the Holder.</w:t>
      </w:r>
    </w:p>
    <w:p>
      <w:pPr>
        <w:spacing w:after="0" w:line="170" w:lineRule="exact"/>
        <w:rPr>
          <w:rFonts w:ascii="Arial" w:cs="Arial" w:eastAsia="Arial" w:hAnsi="Arial"/>
          <w:sz w:val="18"/>
          <w:szCs w:val="18"/>
          <w:color w:val="auto"/>
        </w:rPr>
      </w:pPr>
    </w:p>
    <w:p>
      <w:pPr>
        <w:jc w:val="both"/>
        <w:ind w:firstLine="644"/>
        <w:spacing w:after="0" w:line="259" w:lineRule="auto"/>
        <w:tabs>
          <w:tab w:leader="none" w:pos="919"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86" w:lineRule="exact"/>
        <w:rPr>
          <w:rFonts w:ascii="Arial" w:cs="Arial" w:eastAsia="Arial" w:hAnsi="Arial"/>
          <w:sz w:val="18"/>
          <w:szCs w:val="18"/>
          <w:color w:val="auto"/>
        </w:rPr>
      </w:pPr>
    </w:p>
    <w:p>
      <w:pPr>
        <w:ind w:firstLine="644"/>
        <w:spacing w:after="0" w:line="277" w:lineRule="auto"/>
        <w:tabs>
          <w:tab w:leader="none" w:pos="86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Preferred Investment Option are for the convenience of reference only and shall not, for any purpose, be deemed a part of this Preferred Investment Option.</w:t>
      </w:r>
    </w:p>
    <w:p>
      <w:pPr>
        <w:spacing w:after="0" w:line="17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21" w:name="page22"/>
    <w:bookmarkEnd w:id="21"/>
    <w:p>
      <w:pPr>
        <w:ind w:firstLine="1296"/>
        <w:spacing w:after="0" w:line="277" w:lineRule="auto"/>
        <w:rPr>
          <w:sz w:val="20"/>
          <w:szCs w:val="20"/>
          <w:color w:val="auto"/>
        </w:rPr>
      </w:pPr>
      <w:r>
        <w:rPr>
          <w:rFonts w:ascii="Arial" w:cs="Arial" w:eastAsia="Arial" w:hAnsi="Arial"/>
          <w:sz w:val="18"/>
          <w:szCs w:val="18"/>
          <w:color w:val="auto"/>
        </w:rPr>
        <w:t>IN WITNESS WHEREOF, the Company has caused this Preferred Investment Option to be executed by its officer thereunto duly authorized as of the date first above indicated.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MICROBOT MEDICAL INC.</w:t>
      </w:r>
    </w:p>
    <w:p>
      <w:pPr>
        <w:spacing w:after="0" w:line="200" w:lineRule="exact"/>
        <w:rPr>
          <w:sz w:val="20"/>
          <w:szCs w:val="20"/>
          <w:color w:val="auto"/>
        </w:rPr>
      </w:pPr>
    </w:p>
    <w:p>
      <w:pPr>
        <w:spacing w:after="0" w:line="245" w:lineRule="exact"/>
        <w:rPr>
          <w:sz w:val="20"/>
          <w:szCs w:val="20"/>
          <w:color w:val="auto"/>
        </w:rPr>
      </w:pPr>
    </w:p>
    <w:p>
      <w:pPr>
        <w:jc w:val="both"/>
        <w:ind w:firstLine="1304"/>
        <w:spacing w:after="0" w:line="263" w:lineRule="auto"/>
        <w:tabs>
          <w:tab w:leader="none" w:pos="15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960" w:hanging="8"/>
        <w:spacing w:after="0" w:line="311" w:lineRule="auto"/>
        <w:tabs>
          <w:tab w:leader="none" w:pos="2078" w:val="left"/>
        </w:tabs>
        <w:numPr>
          <w:ilvl w:val="1"/>
          <w:numId w:val="23"/>
        </w:numPr>
        <w:rPr>
          <w:rFonts w:ascii="Arial" w:cs="Arial" w:eastAsia="Arial" w:hAnsi="Arial"/>
          <w:sz w:val="16"/>
          <w:szCs w:val="16"/>
          <w:color w:val="auto"/>
        </w:rPr>
      </w:pPr>
      <w:r>
        <w:rPr>
          <w:rFonts w:ascii="Arial" w:cs="Arial" w:eastAsia="Arial" w:hAnsi="Arial"/>
          <w:sz w:val="16"/>
          <w:szCs w:val="16"/>
          <w:color w:val="auto"/>
        </w:rPr>
        <w:t>]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48" w:lineRule="exact"/>
        <w:rPr>
          <w:rFonts w:ascii="Arial" w:cs="Arial" w:eastAsia="Arial" w:hAnsi="Arial"/>
          <w:sz w:val="16"/>
          <w:szCs w:val="16"/>
          <w:color w:val="auto"/>
        </w:rPr>
      </w:pPr>
    </w:p>
    <w:p>
      <w:pPr>
        <w:ind w:left="1560" w:hanging="256"/>
        <w:spacing w:after="0"/>
        <w:tabs>
          <w:tab w:leader="none" w:pos="1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Please issue said Preferred Investment Option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312420</wp:posOffset>
            </wp:positionV>
            <wp:extent cx="21431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Preferred Investment Option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306070</wp:posOffset>
            </wp:positionV>
            <wp:extent cx="21431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43125" cy="1714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614680</wp:posOffset>
            </wp:positionV>
            <wp:extent cx="21431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43125" cy="1714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897890</wp:posOffset>
            </wp:positionV>
            <wp:extent cx="21431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560" w:hanging="256"/>
        <w:spacing w:after="0"/>
        <w:tabs>
          <w:tab w:leader="none" w:pos="156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The undersigned is an “accredited investor” as defined in Regulation D promulgated under the Securities Act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1933,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___________________________________________________________________________________________</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left="1030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firstLine="189"/>
        <w:spacing w:after="0" w:line="277" w:lineRule="auto"/>
        <w:rPr>
          <w:sz w:val="20"/>
          <w:szCs w:val="20"/>
          <w:color w:val="auto"/>
        </w:rPr>
      </w:pPr>
      <w:r>
        <w:rPr>
          <w:rFonts w:ascii="Arial" w:cs="Arial" w:eastAsia="Arial" w:hAnsi="Arial"/>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3566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(Please 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5715</wp:posOffset>
            </wp:positionV>
            <wp:extent cx="3566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(Please 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-130175</wp:posOffset>
            </wp:positionV>
            <wp:extent cx="3566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-130175</wp:posOffset>
            </wp:positionV>
            <wp:extent cx="3566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 ______________________</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ind w:left="10400"/>
        <w:spacing w:after="0"/>
        <w:rPr>
          <w:sz w:val="20"/>
          <w:szCs w:val="20"/>
          <w:color w:val="auto"/>
        </w:rPr>
      </w:pPr>
      <w:r>
        <w:rPr>
          <w:rFonts w:ascii="Arial" w:cs="Arial" w:eastAsia="Arial" w:hAnsi="Arial"/>
          <w:sz w:val="16"/>
          <w:szCs w:val="16"/>
          <w:b w:val="1"/>
          <w:bCs w:val="1"/>
          <w:color w:val="auto"/>
        </w:rPr>
        <w:t>Exhibit 4.2</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PLACEMENT AGENT PREFERRED INVESTMENT OPTION</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Preferred Investment Option Shares: ______ Initial Exercise Date: June 6, 2023</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THIS PLACEMENT AGENT PREFERRED INVESTMENT OPTION (the “</w:t>
      </w:r>
      <w:r>
        <w:rPr>
          <w:rFonts w:ascii="Arial" w:cs="Arial" w:eastAsia="Arial" w:hAnsi="Arial"/>
          <w:sz w:val="16"/>
          <w:szCs w:val="16"/>
          <w:u w:val="single" w:color="auto"/>
          <w:color w:val="auto"/>
        </w:rPr>
        <w:t>Preferred Investment Option</w:t>
      </w:r>
      <w:r>
        <w:rPr>
          <w:rFonts w:ascii="Arial" w:cs="Arial" w:eastAsia="Arial" w:hAnsi="Arial"/>
          <w:sz w:val="16"/>
          <w:szCs w:val="16"/>
          <w:color w:val="auto"/>
        </w:rPr>
        <w:t>”) certifies that, for value received, _____________ 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w:t>
      </w:r>
    </w:p>
    <w:p>
      <w:pPr>
        <w:jc w:val="both"/>
        <w:spacing w:after="0" w:line="281" w:lineRule="auto"/>
        <w:rPr>
          <w:sz w:val="20"/>
          <w:szCs w:val="20"/>
          <w:color w:val="auto"/>
        </w:rPr>
      </w:pPr>
      <w:r>
        <w:rPr>
          <w:rFonts w:ascii="Arial" w:cs="Arial" w:eastAsia="Arial" w:hAnsi="Arial"/>
          <w:sz w:val="16"/>
          <w:szCs w:val="16"/>
          <w:color w:val="auto"/>
        </w:rPr>
        <w:t>set forth, at any time on or after the date set forth above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June 2, 2028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 for and purchase from Microbot Medical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shares (as subject to adjustment hereunder, the “</w:t>
      </w:r>
      <w:r>
        <w:rPr>
          <w:rFonts w:ascii="Arial" w:cs="Arial" w:eastAsia="Arial" w:hAnsi="Arial"/>
          <w:sz w:val="16"/>
          <w:szCs w:val="16"/>
          <w:u w:val="single" w:color="auto"/>
          <w:color w:val="auto"/>
        </w:rPr>
        <w:t>Preferred Investment Option Shares</w:t>
      </w:r>
      <w:r>
        <w:rPr>
          <w:rFonts w:ascii="Arial" w:cs="Arial" w:eastAsia="Arial" w:hAnsi="Arial"/>
          <w:sz w:val="16"/>
          <w:szCs w:val="16"/>
          <w:color w:val="auto"/>
        </w:rPr>
        <w:t>”) of Common Stock. The purchase price of one share of Common Stock under this Preferred Investment Option shall be equal to the Exercise Price, as defined in Section 2(b). This Preferred Investment Option is being issued pursuant to that certain Engagement Agreement between the Company and H.C. Wainwright &amp; Co., LLC, dated as of May 16, 2023.</w:t>
      </w:r>
    </w:p>
    <w:p>
      <w:pPr>
        <w:spacing w:after="0" w:line="15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otherwise defined herein shall have the meanings set forth in that certain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dated June 2, 2023, among the Company and the purchasers signatory thereto.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5" w:lineRule="auto"/>
        <w:tabs>
          <w:tab w:leader="none" w:pos="858"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Exercise of Preferred Investment Option</w:t>
      </w:r>
      <w:r>
        <w:rPr>
          <w:rFonts w:ascii="Arial" w:cs="Arial" w:eastAsia="Arial" w:hAnsi="Arial"/>
          <w:sz w:val="16"/>
          <w:szCs w:val="16"/>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 and any assignee, by acceptance of this Preferred Investment Option,</w:t>
      </w:r>
      <w:r>
        <w:rPr>
          <w:rFonts w:ascii="Arial" w:cs="Arial" w:eastAsia="Arial" w:hAnsi="Arial"/>
          <w:sz w:val="16"/>
          <w:szCs w:val="16"/>
          <w:color w:val="auto"/>
        </w:rPr>
        <w:t xml:space="preserve"> </w:t>
      </w:r>
      <w:r>
        <w:rPr>
          <w:rFonts w:ascii="Arial" w:cs="Arial" w:eastAsia="Arial" w:hAnsi="Arial"/>
          <w:sz w:val="16"/>
          <w:szCs w:val="16"/>
          <w:b w:val="1"/>
          <w:bCs w:val="1"/>
          <w:color w:val="auto"/>
        </w:rPr>
        <w:t>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380" w:lineRule="exact"/>
        <w:rPr>
          <w:rFonts w:ascii="Arial" w:cs="Arial" w:eastAsia="Arial" w:hAnsi="Arial"/>
          <w:sz w:val="16"/>
          <w:szCs w:val="16"/>
          <w:color w:val="auto"/>
        </w:rPr>
      </w:pPr>
    </w:p>
    <w:p>
      <w:pPr>
        <w:ind w:firstLine="644"/>
        <w:spacing w:after="0" w:line="282" w:lineRule="auto"/>
        <w:tabs>
          <w:tab w:leader="none" w:pos="86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of Common Stock under this Preferred Investment Option shall be </w:t>
      </w:r>
      <w:r>
        <w:rPr>
          <w:rFonts w:ascii="Arial" w:cs="Arial" w:eastAsia="Arial" w:hAnsi="Arial"/>
          <w:sz w:val="18"/>
          <w:szCs w:val="18"/>
          <w:b w:val="1"/>
          <w:bCs w:val="1"/>
          <w:color w:val="auto"/>
        </w:rPr>
        <w:t>$2.6719</w:t>
      </w:r>
      <w:r>
        <w:rPr>
          <w:rFonts w:ascii="Arial" w:cs="Arial" w:eastAsia="Arial" w:hAnsi="Arial"/>
          <w:sz w:val="18"/>
          <w:szCs w:val="18"/>
          <w:color w:val="auto"/>
        </w:rPr>
        <w:t>,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firstLine="644"/>
        <w:spacing w:after="0" w:line="279" w:lineRule="auto"/>
        <w:tabs>
          <w:tab w:leader="none" w:pos="841"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7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26" w:name="page27"/>
    <w:bookmarkEnd w:id="26"/>
    <w:p>
      <w:pPr>
        <w:jc w:val="right"/>
        <w:ind w:left="1300" w:hanging="656"/>
        <w:spacing w:after="0" w:line="285" w:lineRule="auto"/>
        <w:tabs>
          <w:tab w:leader="none" w:pos="10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1" w:lineRule="exact"/>
        <w:rPr>
          <w:rFonts w:ascii="Arial" w:cs="Arial" w:eastAsia="Arial" w:hAnsi="Arial"/>
          <w:sz w:val="16"/>
          <w:szCs w:val="16"/>
          <w:color w:val="auto"/>
        </w:rPr>
      </w:pPr>
    </w:p>
    <w:p>
      <w:pPr>
        <w:jc w:val="both"/>
        <w:ind w:left="1300" w:hanging="8"/>
        <w:spacing w:after="0" w:line="270" w:lineRule="auto"/>
        <w:tabs>
          <w:tab w:leader="none" w:pos="155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Bid Price of the Common Stock on the principal Trading Market as reported by Bloomberg L.P. (“</w:t>
      </w:r>
      <w:r>
        <w:rPr>
          <w:rFonts w:ascii="Arial" w:cs="Arial" w:eastAsia="Arial" w:hAnsi="Arial"/>
          <w:sz w:val="17"/>
          <w:szCs w:val="17"/>
          <w:u w:val="single" w:color="auto"/>
          <w:color w:val="auto"/>
        </w:rPr>
        <w:t>Bloomberg</w:t>
      </w:r>
      <w:r>
        <w:rPr>
          <w:rFonts w:ascii="Arial" w:cs="Arial" w:eastAsia="Arial" w:hAnsi="Arial"/>
          <w:sz w:val="17"/>
          <w:szCs w:val="17"/>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78" w:lineRule="exact"/>
        <w:rPr>
          <w:rFonts w:ascii="Arial" w:cs="Arial" w:eastAsia="Arial" w:hAnsi="Arial"/>
          <w:sz w:val="17"/>
          <w:szCs w:val="17"/>
          <w:color w:val="auto"/>
        </w:rPr>
      </w:pPr>
    </w:p>
    <w:p>
      <w:pPr>
        <w:ind w:left="1080" w:hanging="436"/>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the Exercise Price of this Preferred Investment Option, as adjusted hereunder; and</w:t>
      </w:r>
    </w:p>
    <w:p>
      <w:pPr>
        <w:spacing w:after="0" w:line="225" w:lineRule="exact"/>
        <w:rPr>
          <w:sz w:val="20"/>
          <w:szCs w:val="20"/>
          <w:color w:val="auto"/>
        </w:rPr>
      </w:pPr>
    </w:p>
    <w:p>
      <w:pPr>
        <w:ind w:left="1300" w:hanging="656"/>
        <w:spacing w:after="0" w:line="263" w:lineRule="auto"/>
        <w:tabs>
          <w:tab w:leader="none" w:pos="10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u w:val="single" w:color="auto"/>
          <w:color w:val="auto"/>
        </w:rPr>
        <w:t>“Bid Price</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27" w:name="page28"/>
    <w:bookmarkEnd w:id="27"/>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57" w:lineRule="exact"/>
        <w:rPr>
          <w:sz w:val="20"/>
          <w:szCs w:val="20"/>
          <w:color w:val="auto"/>
        </w:rPr>
      </w:pPr>
    </w:p>
    <w:p>
      <w:pPr>
        <w:ind w:left="840" w:hanging="196"/>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40"/>
        <w:spacing w:after="0" w:line="283" w:lineRule="auto"/>
        <w:tabs>
          <w:tab w:leader="none" w:pos="2100"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Delivery of Preferred Investment Option Shares Upon Exercise</w:t>
      </w:r>
      <w:r>
        <w:rPr>
          <w:rFonts w:ascii="Arial" w:cs="Arial" w:eastAsia="Arial" w:hAnsi="Arial"/>
          <w:sz w:val="16"/>
          <w:szCs w:val="16"/>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Preferred Investment Option Share Delivery Date</w:t>
      </w:r>
      <w:r>
        <w:rPr>
          <w:rFonts w:ascii="Arial" w:cs="Arial" w:eastAsia="Arial" w:hAnsi="Arial"/>
          <w:sz w:val="16"/>
          <w:szCs w:val="16"/>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Preferred Investment Option Shares subject to such notice(s) by 4:00 p.m. (New York City time) on the Initial Exercise Date and the Initial Exercise Date shall be the Preferred Investment Option Share Delivery Date for purposes hereunder, provided that payment of the aggregate Exercise Price (other than in the case of a cashless exercise) is received by such Preferred Investment Option Share Delivery Date.</w:t>
      </w:r>
    </w:p>
    <w:p>
      <w:pPr>
        <w:spacing w:after="0" w:line="200" w:lineRule="exact"/>
        <w:rPr>
          <w:sz w:val="20"/>
          <w:szCs w:val="20"/>
          <w:color w:val="auto"/>
        </w:rPr>
      </w:pPr>
    </w:p>
    <w:p>
      <w:pPr>
        <w:spacing w:after="0" w:line="20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28" w:name="page29"/>
    <w:bookmarkEnd w:id="28"/>
    <w:p>
      <w:pPr>
        <w:jc w:val="both"/>
        <w:ind w:left="840" w:firstLine="640"/>
        <w:spacing w:after="0" w:line="255" w:lineRule="auto"/>
        <w:tabs>
          <w:tab w:leader="none" w:pos="169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Delivery of New Preferred Investment Options Upon Exercise</w:t>
      </w:r>
      <w:r>
        <w:rPr>
          <w:rFonts w:ascii="Arial" w:cs="Arial" w:eastAsia="Arial" w:hAnsi="Arial"/>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92" w:lineRule="exact"/>
        <w:rPr>
          <w:rFonts w:ascii="Arial" w:cs="Arial" w:eastAsia="Arial" w:hAnsi="Arial"/>
          <w:sz w:val="18"/>
          <w:szCs w:val="18"/>
          <w:color w:val="auto"/>
        </w:rPr>
      </w:pPr>
    </w:p>
    <w:p>
      <w:pPr>
        <w:jc w:val="both"/>
        <w:ind w:left="840" w:firstLine="640"/>
        <w:spacing w:after="0" w:line="263" w:lineRule="auto"/>
        <w:tabs>
          <w:tab w:leader="none" w:pos="1769"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83" w:lineRule="exact"/>
        <w:rPr>
          <w:rFonts w:ascii="Arial" w:cs="Arial" w:eastAsia="Arial" w:hAnsi="Arial"/>
          <w:sz w:val="18"/>
          <w:szCs w:val="18"/>
          <w:color w:val="auto"/>
        </w:rPr>
      </w:pPr>
    </w:p>
    <w:p>
      <w:pPr>
        <w:jc w:val="both"/>
        <w:ind w:left="840" w:firstLine="640"/>
        <w:spacing w:after="0" w:line="284" w:lineRule="auto"/>
        <w:tabs>
          <w:tab w:leader="none" w:pos="1739"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Preferred Investment Option Shares Upon Exercise</w:t>
      </w:r>
      <w:r>
        <w:rPr>
          <w:rFonts w:ascii="Arial" w:cs="Arial" w:eastAsia="Arial" w:hAnsi="Arial"/>
          <w:sz w:val="16"/>
          <w:szCs w:val="16"/>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w:t>
      </w:r>
    </w:p>
    <w:p>
      <w:pPr>
        <w:spacing w:after="0" w:line="2" w:lineRule="exact"/>
        <w:rPr>
          <w:rFonts w:ascii="Arial" w:cs="Arial" w:eastAsia="Arial" w:hAnsi="Arial"/>
          <w:sz w:val="16"/>
          <w:szCs w:val="16"/>
          <w:color w:val="auto"/>
        </w:rPr>
      </w:pPr>
    </w:p>
    <w:p>
      <w:pPr>
        <w:jc w:val="both"/>
        <w:ind w:left="840" w:hanging="8"/>
        <w:spacing w:after="0" w:line="267" w:lineRule="auto"/>
        <w:tabs>
          <w:tab w:leader="none" w:pos="110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Holder’s total purchase price (including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79" w:lineRule="exact"/>
        <w:rPr>
          <w:rFonts w:ascii="Arial" w:cs="Arial" w:eastAsia="Arial" w:hAnsi="Arial"/>
          <w:sz w:val="17"/>
          <w:szCs w:val="17"/>
          <w:color w:val="auto"/>
        </w:rPr>
      </w:pPr>
    </w:p>
    <w:p>
      <w:pPr>
        <w:jc w:val="both"/>
        <w:ind w:left="840" w:firstLine="640"/>
        <w:spacing w:after="0" w:line="279" w:lineRule="auto"/>
        <w:tabs>
          <w:tab w:leader="none" w:pos="1672"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rFonts w:ascii="Arial" w:cs="Arial" w:eastAsia="Arial" w:hAnsi="Arial"/>
          <w:sz w:val="17"/>
          <w:szCs w:val="17"/>
          <w:color w:val="auto"/>
        </w:rPr>
      </w:pPr>
    </w:p>
    <w:p>
      <w:pPr>
        <w:jc w:val="both"/>
        <w:ind w:left="840" w:firstLine="640"/>
        <w:spacing w:after="0" w:line="288" w:lineRule="auto"/>
        <w:tabs>
          <w:tab w:leader="none" w:pos="1727"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6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9" w:name="page30"/>
    <w:bookmarkEnd w:id="29"/>
    <w:p>
      <w:pPr>
        <w:ind w:left="1300" w:firstLine="640"/>
        <w:spacing w:after="0" w:line="277" w:lineRule="auto"/>
        <w:tabs>
          <w:tab w:leader="none" w:pos="2236"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Preferred Investment Option, pursuant to the terms hereof.</w:t>
      </w:r>
    </w:p>
    <w:p>
      <w:pPr>
        <w:spacing w:after="0" w:line="170" w:lineRule="exact"/>
        <w:rPr>
          <w:rFonts w:ascii="Arial" w:cs="Arial" w:eastAsia="Arial" w:hAnsi="Arial"/>
          <w:sz w:val="18"/>
          <w:szCs w:val="18"/>
          <w:color w:val="auto"/>
        </w:rPr>
      </w:pPr>
    </w:p>
    <w:p>
      <w:pPr>
        <w:jc w:val="both"/>
        <w:ind w:firstLine="644"/>
        <w:spacing w:after="0" w:line="282" w:lineRule="auto"/>
        <w:tabs>
          <w:tab w:leader="none" w:pos="84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of this Section 2(e) shall continue to apply. Any increase in the Beneficial Ownership Limitation will not be effective until the 61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18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7" w:lineRule="auto"/>
        <w:tabs>
          <w:tab w:leader="none" w:pos="862"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67" w:lineRule="exact"/>
        <w:rPr>
          <w:rFonts w:ascii="Arial" w:cs="Arial" w:eastAsia="Arial" w:hAnsi="Arial"/>
          <w:sz w:val="16"/>
          <w:szCs w:val="16"/>
          <w:color w:val="auto"/>
        </w:rPr>
      </w:pPr>
    </w:p>
    <w:p>
      <w:pPr>
        <w:jc w:val="both"/>
        <w:ind w:firstLine="644"/>
        <w:spacing w:after="0" w:line="269" w:lineRule="auto"/>
        <w:tabs>
          <w:tab w:leader="none" w:pos="848"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8" w:lineRule="exact"/>
        <w:rPr>
          <w:rFonts w:ascii="Arial" w:cs="Arial" w:eastAsia="Arial" w:hAnsi="Arial"/>
          <w:sz w:val="17"/>
          <w:szCs w:val="17"/>
          <w:color w:val="auto"/>
        </w:rPr>
      </w:pPr>
    </w:p>
    <w:p>
      <w:pPr>
        <w:jc w:val="both"/>
        <w:ind w:firstLine="644"/>
        <w:spacing w:after="0" w:line="286" w:lineRule="auto"/>
        <w:tabs>
          <w:tab w:leader="none" w:pos="836"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Arial" w:cs="Arial" w:eastAsia="Arial" w:hAnsi="Arial"/>
          <w:sz w:val="16"/>
          <w:szCs w:val="16"/>
          <w:u w:val="single" w:color="auto"/>
          <w:color w:val="auto"/>
        </w:rPr>
        <w:t>Distribution</w:t>
      </w:r>
      <w:r>
        <w:rPr>
          <w:rFonts w:ascii="Arial" w:cs="Arial" w:eastAsia="Arial" w:hAnsi="Arial"/>
          <w:sz w:val="16"/>
          <w:szCs w:val="16"/>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7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31" w:name="page32"/>
    <w:bookmarkEnd w:id="31"/>
    <w:p>
      <w:pPr>
        <w:jc w:val="both"/>
        <w:ind w:left="-460" w:firstLine="644"/>
        <w:spacing w:after="0" w:line="282" w:lineRule="auto"/>
        <w:tabs>
          <w:tab w:leader="none" w:pos="386"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Preferred Investment Option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Arial" w:cs="Arial" w:eastAsia="Arial" w:hAnsi="Arial"/>
          <w:sz w:val="16"/>
          <w:szCs w:val="16"/>
          <w:u w:val="single" w:color="auto"/>
          <w:color w:val="auto"/>
        </w:rPr>
        <w:t>Black Scholes Value</w:t>
      </w:r>
      <w:r>
        <w:rPr>
          <w:rFonts w:ascii="Arial" w:cs="Arial" w:eastAsia="Arial" w:hAnsi="Arial"/>
          <w:sz w:val="16"/>
          <w:szCs w:val="16"/>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254" w:gutter="0" w:footer="0" w:header="0"/>
        </w:sectPr>
      </w:pPr>
    </w:p>
    <w:bookmarkStart w:id="32" w:name="page33"/>
    <w:bookmarkEnd w:id="32"/>
    <w:p>
      <w:pPr>
        <w:jc w:val="both"/>
        <w:ind w:left="-460" w:firstLine="644"/>
        <w:spacing w:after="0" w:line="286" w:lineRule="auto"/>
        <w:tabs>
          <w:tab w:leader="none" w:pos="381"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Arial" w:cs="Arial" w:eastAsia="Arial" w:hAnsi="Arial"/>
          <w:sz w:val="17"/>
          <w:szCs w:val="17"/>
          <w:color w:val="auto"/>
        </w:rPr>
      </w:pPr>
    </w:p>
    <w:p>
      <w:pPr>
        <w:ind w:left="340" w:hanging="156"/>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259" w:lineRule="auto"/>
        <w:tabs>
          <w:tab w:leader="none" w:pos="1619"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86" w:lineRule="exact"/>
        <w:rPr>
          <w:rFonts w:ascii="Arial" w:cs="Arial" w:eastAsia="Arial" w:hAnsi="Arial"/>
          <w:sz w:val="18"/>
          <w:szCs w:val="18"/>
          <w:color w:val="auto"/>
        </w:rPr>
      </w:pPr>
    </w:p>
    <w:p>
      <w:pPr>
        <w:jc w:val="both"/>
        <w:ind w:left="840" w:firstLine="640"/>
        <w:spacing w:after="0" w:line="284" w:lineRule="auto"/>
        <w:tabs>
          <w:tab w:leader="none" w:pos="1709"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Arial" w:cs="Arial" w:eastAsia="Arial" w:hAnsi="Arial"/>
          <w:sz w:val="16"/>
          <w:szCs w:val="16"/>
          <w:u w:val="single" w:color="auto"/>
          <w:color w:val="auto"/>
        </w:rPr>
        <w:t>Section 3(f)(ii)</w:t>
      </w:r>
      <w:r>
        <w:rPr>
          <w:rFonts w:ascii="Arial" w:cs="Arial" w:eastAsia="Arial" w:hAnsi="Arial"/>
          <w:sz w:val="16"/>
          <w:szCs w:val="16"/>
          <w:color w:val="auto"/>
        </w:rPr>
        <w:t xml:space="preserve"> in confidence until such information is publicly available, and shall comply with applicable law with respect to trading in the Company’s securities following receipt any such information.</w:t>
      </w:r>
    </w:p>
    <w:p>
      <w:pPr>
        <w:spacing w:after="0" w:line="18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33" w:name="page34"/>
    <w:bookmarkEnd w:id="33"/>
    <w:p>
      <w:pPr>
        <w:jc w:val="both"/>
        <w:ind w:firstLine="644"/>
        <w:spacing w:after="0" w:line="263" w:lineRule="auto"/>
        <w:tabs>
          <w:tab w:leader="none" w:pos="84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the rules and regulations of the Trading Market, the Company may at any time during the term of this Preferred Investment Option reduce the then current Exercise Price to any amount and for any period of time deemed appropriate by the board of directors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Preferred Investment Option</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6" w:lineRule="auto"/>
        <w:tabs>
          <w:tab w:leader="none" w:pos="834"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70" w:lineRule="exact"/>
        <w:rPr>
          <w:rFonts w:ascii="Arial" w:cs="Arial" w:eastAsia="Arial" w:hAnsi="Arial"/>
          <w:sz w:val="16"/>
          <w:szCs w:val="16"/>
          <w:color w:val="auto"/>
        </w:rPr>
      </w:pPr>
    </w:p>
    <w:p>
      <w:pPr>
        <w:jc w:val="both"/>
        <w:ind w:firstLine="644"/>
        <w:spacing w:after="0" w:line="271" w:lineRule="auto"/>
        <w:tabs>
          <w:tab w:leader="none" w:pos="859"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New Preferred Investment Options</w:t>
      </w:r>
      <w:r>
        <w:rPr>
          <w:rFonts w:ascii="Arial" w:cs="Arial" w:eastAsia="Arial" w:hAnsi="Arial"/>
          <w:sz w:val="17"/>
          <w:szCs w:val="17"/>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7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34" w:name="page35"/>
    <w:bookmarkEnd w:id="34"/>
    <w:p>
      <w:pPr>
        <w:jc w:val="both"/>
        <w:ind w:firstLine="644"/>
        <w:spacing w:after="0" w:line="279" w:lineRule="auto"/>
        <w:tabs>
          <w:tab w:leader="none" w:pos="837"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Preferred Investment Option Register</w:t>
      </w:r>
      <w:r>
        <w:rPr>
          <w:rFonts w:ascii="Arial" w:cs="Arial" w:eastAsia="Arial" w:hAnsi="Arial"/>
          <w:sz w:val="17"/>
          <w:szCs w:val="17"/>
          <w:color w:val="auto"/>
        </w:rPr>
        <w:t>. The Company shall register this Preferred Investment Option, upon records to be maintained by the Company for that purpose (the “</w:t>
      </w:r>
      <w:r>
        <w:rPr>
          <w:rFonts w:ascii="Arial" w:cs="Arial" w:eastAsia="Arial" w:hAnsi="Arial"/>
          <w:sz w:val="17"/>
          <w:szCs w:val="17"/>
          <w:u w:val="single" w:color="auto"/>
          <w:color w:val="auto"/>
        </w:rPr>
        <w:t>Preferred Investment Option Register</w:t>
      </w:r>
      <w:r>
        <w:rPr>
          <w:rFonts w:ascii="Arial" w:cs="Arial" w:eastAsia="Arial" w:hAnsi="Arial"/>
          <w:sz w:val="17"/>
          <w:szCs w:val="17"/>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1" w:lineRule="exact"/>
        <w:rPr>
          <w:rFonts w:ascii="Arial" w:cs="Arial" w:eastAsia="Arial" w:hAnsi="Arial"/>
          <w:sz w:val="17"/>
          <w:szCs w:val="17"/>
          <w:color w:val="auto"/>
        </w:rPr>
      </w:pPr>
    </w:p>
    <w:p>
      <w:pPr>
        <w:jc w:val="both"/>
        <w:ind w:firstLine="644"/>
        <w:spacing w:after="0" w:line="255" w:lineRule="auto"/>
        <w:tabs>
          <w:tab w:leader="none" w:pos="869"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92" w:lineRule="exact"/>
        <w:rPr>
          <w:rFonts w:ascii="Arial" w:cs="Arial" w:eastAsia="Arial" w:hAnsi="Arial"/>
          <w:sz w:val="18"/>
          <w:szCs w:val="18"/>
          <w:color w:val="auto"/>
        </w:rPr>
      </w:pPr>
    </w:p>
    <w:p>
      <w:pPr>
        <w:jc w:val="both"/>
        <w:ind w:firstLine="644"/>
        <w:spacing w:after="0" w:line="287" w:lineRule="auto"/>
        <w:tabs>
          <w:tab w:leader="none" w:pos="839"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Representation by the Holder</w:t>
      </w:r>
      <w:r>
        <w:rPr>
          <w:rFonts w:ascii="Arial" w:cs="Arial" w:eastAsia="Arial" w:hAnsi="Arial"/>
          <w:sz w:val="16"/>
          <w:szCs w:val="16"/>
          <w:color w:val="auto"/>
        </w:rPr>
        <w:t>. The Holder, by the acceptance hereof, understands that the Preferred Investment Options are “restricted securities” and have not been registered under the Securities Act of 1933, as amended, or any applicable state securities law, and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 and has no direct or indirect arrangement or understandings with any other persons to distribute or regarding the distribution of such Preferred Investment Option. At the time the Holder was offered this Preferred Investment Option, it was, and as of the date hereof it is, and on each date on which it exercises this Preferred Investment Option, it will be an “accredited investor” as defined in Rule 501(a) under the Securities Act. The Holder, either alone or together with its representatives, has such knowledge, sophistication and experience in business and financial matters so as to be capable of evaluating the merits and risks of the prospective investment in the Preferred Investment Option, and has so evaluated the merits and risks of such investment. The Holder is able to bear the economic risk of an investment in the Preferred Investment Option and, at the present time, is able to afford a complete loss of such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57" w:lineRule="auto"/>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35" w:name="page36"/>
    <w:bookmarkEnd w:id="35"/>
    <w:p>
      <w:pPr>
        <w:jc w:val="both"/>
        <w:ind w:left="-460" w:firstLine="644"/>
        <w:spacing w:after="0" w:line="273" w:lineRule="auto"/>
        <w:tabs>
          <w:tab w:leader="none" w:pos="39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Preferred Investment Option</w:t>
      </w:r>
      <w:r>
        <w:rPr>
          <w:rFonts w:ascii="Arial" w:cs="Arial" w:eastAsia="Arial" w:hAnsi="Arial"/>
          <w:sz w:val="17"/>
          <w:szCs w:val="17"/>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77" w:lineRule="exact"/>
        <w:rPr>
          <w:rFonts w:ascii="Arial" w:cs="Arial" w:eastAsia="Arial" w:hAnsi="Arial"/>
          <w:sz w:val="17"/>
          <w:szCs w:val="17"/>
          <w:color w:val="auto"/>
        </w:rPr>
      </w:pPr>
    </w:p>
    <w:p>
      <w:pPr>
        <w:ind w:left="-460" w:firstLine="644"/>
        <w:spacing w:after="0" w:line="342" w:lineRule="auto"/>
        <w:tabs>
          <w:tab w:leader="none" w:pos="386"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color w:val="auto"/>
        </w:rPr>
      </w:pPr>
    </w:p>
    <w:p>
      <w:pPr>
        <w:ind w:left="360" w:hanging="176"/>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80" w:firstLine="1296"/>
        <w:spacing w:after="0" w:line="287" w:lineRule="auto"/>
        <w:rPr>
          <w:sz w:val="20"/>
          <w:szCs w:val="20"/>
          <w:color w:val="auto"/>
        </w:rPr>
      </w:pPr>
      <w:r>
        <w:rPr>
          <w:rFonts w:ascii="Arial" w:cs="Arial" w:eastAsia="Arial" w:hAnsi="Arial"/>
          <w:sz w:val="16"/>
          <w:szCs w:val="16"/>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36" w:name="page37"/>
    <w:bookmarkEnd w:id="36"/>
    <w:p>
      <w:pPr>
        <w:jc w:val="both"/>
        <w:ind w:left="180" w:firstLine="648"/>
        <w:spacing w:after="0" w:line="269"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82" w:lineRule="exact"/>
        <w:rPr>
          <w:sz w:val="20"/>
          <w:szCs w:val="20"/>
          <w:color w:val="auto"/>
        </w:rPr>
      </w:pPr>
    </w:p>
    <w:p>
      <w:pPr>
        <w:jc w:val="both"/>
        <w:ind w:left="180" w:firstLine="648"/>
        <w:spacing w:after="0" w:line="286" w:lineRule="auto"/>
        <w:rPr>
          <w:sz w:val="20"/>
          <w:szCs w:val="20"/>
          <w:color w:val="auto"/>
        </w:rPr>
      </w:pPr>
      <w:r>
        <w:rPr>
          <w:rFonts w:ascii="Arial" w:cs="Arial" w:eastAsia="Arial" w:hAnsi="Arial"/>
          <w:sz w:val="17"/>
          <w:szCs w:val="17"/>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65" w:lineRule="exact"/>
        <w:rPr>
          <w:sz w:val="20"/>
          <w:szCs w:val="20"/>
          <w:color w:val="auto"/>
        </w:rPr>
      </w:pPr>
    </w:p>
    <w:p>
      <w:pPr>
        <w:ind w:left="-460" w:firstLine="644"/>
        <w:spacing w:after="0" w:line="277" w:lineRule="auto"/>
        <w:tabs>
          <w:tab w:leader="none" w:pos="39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38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83" w:lineRule="exact"/>
        <w:rPr>
          <w:rFonts w:ascii="Arial" w:cs="Arial" w:eastAsia="Arial" w:hAnsi="Arial"/>
          <w:sz w:val="18"/>
          <w:szCs w:val="18"/>
          <w:color w:val="auto"/>
        </w:rPr>
      </w:pPr>
    </w:p>
    <w:p>
      <w:pPr>
        <w:jc w:val="both"/>
        <w:ind w:left="-460" w:firstLine="644"/>
        <w:spacing w:after="0" w:line="293" w:lineRule="auto"/>
        <w:tabs>
          <w:tab w:leader="none" w:pos="40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Nonwaiver and Expenses</w:t>
      </w:r>
      <w:r>
        <w:rPr>
          <w:rFonts w:ascii="Arial" w:cs="Arial" w:eastAsia="Arial" w:hAnsi="Arial"/>
          <w:sz w:val="16"/>
          <w:szCs w:val="16"/>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6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37" w:name="page38"/>
    <w:bookmarkEnd w:id="37"/>
    <w:p>
      <w:pPr>
        <w:ind w:firstLine="644"/>
        <w:spacing w:after="0" w:line="277" w:lineRule="auto"/>
        <w:tabs>
          <w:tab w:leader="none" w:pos="85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to the address of the Holder in the Warrant Register.</w:t>
      </w:r>
    </w:p>
    <w:p>
      <w:pPr>
        <w:spacing w:after="0" w:line="170" w:lineRule="exact"/>
        <w:rPr>
          <w:rFonts w:ascii="Arial" w:cs="Arial" w:eastAsia="Arial" w:hAnsi="Arial"/>
          <w:sz w:val="18"/>
          <w:szCs w:val="18"/>
          <w:color w:val="auto"/>
        </w:rPr>
      </w:pPr>
    </w:p>
    <w:p>
      <w:pPr>
        <w:jc w:val="both"/>
        <w:ind w:firstLine="644"/>
        <w:spacing w:after="0" w:line="259" w:lineRule="auto"/>
        <w:tabs>
          <w:tab w:leader="none" w:pos="84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6" w:lineRule="exact"/>
        <w:rPr>
          <w:rFonts w:ascii="Arial" w:cs="Arial" w:eastAsia="Arial" w:hAnsi="Arial"/>
          <w:sz w:val="18"/>
          <w:szCs w:val="18"/>
          <w:color w:val="auto"/>
        </w:rPr>
      </w:pPr>
    </w:p>
    <w:p>
      <w:pPr>
        <w:jc w:val="both"/>
        <w:ind w:firstLine="644"/>
        <w:spacing w:after="0" w:line="279" w:lineRule="auto"/>
        <w:tabs>
          <w:tab w:leader="none" w:pos="80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1" w:lineRule="exact"/>
        <w:rPr>
          <w:rFonts w:ascii="Arial" w:cs="Arial" w:eastAsia="Arial" w:hAnsi="Arial"/>
          <w:sz w:val="17"/>
          <w:szCs w:val="17"/>
          <w:color w:val="auto"/>
        </w:rPr>
      </w:pPr>
    </w:p>
    <w:p>
      <w:pPr>
        <w:jc w:val="both"/>
        <w:ind w:firstLine="644"/>
        <w:spacing w:after="0" w:line="301" w:lineRule="auto"/>
        <w:tabs>
          <w:tab w:leader="none" w:pos="88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57" w:lineRule="exact"/>
        <w:rPr>
          <w:rFonts w:ascii="Arial" w:cs="Arial" w:eastAsia="Arial" w:hAnsi="Arial"/>
          <w:sz w:val="16"/>
          <w:szCs w:val="16"/>
          <w:color w:val="auto"/>
        </w:rPr>
      </w:pPr>
    </w:p>
    <w:p>
      <w:pPr>
        <w:ind w:firstLine="644"/>
        <w:spacing w:after="0" w:line="277"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Preferred Investment Option may be modified or amended or the provisions hereof waived with the written consent of the Company and the Holder.</w:t>
      </w:r>
    </w:p>
    <w:p>
      <w:pPr>
        <w:spacing w:after="0" w:line="170" w:lineRule="exact"/>
        <w:rPr>
          <w:rFonts w:ascii="Arial" w:cs="Arial" w:eastAsia="Arial" w:hAnsi="Arial"/>
          <w:sz w:val="18"/>
          <w:szCs w:val="18"/>
          <w:color w:val="auto"/>
        </w:rPr>
      </w:pPr>
    </w:p>
    <w:p>
      <w:pPr>
        <w:jc w:val="both"/>
        <w:ind w:firstLine="644"/>
        <w:spacing w:after="0" w:line="259" w:lineRule="auto"/>
        <w:tabs>
          <w:tab w:leader="none" w:pos="919"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86" w:lineRule="exact"/>
        <w:rPr>
          <w:rFonts w:ascii="Arial" w:cs="Arial" w:eastAsia="Arial" w:hAnsi="Arial"/>
          <w:sz w:val="18"/>
          <w:szCs w:val="18"/>
          <w:color w:val="auto"/>
        </w:rPr>
      </w:pPr>
    </w:p>
    <w:p>
      <w:pPr>
        <w:ind w:firstLine="644"/>
        <w:spacing w:after="0" w:line="277" w:lineRule="auto"/>
        <w:tabs>
          <w:tab w:leader="none" w:pos="86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Preferred Investment Option are for the convenience of reference only and shall not, for any purpose, be deemed a part of this Preferred Investment Option.</w:t>
      </w:r>
    </w:p>
    <w:p>
      <w:pPr>
        <w:spacing w:after="0" w:line="17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38" w:name="page39"/>
    <w:bookmarkEnd w:id="38"/>
    <w:p>
      <w:pPr>
        <w:ind w:firstLine="1296"/>
        <w:spacing w:after="0" w:line="277" w:lineRule="auto"/>
        <w:rPr>
          <w:sz w:val="20"/>
          <w:szCs w:val="20"/>
          <w:color w:val="auto"/>
        </w:rPr>
      </w:pPr>
      <w:r>
        <w:rPr>
          <w:rFonts w:ascii="Arial" w:cs="Arial" w:eastAsia="Arial" w:hAnsi="Arial"/>
          <w:sz w:val="18"/>
          <w:szCs w:val="18"/>
          <w:color w:val="auto"/>
        </w:rPr>
        <w:t>IN WITNESS WHEREOF, the Company has caused this Preferred Investment Option to be executed by its officer thereunto duly authorized as of the date first above indicated.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MICROBOT MEDICAL INC.</w:t>
      </w:r>
    </w:p>
    <w:p>
      <w:pPr>
        <w:spacing w:after="0" w:line="229" w:lineRule="exact"/>
        <w:rPr>
          <w:sz w:val="20"/>
          <w:szCs w:val="20"/>
          <w:color w:val="auto"/>
        </w:rPr>
      </w:pPr>
    </w:p>
    <w:p>
      <w:pPr>
        <w:jc w:val="both"/>
        <w:ind w:firstLine="1304"/>
        <w:spacing w:after="0" w:line="263" w:lineRule="auto"/>
        <w:tabs>
          <w:tab w:leader="none" w:pos="15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960"/>
        <w:spacing w:after="0" w:line="311" w:lineRule="auto"/>
        <w:rPr>
          <w:sz w:val="20"/>
          <w:szCs w:val="20"/>
          <w:color w:val="auto"/>
        </w:rPr>
      </w:pPr>
      <w:r>
        <w:rPr>
          <w:rFonts w:ascii="Arial" w:cs="Arial" w:eastAsia="Arial" w:hAnsi="Arial"/>
          <w:sz w:val="16"/>
          <w:szCs w:val="16"/>
          <w:color w:val="auto"/>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48" w:lineRule="exact"/>
        <w:rPr>
          <w:sz w:val="20"/>
          <w:szCs w:val="20"/>
          <w:color w:val="auto"/>
        </w:rPr>
      </w:pPr>
    </w:p>
    <w:p>
      <w:pPr>
        <w:ind w:left="1560" w:hanging="256"/>
        <w:spacing w:after="0"/>
        <w:tabs>
          <w:tab w:leader="none" w:pos="1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Please issue said Preferred Investment Option Shares in the name of the undersigned or in such other name as is specified below:</w:t>
      </w:r>
    </w:p>
    <w:p>
      <w:pPr>
        <w:spacing w:after="0" w:line="248"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The undersigned is an “accredited investor” as defined in Regulation D promulgated under the Securities Act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1933,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firstLine="189"/>
        <w:spacing w:after="0" w:line="277" w:lineRule="auto"/>
        <w:rPr>
          <w:sz w:val="20"/>
          <w:szCs w:val="20"/>
          <w:color w:val="auto"/>
        </w:rPr>
      </w:pPr>
      <w:r>
        <w:rPr>
          <w:rFonts w:ascii="Arial" w:cs="Arial" w:eastAsia="Arial" w:hAnsi="Arial"/>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Name:</w:t>
            </w:r>
          </w:p>
        </w:tc>
        <w:tc>
          <w:tcPr>
            <w:tcW w:w="6800" w:type="dxa"/>
            <w:vAlign w:val="bottom"/>
          </w:tcPr>
          <w:p>
            <w:pPr>
              <w:ind w:left="1180"/>
              <w:spacing w:after="0"/>
              <w:rPr>
                <w:sz w:val="20"/>
                <w:szCs w:val="20"/>
                <w:color w:val="auto"/>
              </w:rPr>
            </w:pPr>
            <w:r>
              <w:rPr>
                <w:rFonts w:ascii="Arial" w:cs="Arial" w:eastAsia="Arial" w:hAnsi="Arial"/>
                <w:sz w:val="18"/>
                <w:szCs w:val="18"/>
                <w:color w:val="auto"/>
              </w:rPr>
              <w:t>______________________________________</w:t>
            </w:r>
          </w:p>
        </w:tc>
      </w:tr>
      <w:tr>
        <w:trPr>
          <w:trHeight w:val="230"/>
        </w:trPr>
        <w:tc>
          <w:tcPr>
            <w:tcW w:w="4440" w:type="dxa"/>
            <w:vAlign w:val="bottom"/>
          </w:tcPr>
          <w:p>
            <w:pPr>
              <w:spacing w:after="0"/>
              <w:rPr>
                <w:sz w:val="20"/>
                <w:szCs w:val="20"/>
                <w:color w:val="auto"/>
              </w:rPr>
            </w:pPr>
          </w:p>
        </w:tc>
        <w:tc>
          <w:tcPr>
            <w:tcW w:w="6800" w:type="dxa"/>
            <w:vAlign w:val="bottom"/>
          </w:tcPr>
          <w:p>
            <w:pPr>
              <w:ind w:left="1180"/>
              <w:spacing w:after="0"/>
              <w:rPr>
                <w:sz w:val="20"/>
                <w:szCs w:val="20"/>
                <w:color w:val="auto"/>
              </w:rPr>
            </w:pPr>
            <w:r>
              <w:rPr>
                <w:rFonts w:ascii="Arial" w:cs="Arial" w:eastAsia="Arial" w:hAnsi="Arial"/>
                <w:sz w:val="18"/>
                <w:szCs w:val="18"/>
                <w:color w:val="auto"/>
              </w:rPr>
              <w:t>(Please Print)</w:t>
            </w:r>
          </w:p>
        </w:tc>
      </w:tr>
      <w:tr>
        <w:trPr>
          <w:trHeight w:val="418"/>
        </w:trPr>
        <w:tc>
          <w:tcPr>
            <w:tcW w:w="4440" w:type="dxa"/>
            <w:vAlign w:val="bottom"/>
          </w:tcPr>
          <w:p>
            <w:pPr>
              <w:spacing w:after="0"/>
              <w:rPr>
                <w:sz w:val="20"/>
                <w:szCs w:val="20"/>
                <w:color w:val="auto"/>
              </w:rPr>
            </w:pPr>
            <w:r>
              <w:rPr>
                <w:rFonts w:ascii="Arial" w:cs="Arial" w:eastAsia="Arial" w:hAnsi="Arial"/>
                <w:sz w:val="18"/>
                <w:szCs w:val="18"/>
                <w:color w:val="auto"/>
              </w:rPr>
              <w:t>Address:</w:t>
            </w:r>
          </w:p>
        </w:tc>
        <w:tc>
          <w:tcPr>
            <w:tcW w:w="6800" w:type="dxa"/>
            <w:vAlign w:val="bottom"/>
          </w:tcPr>
          <w:p>
            <w:pPr>
              <w:ind w:left="1180"/>
              <w:spacing w:after="0"/>
              <w:rPr>
                <w:sz w:val="20"/>
                <w:szCs w:val="20"/>
                <w:color w:val="auto"/>
              </w:rPr>
            </w:pPr>
            <w:r>
              <w:rPr>
                <w:rFonts w:ascii="Arial" w:cs="Arial" w:eastAsia="Arial" w:hAnsi="Arial"/>
                <w:sz w:val="18"/>
                <w:szCs w:val="18"/>
                <w:color w:val="auto"/>
              </w:rPr>
              <w:t>______________________________________</w:t>
            </w:r>
          </w:p>
        </w:tc>
      </w:tr>
      <w:tr>
        <w:trPr>
          <w:trHeight w:val="230"/>
        </w:trPr>
        <w:tc>
          <w:tcPr>
            <w:tcW w:w="4440" w:type="dxa"/>
            <w:vAlign w:val="bottom"/>
          </w:tcPr>
          <w:p>
            <w:pPr>
              <w:spacing w:after="0"/>
              <w:rPr>
                <w:sz w:val="20"/>
                <w:szCs w:val="20"/>
                <w:color w:val="auto"/>
              </w:rPr>
            </w:pPr>
          </w:p>
        </w:tc>
        <w:tc>
          <w:tcPr>
            <w:tcW w:w="6800" w:type="dxa"/>
            <w:vAlign w:val="bottom"/>
          </w:tcPr>
          <w:p>
            <w:pPr>
              <w:ind w:left="1180"/>
              <w:spacing w:after="0"/>
              <w:rPr>
                <w:sz w:val="20"/>
                <w:szCs w:val="20"/>
                <w:color w:val="auto"/>
              </w:rPr>
            </w:pPr>
            <w:r>
              <w:rPr>
                <w:rFonts w:ascii="Arial" w:cs="Arial" w:eastAsia="Arial" w:hAnsi="Arial"/>
                <w:sz w:val="18"/>
                <w:szCs w:val="18"/>
                <w:color w:val="auto"/>
              </w:rPr>
              <w:t>(Please Print)</w:t>
            </w: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Phone Number:</w:t>
            </w:r>
          </w:p>
        </w:tc>
        <w:tc>
          <w:tcPr>
            <w:tcW w:w="6800" w:type="dxa"/>
            <w:vAlign w:val="bottom"/>
          </w:tcPr>
          <w:p>
            <w:pPr>
              <w:ind w:left="1180"/>
              <w:spacing w:after="0"/>
              <w:rPr>
                <w:sz w:val="20"/>
                <w:szCs w:val="20"/>
                <w:color w:val="auto"/>
              </w:rPr>
            </w:pPr>
            <w:r>
              <w:rPr>
                <w:rFonts w:ascii="Arial" w:cs="Arial" w:eastAsia="Arial" w:hAnsi="Arial"/>
                <w:sz w:val="18"/>
                <w:szCs w:val="18"/>
                <w:color w:val="auto"/>
              </w:rPr>
              <w:t>______________________________________</w:t>
            </w: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Email Address:</w:t>
            </w:r>
          </w:p>
        </w:tc>
        <w:tc>
          <w:tcPr>
            <w:tcW w:w="6800" w:type="dxa"/>
            <w:vAlign w:val="bottom"/>
          </w:tcPr>
          <w:p>
            <w:pPr>
              <w:ind w:left="1180"/>
              <w:spacing w:after="0"/>
              <w:rPr>
                <w:sz w:val="20"/>
                <w:szCs w:val="20"/>
                <w:color w:val="auto"/>
              </w:rPr>
            </w:pPr>
            <w:r>
              <w:rPr>
                <w:rFonts w:ascii="Arial" w:cs="Arial" w:eastAsia="Arial" w:hAnsi="Arial"/>
                <w:sz w:val="18"/>
                <w:szCs w:val="18"/>
                <w:color w:val="auto"/>
              </w:rPr>
              <w:t>______________________________________</w:t>
            </w: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Dated: _______________ __, ______</w:t>
            </w:r>
          </w:p>
        </w:tc>
        <w:tc>
          <w:tcPr>
            <w:tcW w:w="6800" w:type="dxa"/>
            <w:vAlign w:val="bottom"/>
          </w:tcPr>
          <w:p>
            <w:pPr>
              <w:spacing w:after="0"/>
              <w:rPr>
                <w:sz w:val="24"/>
                <w:szCs w:val="24"/>
                <w:color w:val="auto"/>
              </w:rPr>
            </w:pP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Holder’s Signature: ____________________</w:t>
            </w:r>
          </w:p>
        </w:tc>
        <w:tc>
          <w:tcPr>
            <w:tcW w:w="6800" w:type="dxa"/>
            <w:vAlign w:val="bottom"/>
          </w:tcPr>
          <w:p>
            <w:pPr>
              <w:spacing w:after="0"/>
              <w:rPr>
                <w:sz w:val="24"/>
                <w:szCs w:val="24"/>
                <w:color w:val="auto"/>
              </w:rPr>
            </w:pP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Holder’s Address: ____________________</w:t>
            </w:r>
          </w:p>
        </w:tc>
        <w:tc>
          <w:tcPr>
            <w:tcW w:w="6800" w:type="dxa"/>
            <w:vAlign w:val="bottom"/>
          </w:tcPr>
          <w:p>
            <w:pPr>
              <w:spacing w:after="0"/>
              <w:rPr>
                <w:sz w:val="24"/>
                <w:szCs w:val="24"/>
                <w:color w:val="auto"/>
              </w:rPr>
            </w:pPr>
          </w:p>
        </w:tc>
      </w:tr>
      <w:tr>
        <w:trPr>
          <w:trHeight w:val="439"/>
        </w:trPr>
        <w:tc>
          <w:tcPr>
            <w:tcW w:w="444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-121920</wp:posOffset>
            </wp:positionV>
            <wp:extent cx="728980" cy="916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91694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617-542-6000</w:t>
      </w:r>
    </w:p>
    <w:p>
      <w:pPr>
        <w:spacing w:after="0" w:line="9" w:lineRule="exact"/>
        <w:rPr>
          <w:sz w:val="20"/>
          <w:szCs w:val="20"/>
          <w:color w:val="auto"/>
        </w:rPr>
      </w:pPr>
    </w:p>
    <w:p>
      <w:pPr>
        <w:ind w:left="9940"/>
        <w:spacing w:after="0"/>
        <w:rPr>
          <w:sz w:val="20"/>
          <w:szCs w:val="20"/>
          <w:color w:val="auto"/>
        </w:rPr>
      </w:pPr>
      <w:r>
        <w:rPr>
          <w:rFonts w:ascii="Arial" w:cs="Arial" w:eastAsia="Arial" w:hAnsi="Arial"/>
          <w:sz w:val="16"/>
          <w:szCs w:val="16"/>
          <w:color w:val="auto"/>
        </w:rPr>
        <w:t>617-542-2241 fax</w:t>
      </w:r>
    </w:p>
    <w:p>
      <w:pPr>
        <w:spacing w:after="0" w:line="32"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www.mintz.com</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June 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Recreation Park Drive, Unit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 02043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acted as counsel to Microbot Medical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of a Prospectus Supplement, dated June 2, 2023, to a Prospectus, dated December 4, 2020 (the “</w:t>
      </w:r>
      <w:r>
        <w:rPr>
          <w:rFonts w:ascii="Arial" w:cs="Arial" w:eastAsia="Arial" w:hAnsi="Arial"/>
          <w:sz w:val="17"/>
          <w:szCs w:val="17"/>
          <w:u w:val="single" w:color="auto"/>
          <w:color w:val="auto"/>
        </w:rPr>
        <w:t>Prospectus and Prospectus Supplement</w:t>
      </w:r>
      <w:r>
        <w:rPr>
          <w:rFonts w:ascii="Arial" w:cs="Arial" w:eastAsia="Arial" w:hAnsi="Arial"/>
          <w:sz w:val="17"/>
          <w:szCs w:val="17"/>
          <w:color w:val="auto"/>
        </w:rPr>
        <w:t>”), filed pursuant to a Registration Statement on Form S-3, Registration No. 333-250966 (the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and filed by the Company with the Commission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Prospectus Supplement relates to the sale of 701,756 shares (the “</w:t>
      </w:r>
      <w:r>
        <w:rPr>
          <w:rFonts w:ascii="Arial" w:cs="Arial" w:eastAsia="Arial" w:hAnsi="Arial"/>
          <w:sz w:val="17"/>
          <w:szCs w:val="17"/>
          <w:u w:val="single" w:color="auto"/>
          <w:color w:val="auto"/>
        </w:rPr>
        <w:t>Securities</w:t>
      </w:r>
      <w:r>
        <w:rPr>
          <w:rFonts w:ascii="Arial" w:cs="Arial" w:eastAsia="Arial" w:hAnsi="Arial"/>
          <w:sz w:val="17"/>
          <w:szCs w:val="17"/>
          <w:color w:val="auto"/>
        </w:rPr>
        <w:t>”) of the Company’s common stock, $0.01 par value per share, pursuant to a Securities Purchase Agreement, dated June 2, 2023, between the Company and the purchasers named therein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this opinion, we have (i) examined and relied upon: (A) the Registration Statement, the Prospectus and the Prospectus Supplement, (B) the Company’s Restated Certificate of Incorporation and Amended and Restated Bylaws, as currently in effect, and (C) the originals or copies certified to our satisfaction of such records, documents, certificates, memoranda and other instruments as in our judgment are necessary or appropriate to enable us to render the opinion expressed below; and (ii) assumed that the Securities to be sold by the Company will be sold at a price and on terms established by the Board of Directors of the Company or a duly constituted pricing committee thereof in accordance with Section 153 of the Delaware General Corporation Law. As to certain factual matters, we have relied upon a certificate of an officer of the Company and have not independently verified such matters. In rendering this opinion, we have assumed the genuineness and authenticity of all signatures on signed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a prerequisite to the effectiveness thereof (except we have not made such assumption with respect to the Company).</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opinion is limited to the General Corporation Law of the State of Delaware and we express no opinion with respect to the laws of any other jurisdiction. No opinion is expressed herein with respect to the qualification of the Securities under the securities or blue sky laws of any state or any foreign jurisdiction.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Securities, when sold and issued in accordance with the Registration Statement, the Prospectus and the Prospectus Supplement, will be validly issued, fully paid and nonassessable.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filing of this opinion as an exhibit to a Current Report on Form 8-K in accordance with the requirements of Item 601(b)(5) 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ind w:left="103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June 2, 2023, between Microbot Medical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subject to the terms and conditions set forth in this Agreement and pursuant to (i) an effective registration statement under the Securities Act (as defined below) as to the Shares and the Pre-Funded Warrants and (ii) an exemption from the registration requirements of Section 5 of the Securities Act contained in Section 4(a)(2) thereof and/or Regulation D thereunder as to the Preferred Investment Options, the Company desires to issue and sell to each Purchaser, and each Purchaser, severally and not jointly, desires to purchase from the Company, securities of the Company as more fully described in this Agreement.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Saturday, Sunday or other day on which commercial banks in The City of New York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w:t>
      </w:r>
    </w:p>
    <w:p>
      <w:pPr>
        <w:jc w:val="both"/>
        <w:spacing w:after="0" w:line="211" w:lineRule="auto"/>
        <w:rPr>
          <w:sz w:val="20"/>
          <w:szCs w:val="20"/>
          <w:color w:val="auto"/>
        </w:rPr>
      </w:pPr>
      <w:r>
        <w:rPr>
          <w:rFonts w:ascii="Arial" w:cs="Arial" w:eastAsia="Arial" w:hAnsi="Arial"/>
          <w:sz w:val="18"/>
          <w:szCs w:val="18"/>
          <w:color w:val="auto"/>
        </w:rPr>
        <w:t>deliver the Securities, in each case, have been satisfied or waived, but in no event later than the second (2</w:t>
      </w:r>
      <w:r>
        <w:rPr>
          <w:rFonts w:ascii="Arial" w:cs="Arial" w:eastAsia="Arial" w:hAnsi="Arial"/>
          <w:sz w:val="29"/>
          <w:szCs w:val="29"/>
          <w:color w:val="auto"/>
          <w:vertAlign w:val="superscript"/>
        </w:rPr>
        <w:t>nd</w:t>
      </w:r>
      <w:r>
        <w:rPr>
          <w:rFonts w:ascii="Arial" w:cs="Arial" w:eastAsia="Arial" w:hAnsi="Arial"/>
          <w:sz w:val="18"/>
          <w:szCs w:val="18"/>
          <w:color w:val="auto"/>
        </w:rPr>
        <w:t>) Trading Day following the date hereof.</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Mintz, Levin, Cohn, Ferris, Glovsky and Popeo, P.C., with offices located at One Financial Center, Boston, MA 02111.</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EGS</w:t>
      </w:r>
      <w:r>
        <w:rPr>
          <w:rFonts w:ascii="Arial" w:cs="Arial" w:eastAsia="Arial" w:hAnsi="Arial"/>
          <w:sz w:val="16"/>
          <w:szCs w:val="16"/>
          <w:color w:val="auto"/>
        </w:rPr>
        <w:t>” means Ellenoff Grossman &amp; Schole LLP, with offices located at 1345 Avenue of the Americas, New York, New York 10105-0302.</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44" w:name="page45"/>
    <w:bookmarkEnd w:id="44"/>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warrants to the Placement Agent in connection with the transactions pursuant to this Agreement and any securities upon exercise of warrants to the Placement Agent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FDCA</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Legend Removal Date</w:t>
      </w:r>
      <w:r>
        <w:rPr>
          <w:rFonts w:ascii="Arial" w:cs="Arial" w:eastAsia="Arial" w:hAnsi="Arial"/>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Share Purchase Price</w:t>
      </w:r>
      <w:r>
        <w:rPr>
          <w:rFonts w:ascii="Arial" w:cs="Arial" w:eastAsia="Arial" w:hAnsi="Arial"/>
          <w:sz w:val="16"/>
          <w:szCs w:val="16"/>
          <w:color w:val="auto"/>
        </w:rPr>
        <w:t>” equals $2.1375 (less $0.0001 for each Pre-Funded Warrant), subject to adjustment for reverse and forward stock splits, stock dividends, stock combinations and other similar transactions of the Common Stock that occur after the date of this Agreement.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45" w:name="page46"/>
    <w:bookmarkEnd w:id="45"/>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Pharmaceutical Product</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H.C. Wainwright &amp; Co., LLC.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Investment Options</w:t>
      </w:r>
      <w:r>
        <w:rPr>
          <w:rFonts w:ascii="Arial" w:cs="Arial" w:eastAsia="Arial" w:hAnsi="Arial"/>
          <w:sz w:val="18"/>
          <w:szCs w:val="18"/>
          <w:color w:val="auto"/>
        </w:rPr>
        <w:t xml:space="preserve">” means the Series C Preferred Investment Options delivered to the Purchasers at the Closing in accordance with Section 2.2(a) hereof, which Preferred Investment Options shall be exercisable immediately upon issuance and have a term of exercise equal to five and one-half (5.5) years,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attached hereto.</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Investment Option Shares</w:t>
      </w:r>
      <w:r>
        <w:rPr>
          <w:rFonts w:ascii="Arial" w:cs="Arial" w:eastAsia="Arial" w:hAnsi="Arial"/>
          <w:sz w:val="16"/>
          <w:szCs w:val="16"/>
          <w:color w:val="auto"/>
        </w:rPr>
        <w:t>” means the shares of Common Stock issuable upon exercise of the Preferred Investment Options.</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Warrants</w:t>
      </w:r>
      <w:r>
        <w:rPr>
          <w:rFonts w:ascii="Arial" w:cs="Arial" w:eastAsia="Arial" w:hAnsi="Arial"/>
          <w:sz w:val="18"/>
          <w:szCs w:val="18"/>
          <w:color w:val="auto"/>
        </w:rPr>
        <w:t xml:space="preserve">” means, collectively, the Pre-Funded Common Stock purchase warrants delivered to the Purchasers at the Closing in accordance with Section 2.2(a) hereof, which Pre-Funded Warrants shall be exercisable immediately and will expire when exercised in full,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attached hereto.</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 Shares</w:t>
      </w:r>
      <w:r>
        <w:rPr>
          <w:rFonts w:ascii="Arial" w:cs="Arial" w:eastAsia="Arial" w:hAnsi="Arial"/>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with Commission file No. 333-250966 which registers the sale of the Shares and Pre-Funded Warrants to the Purchasers.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46" w:name="page47"/>
    <w:bookmarkEnd w:id="46"/>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Shares, the Warrants and the Warrant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 for cash).</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Warrants, all exhibits and schedules thereto and hereto and any other documents or agreements executed in connection with the transactions contemplated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Computershare Trust Company, with offices located at Meidinger Tower, 462 South 4th Street, Louisville, KY 40202, and any successor transfer agent of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Variable Rate Transaction</w:t>
      </w:r>
      <w:r>
        <w:rPr>
          <w:rFonts w:ascii="Arial" w:cs="Arial" w:eastAsia="Arial" w:hAnsi="Arial"/>
          <w:sz w:val="18"/>
          <w:szCs w:val="18"/>
          <w:color w:val="auto"/>
        </w:rPr>
        <w:t>” shall have the meaning ascribed to such term in Section 4.11(b).</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47" w:name="page48"/>
    <w:bookmarkEnd w:id="47"/>
    <w:p>
      <w:pPr>
        <w:jc w:val="both"/>
        <w:ind w:left="6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collectively, the Preferred Investment Options and the Pre-Funded Warrants.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means the shares of Common Stock issuable upon exercise of the Warrants.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 On the Closing Date, upon the terms and subject to the conditions set forth herein, the Company agrees to sell, and the Purchasers, severally and not jointly, agree to purchase, up to an aggregate of $1,500,004 of Shares and Warrants. Notwithstanding anything herein to the contrary, to the extent that a Purchaser determines, in its sole discretion, that such Purchaser’s Subscription Amount (together with such Purchaser’s Affiliates and any Person acting as a group together with such Purchaser or any of such Purchaser’s Affiliates) would cause such Purchaser’s beneficial ownership of the shares of Common Stock to exceed the Beneficial Ownership Limitation, or as such Purchaser may otherwise choose, such Purchaser may elect to purchase Pre-Funded Warrants in lieu of the Shares as determined pursuant to Section 2.2(a).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(or, at the election of the Purchaser at Closing, 9.99%) of the number of shares of the Common Stock outstanding immediately after giving effect to the issuance of the Securities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Pre-Funded Warrants and Preferred Investment Option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Notwithstanding anything herein to the contrary, if at any time on or after the time of execution of this Agreement by the Company and an applicable Purchaser, through, and including the time immediately prior to the Closing (the “</w:t>
      </w:r>
      <w:r>
        <w:rPr>
          <w:rFonts w:ascii="Arial" w:cs="Arial" w:eastAsia="Arial" w:hAnsi="Arial"/>
          <w:sz w:val="16"/>
          <w:szCs w:val="16"/>
          <w:u w:val="single" w:color="auto"/>
          <w:color w:val="auto"/>
        </w:rPr>
        <w:t>Pre-Settlement Period</w:t>
      </w:r>
      <w:r>
        <w:rPr>
          <w:rFonts w:ascii="Arial" w:cs="Arial" w:eastAsia="Arial" w:hAnsi="Arial"/>
          <w:sz w:val="16"/>
          <w:szCs w:val="16"/>
          <w:color w:val="auto"/>
        </w:rPr>
        <w:t>”), such Purchaser sells to any Person all, or any portion, of the Shares to be issued hereunder to such Purchaser at the Closing (collectively, the “</w:t>
      </w:r>
      <w:r>
        <w:rPr>
          <w:rFonts w:ascii="Arial" w:cs="Arial" w:eastAsia="Arial" w:hAnsi="Arial"/>
          <w:sz w:val="16"/>
          <w:szCs w:val="16"/>
          <w:u w:val="single" w:color="auto"/>
          <w:color w:val="auto"/>
        </w:rPr>
        <w:t>Pre-Settlement Shares</w:t>
      </w:r>
      <w:r>
        <w:rPr>
          <w:rFonts w:ascii="Arial" w:cs="Arial" w:eastAsia="Arial" w:hAnsi="Arial"/>
          <w:sz w:val="16"/>
          <w:szCs w:val="16"/>
          <w:color w:val="auto"/>
        </w:rPr>
        <w:t>”),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Unless otherwise directed by the Placement Agent, settlement of the Shares shall occur via “Delivery Versus Payment” (“</w:t>
      </w:r>
      <w:r>
        <w:rPr>
          <w:rFonts w:ascii="Arial" w:cs="Arial" w:eastAsia="Arial" w:hAnsi="Arial"/>
          <w:sz w:val="16"/>
          <w:szCs w:val="16"/>
          <w:u w:val="single" w:color="auto"/>
          <w:color w:val="auto"/>
        </w:rPr>
        <w:t>DVP</w:t>
      </w:r>
      <w:r>
        <w:rPr>
          <w:rFonts w:ascii="Arial" w:cs="Arial" w:eastAsia="Arial" w:hAnsi="Arial"/>
          <w:sz w:val="16"/>
          <w:szCs w:val="16"/>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thereunder.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Deliveries</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1300" w:firstLine="652"/>
        <w:spacing w:after="0" w:line="277" w:lineRule="auto"/>
        <w:tabs>
          <w:tab w:leader="none" w:pos="216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legal opinion of Company Counsel, directed to the Placement Agent and the Purchasers, in a form reasonably acceptable to the Placement Agent and Purchasers;</w:t>
      </w:r>
    </w:p>
    <w:p>
      <w:pPr>
        <w:spacing w:after="0" w:line="170" w:lineRule="exact"/>
        <w:rPr>
          <w:rFonts w:ascii="Arial" w:cs="Arial" w:eastAsia="Arial" w:hAnsi="Arial"/>
          <w:sz w:val="18"/>
          <w:szCs w:val="18"/>
          <w:color w:val="auto"/>
        </w:rPr>
      </w:pPr>
    </w:p>
    <w:p>
      <w:pPr>
        <w:ind w:left="2220" w:hanging="268"/>
        <w:spacing w:after="0"/>
        <w:tabs>
          <w:tab w:leader="none" w:pos="22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subject to Section 2.1, the Company shall have provided each Purchaser with the Company’s wire instructions;</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27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Preferred Investment Option registered in the name of such Purchaser to purchase up to a number of shares of Common Stock equal to 50% of the sum of such Purchaser’s Shares and Pre-Funded Warrant Shares, with an exercise price equal to $2.075, subject to adjustment therein;</w:t>
      </w:r>
    </w:p>
    <w:p>
      <w:pPr>
        <w:spacing w:after="0" w:line="183" w:lineRule="exact"/>
        <w:rPr>
          <w:rFonts w:ascii="Arial" w:cs="Arial" w:eastAsia="Arial" w:hAnsi="Arial"/>
          <w:sz w:val="18"/>
          <w:szCs w:val="18"/>
          <w:color w:val="auto"/>
        </w:rPr>
      </w:pPr>
    </w:p>
    <w:p>
      <w:pPr>
        <w:jc w:val="both"/>
        <w:ind w:left="1300" w:firstLine="652"/>
        <w:spacing w:after="0" w:line="286" w:lineRule="auto"/>
        <w:tabs>
          <w:tab w:leader="none" w:pos="2261" w:val="left"/>
        </w:tabs>
        <w:numPr>
          <w:ilvl w:val="1"/>
          <w:numId w:val="46"/>
        </w:numPr>
        <w:rPr>
          <w:rFonts w:ascii="Arial" w:cs="Arial" w:eastAsia="Arial" w:hAnsi="Arial"/>
          <w:sz w:val="17"/>
          <w:szCs w:val="17"/>
          <w:color w:val="auto"/>
        </w:rPr>
      </w:pPr>
      <w:r>
        <w:rPr>
          <w:rFonts w:ascii="Arial" w:cs="Arial" w:eastAsia="Arial" w:hAnsi="Arial"/>
          <w:sz w:val="17"/>
          <w:szCs w:val="17"/>
          <w:color w:val="auto"/>
        </w:rPr>
        <w:t>subject to Section 2.1, a copy of the irrevocable instructions to the Transfer Agent instructing the Transfer Agent to deliver on an expedited basis via The Depository Trust Company Deposit or Withdrawal at Custodian system (“</w:t>
      </w:r>
      <w:r>
        <w:rPr>
          <w:rFonts w:ascii="Arial" w:cs="Arial" w:eastAsia="Arial" w:hAnsi="Arial"/>
          <w:sz w:val="17"/>
          <w:szCs w:val="17"/>
          <w:u w:val="single" w:color="auto"/>
          <w:color w:val="auto"/>
        </w:rPr>
        <w:t>DWAC</w:t>
      </w:r>
      <w:r>
        <w:rPr>
          <w:rFonts w:ascii="Arial" w:cs="Arial" w:eastAsia="Arial" w:hAnsi="Arial"/>
          <w:sz w:val="17"/>
          <w:szCs w:val="17"/>
          <w:color w:val="auto"/>
        </w:rPr>
        <w:t>”) Shares equal to such Purchaser’s Subscription Amount divided by the Per Share Purchase Price, registered in the name of such Purchaser;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jc w:val="both"/>
        <w:ind w:left="1300" w:firstLine="652"/>
        <w:spacing w:after="0" w:line="257" w:lineRule="auto"/>
        <w:tabs>
          <w:tab w:leader="none" w:pos="2232"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applicable, a Pre-Funded Warrant registered in the name of such Purchaser to purchase up to a number of shares of Common Stock equal to the difference between (A) such Purchaser’s Subscription Amount divided by the Per Pre-Funded Warrant Purchase Price and (B) the number of Shares otherwise issuable to such Purchaser that would cause such Purchaser’s Beneficial Ownership to be more than the Beneficial Ownership Limitation with an exercise price equal to $0.0001 per share of Common Stock, subject to adjustment therein; and</w:t>
      </w:r>
    </w:p>
    <w:p>
      <w:pPr>
        <w:spacing w:after="0" w:line="187" w:lineRule="exact"/>
        <w:rPr>
          <w:rFonts w:ascii="Arial" w:cs="Arial" w:eastAsia="Arial" w:hAnsi="Arial"/>
          <w:sz w:val="18"/>
          <w:szCs w:val="18"/>
          <w:color w:val="auto"/>
        </w:rPr>
      </w:pPr>
    </w:p>
    <w:p>
      <w:pPr>
        <w:ind w:left="2260" w:hanging="308"/>
        <w:spacing w:after="0"/>
        <w:tabs>
          <w:tab w:leader="none" w:pos="22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Prospectus and Prospectus Supplement (which may be delivered in accordance with Rule 172 under the Securities Act).</w:t>
      </w:r>
    </w:p>
    <w:p>
      <w:pPr>
        <w:spacing w:after="0" w:line="248" w:lineRule="exact"/>
        <w:rPr>
          <w:rFonts w:ascii="Arial" w:cs="Arial" w:eastAsia="Arial" w:hAnsi="Arial"/>
          <w:sz w:val="16"/>
          <w:szCs w:val="16"/>
          <w:color w:val="auto"/>
        </w:rPr>
      </w:pPr>
    </w:p>
    <w:p>
      <w:pPr>
        <w:ind w:left="1560" w:hanging="256"/>
        <w:spacing w:after="0"/>
        <w:tabs>
          <w:tab w:leader="none" w:pos="1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rFonts w:ascii="Arial" w:cs="Arial" w:eastAsia="Arial" w:hAnsi="Arial"/>
          <w:sz w:val="18"/>
          <w:szCs w:val="18"/>
          <w:color w:val="auto"/>
        </w:rPr>
      </w:pPr>
    </w:p>
    <w:p>
      <w:pPr>
        <w:ind w:left="1300" w:firstLine="652"/>
        <w:spacing w:after="0" w:line="277" w:lineRule="auto"/>
        <w:tabs>
          <w:tab w:leader="none" w:pos="2230" w:val="left"/>
        </w:tabs>
        <w:numPr>
          <w:ilvl w:val="1"/>
          <w:numId w:val="48"/>
        </w:numPr>
        <w:rPr>
          <w:rFonts w:ascii="Arial" w:cs="Arial" w:eastAsia="Arial" w:hAnsi="Arial"/>
          <w:sz w:val="18"/>
          <w:szCs w:val="18"/>
          <w:color w:val="auto"/>
        </w:rPr>
      </w:pPr>
      <w:r>
        <w:rPr>
          <w:rFonts w:ascii="Arial" w:cs="Arial" w:eastAsia="Arial" w:hAnsi="Arial"/>
          <w:sz w:val="18"/>
          <w:szCs w:val="18"/>
          <w:color w:val="auto"/>
        </w:rPr>
        <w:t>such Purchaser’s Subscription Amount, which shall be made available for “Delivery Versus Payment” settlement with the Company or its designee.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the Closing are subject to the following conditions being met:</w:t>
      </w:r>
    </w:p>
    <w:p>
      <w:pPr>
        <w:spacing w:after="0" w:line="236" w:lineRule="exact"/>
        <w:rPr>
          <w:rFonts w:ascii="Arial" w:cs="Arial" w:eastAsia="Arial" w:hAnsi="Arial"/>
          <w:sz w:val="17"/>
          <w:szCs w:val="17"/>
          <w:color w:val="auto"/>
        </w:rPr>
      </w:pPr>
    </w:p>
    <w:p>
      <w:pPr>
        <w:jc w:val="both"/>
        <w:ind w:left="1300" w:firstLine="652"/>
        <w:spacing w:after="0" w:line="259" w:lineRule="auto"/>
        <w:tabs>
          <w:tab w:leader="none" w:pos="216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86" w:lineRule="exact"/>
        <w:rPr>
          <w:rFonts w:ascii="Arial" w:cs="Arial" w:eastAsia="Arial" w:hAnsi="Arial"/>
          <w:sz w:val="18"/>
          <w:szCs w:val="18"/>
          <w:color w:val="auto"/>
        </w:rPr>
      </w:pPr>
    </w:p>
    <w:p>
      <w:pPr>
        <w:ind w:left="1300" w:firstLine="652"/>
        <w:spacing w:after="0" w:line="277" w:lineRule="auto"/>
        <w:tabs>
          <w:tab w:leader="none" w:pos="2226"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required to be performed at or prior to the Closing Date shall have been performed; and</w:t>
      </w:r>
    </w:p>
    <w:p>
      <w:pPr>
        <w:spacing w:after="0" w:line="170" w:lineRule="exact"/>
        <w:rPr>
          <w:rFonts w:ascii="Arial" w:cs="Arial" w:eastAsia="Arial" w:hAnsi="Arial"/>
          <w:sz w:val="18"/>
          <w:szCs w:val="18"/>
          <w:color w:val="auto"/>
        </w:rPr>
      </w:pPr>
    </w:p>
    <w:p>
      <w:pPr>
        <w:ind w:left="2260" w:hanging="308"/>
        <w:spacing w:after="0"/>
        <w:tabs>
          <w:tab w:leader="none" w:pos="2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ind w:left="1300"/>
        <w:spacing w:after="0"/>
        <w:rPr>
          <w:sz w:val="20"/>
          <w:szCs w:val="20"/>
          <w:color w:val="auto"/>
        </w:rPr>
      </w:pPr>
      <w:r>
        <w:rPr>
          <w:rFonts w:ascii="Arial" w:cs="Arial" w:eastAsia="Arial" w:hAnsi="Arial"/>
          <w:sz w:val="16"/>
          <w:szCs w:val="16"/>
          <w:color w:val="auto"/>
        </w:rPr>
        <w:t>(b) The respective obligations of the Purchasers hereunder in connection with the Closing are subject to the following conditions being</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met:</w:t>
      </w:r>
    </w:p>
    <w:p>
      <w:pPr>
        <w:spacing w:after="0" w:line="211" w:lineRule="exact"/>
        <w:rPr>
          <w:sz w:val="20"/>
          <w:szCs w:val="20"/>
          <w:color w:val="auto"/>
        </w:rPr>
      </w:pPr>
    </w:p>
    <w:p>
      <w:pPr>
        <w:jc w:val="both"/>
        <w:ind w:left="1300" w:firstLine="652"/>
        <w:spacing w:after="0" w:line="279" w:lineRule="auto"/>
        <w:tabs>
          <w:tab w:leader="none" w:pos="2179"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1" w:lineRule="exact"/>
        <w:rPr>
          <w:rFonts w:ascii="Arial" w:cs="Arial" w:eastAsia="Arial" w:hAnsi="Arial"/>
          <w:sz w:val="17"/>
          <w:szCs w:val="17"/>
          <w:color w:val="auto"/>
        </w:rPr>
      </w:pPr>
    </w:p>
    <w:p>
      <w:pPr>
        <w:ind w:left="1300" w:firstLine="652"/>
        <w:spacing w:after="0" w:line="277" w:lineRule="auto"/>
        <w:tabs>
          <w:tab w:leader="none" w:pos="22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170" w:lineRule="exact"/>
        <w:rPr>
          <w:rFonts w:ascii="Arial" w:cs="Arial" w:eastAsia="Arial" w:hAnsi="Arial"/>
          <w:sz w:val="18"/>
          <w:szCs w:val="18"/>
          <w:color w:val="auto"/>
        </w:rPr>
      </w:pPr>
    </w:p>
    <w:p>
      <w:pPr>
        <w:ind w:left="2260" w:hanging="308"/>
        <w:spacing w:after="0"/>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2260" w:hanging="308"/>
        <w:spacing w:after="0"/>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225" w:lineRule="exact"/>
        <w:rPr>
          <w:rFonts w:ascii="Arial" w:cs="Arial" w:eastAsia="Arial" w:hAnsi="Arial"/>
          <w:sz w:val="18"/>
          <w:szCs w:val="18"/>
          <w:color w:val="auto"/>
        </w:rPr>
      </w:pPr>
    </w:p>
    <w:p>
      <w:pPr>
        <w:jc w:val="both"/>
        <w:ind w:left="1300" w:firstLine="652"/>
        <w:spacing w:after="0" w:line="291" w:lineRule="auto"/>
        <w:tabs>
          <w:tab w:leader="none" w:pos="2205" w:val="left"/>
        </w:tabs>
        <w:numPr>
          <w:ilvl w:val="0"/>
          <w:numId w:val="50"/>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Except as set forth in the SEC Reports, the Company hereby makes the following representations and warranties to each Purchaser:</w:t>
      </w:r>
    </w:p>
    <w:p>
      <w:pPr>
        <w:spacing w:after="0" w:line="170" w:lineRule="exact"/>
        <w:rPr>
          <w:sz w:val="20"/>
          <w:szCs w:val="20"/>
          <w:color w:val="auto"/>
        </w:rPr>
      </w:pPr>
    </w:p>
    <w:p>
      <w:pPr>
        <w:jc w:val="both"/>
        <w:ind w:left="660" w:firstLine="644"/>
        <w:spacing w:after="0" w:line="257" w:lineRule="auto"/>
        <w:tabs>
          <w:tab w:leader="none" w:pos="1556"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jc w:val="both"/>
        <w:ind w:firstLine="8"/>
        <w:spacing w:after="0" w:line="284" w:lineRule="auto"/>
        <w:tabs>
          <w:tab w:leader="none" w:pos="256"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w:t>
      </w:r>
    </w:p>
    <w:p>
      <w:pPr>
        <w:spacing w:after="0" w:line="2" w:lineRule="exact"/>
        <w:rPr>
          <w:rFonts w:ascii="Arial" w:cs="Arial" w:eastAsia="Arial" w:hAnsi="Arial"/>
          <w:sz w:val="16"/>
          <w:szCs w:val="16"/>
          <w:color w:val="auto"/>
        </w:rPr>
      </w:pPr>
    </w:p>
    <w:p>
      <w:pPr>
        <w:jc w:val="both"/>
        <w:ind w:firstLine="8"/>
        <w:spacing w:after="0" w:line="253" w:lineRule="auto"/>
        <w:tabs>
          <w:tab w:leader="none" w:pos="302"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and no Proceeding has been instituted in any such jurisdiction revoking, limiting or curtailing or seeking to revoke, limit or curtail such power and authority or qualification.</w:t>
      </w:r>
    </w:p>
    <w:p>
      <w:pPr>
        <w:spacing w:after="0" w:line="192" w:lineRule="exact"/>
        <w:rPr>
          <w:rFonts w:ascii="Arial" w:cs="Arial" w:eastAsia="Arial" w:hAnsi="Arial"/>
          <w:sz w:val="18"/>
          <w:szCs w:val="18"/>
          <w:color w:val="auto"/>
        </w:rPr>
      </w:pPr>
    </w:p>
    <w:p>
      <w:pPr>
        <w:jc w:val="both"/>
        <w:ind w:firstLine="8"/>
        <w:spacing w:after="0" w:line="269" w:lineRule="auto"/>
        <w:tabs>
          <w:tab w:leader="none" w:pos="282"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w:t>
      </w:r>
      <w:r>
        <w:rPr>
          <w:rFonts w:ascii="Arial" w:cs="Arial" w:eastAsia="Arial" w:hAnsi="Arial"/>
          <w:sz w:val="17"/>
          <w:szCs w:val="17"/>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1" w:lineRule="exact"/>
        <w:rPr>
          <w:rFonts w:ascii="Arial" w:cs="Arial" w:eastAsia="Arial" w:hAnsi="Arial"/>
          <w:sz w:val="17"/>
          <w:szCs w:val="17"/>
          <w:color w:val="auto"/>
        </w:rPr>
      </w:pPr>
    </w:p>
    <w:p>
      <w:pPr>
        <w:jc w:val="both"/>
        <w:ind w:firstLine="8"/>
        <w:spacing w:after="0" w:line="252" w:lineRule="auto"/>
        <w:tabs>
          <w:tab w:leader="none" w:pos="26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jc w:val="both"/>
        <w:ind w:firstLine="8"/>
        <w:spacing w:after="0" w:line="273" w:lineRule="auto"/>
        <w:tabs>
          <w:tab w:leader="none" w:pos="248"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the filing of Form D with the Commission and such filings as are required to be made under applicable state securities laws (collectively, the “</w:t>
      </w:r>
      <w:r>
        <w:rPr>
          <w:rFonts w:ascii="Arial" w:cs="Arial" w:eastAsia="Arial" w:hAnsi="Arial"/>
          <w:sz w:val="17"/>
          <w:szCs w:val="17"/>
          <w:u w:val="single" w:color="auto"/>
          <w:color w:val="auto"/>
        </w:rPr>
        <w:t>Required Approvals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8"/>
        <w:spacing w:after="0" w:line="285" w:lineRule="auto"/>
        <w:tabs>
          <w:tab w:leader="none" w:pos="23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 Registration</w:t>
      </w:r>
      <w:r>
        <w:rPr>
          <w:rFonts w:ascii="Arial" w:cs="Arial" w:eastAsia="Arial" w:hAnsi="Arial"/>
          <w:sz w:val="16"/>
          <w:szCs w:val="16"/>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December 4, 2020,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jc w:val="both"/>
        <w:ind w:firstLine="8"/>
        <w:spacing w:after="0" w:line="284" w:lineRule="auto"/>
        <w:tabs>
          <w:tab w:leader="none" w:pos="26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capitalization of the Company as of the date set forth therein is as set forth in the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79" w:lineRule="exact"/>
        <w:rPr>
          <w:rFonts w:ascii="Arial" w:cs="Arial" w:eastAsia="Arial" w:hAnsi="Arial"/>
          <w:sz w:val="16"/>
          <w:szCs w:val="16"/>
          <w:color w:val="auto"/>
        </w:rPr>
      </w:pPr>
    </w:p>
    <w:p>
      <w:pPr>
        <w:jc w:val="both"/>
        <w:ind w:firstLine="8"/>
        <w:spacing w:after="0" w:line="286" w:lineRule="auto"/>
        <w:tabs>
          <w:tab w:leader="none" w:pos="269"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both"/>
        <w:ind w:firstLine="8"/>
        <w:spacing w:after="0" w:line="268" w:lineRule="auto"/>
        <w:tabs>
          <w:tab w:leader="none" w:pos="218"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Material Changes; Undisclosed Events, Liabilities or Developments</w:t>
      </w:r>
      <w:r>
        <w:rPr>
          <w:rFonts w:ascii="Arial" w:cs="Arial" w:eastAsia="Arial" w:hAnsi="Arial"/>
          <w:sz w:val="17"/>
          <w:szCs w:val="17"/>
          <w:color w:val="auto"/>
        </w:rPr>
        <w:t>. Except as set forth in the SEC Reports,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6" w:lineRule="exact"/>
        <w:rPr>
          <w:rFonts w:ascii="Arial" w:cs="Arial" w:eastAsia="Arial" w:hAnsi="Arial"/>
          <w:sz w:val="17"/>
          <w:szCs w:val="17"/>
          <w:color w:val="auto"/>
        </w:rPr>
      </w:pPr>
    </w:p>
    <w:p>
      <w:pPr>
        <w:jc w:val="both"/>
        <w:ind w:firstLine="8"/>
        <w:spacing w:after="0" w:line="269" w:lineRule="auto"/>
        <w:tabs>
          <w:tab w:leader="none" w:pos="231"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7"/>
          <w:szCs w:val="17"/>
          <w:u w:val="single" w:color="auto"/>
          <w:color w:val="auto"/>
        </w:rPr>
        <w:t>Action</w:t>
      </w:r>
      <w:r>
        <w:rPr>
          <w:rFonts w:ascii="Arial" w:cs="Arial" w:eastAsia="Arial" w:hAnsi="Arial"/>
          <w:sz w:val="17"/>
          <w:szCs w:val="17"/>
          <w:color w:val="auto"/>
        </w:rPr>
        <w:t>”). None of the Actions set forth in the SEC Reports (i) adversely affects or challenges the legality, validity or enforceability of any of the Transaction Documents or the Securities or (ii) except as set forth in the SEC Reports, would have or reasonably be expected to result in a Material Adverse Effect. Neither the Company nor any Subsidiary, nor any current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jc w:val="both"/>
        <w:ind w:firstLine="8"/>
        <w:spacing w:after="0" w:line="288" w:lineRule="auto"/>
        <w:tabs>
          <w:tab w:leader="none" w:pos="256"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Labor Relations</w:t>
      </w:r>
      <w:r>
        <w:rPr>
          <w:rFonts w:ascii="Arial" w:cs="Arial" w:eastAsia="Arial" w:hAnsi="Arial"/>
          <w:sz w:val="16"/>
          <w:szCs w:val="16"/>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68" w:lineRule="exact"/>
        <w:rPr>
          <w:rFonts w:ascii="Arial" w:cs="Arial" w:eastAsia="Arial" w:hAnsi="Arial"/>
          <w:sz w:val="16"/>
          <w:szCs w:val="16"/>
          <w:color w:val="auto"/>
        </w:rPr>
      </w:pPr>
    </w:p>
    <w:p>
      <w:pPr>
        <w:jc w:val="both"/>
        <w:ind w:firstLine="8"/>
        <w:spacing w:after="0" w:line="254" w:lineRule="auto"/>
        <w:tabs>
          <w:tab w:leader="none" w:pos="21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91" w:lineRule="exact"/>
        <w:rPr>
          <w:rFonts w:ascii="Arial" w:cs="Arial" w:eastAsia="Arial" w:hAnsi="Arial"/>
          <w:sz w:val="18"/>
          <w:szCs w:val="18"/>
          <w:color w:val="auto"/>
        </w:rPr>
      </w:pPr>
    </w:p>
    <w:p>
      <w:pPr>
        <w:jc w:val="both"/>
        <w:ind w:firstLine="8"/>
        <w:spacing w:after="0" w:line="270" w:lineRule="auto"/>
        <w:tabs>
          <w:tab w:leader="none" w:pos="323"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 w:name="page57"/>
    <w:bookmarkEnd w:id="56"/>
    <w:p>
      <w:pPr>
        <w:jc w:val="both"/>
        <w:ind w:firstLine="8"/>
        <w:spacing w:after="0" w:line="279" w:lineRule="auto"/>
        <w:tabs>
          <w:tab w:leader="none" w:pos="259"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Regulatory Permits</w:t>
      </w:r>
      <w:r>
        <w:rPr>
          <w:rFonts w:ascii="Arial" w:cs="Arial" w:eastAsia="Arial" w:hAnsi="Arial"/>
          <w:sz w:val="17"/>
          <w:szCs w:val="17"/>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7"/>
          <w:szCs w:val="17"/>
          <w:u w:val="single" w:color="auto"/>
          <w:color w:val="auto"/>
        </w:rPr>
        <w:t>Material Permits</w:t>
      </w:r>
      <w:r>
        <w:rPr>
          <w:rFonts w:ascii="Arial" w:cs="Arial" w:eastAsia="Arial" w:hAnsi="Arial"/>
          <w:sz w:val="17"/>
          <w:szCs w:val="17"/>
          <w:color w:val="auto"/>
        </w:rPr>
        <w:t>”), and neither the Company nor any Subsidiary has received any notice of proceedings relating to the revocation or modification of any Material Permit.</w:t>
      </w:r>
    </w:p>
    <w:p>
      <w:pPr>
        <w:spacing w:after="0" w:line="171" w:lineRule="exact"/>
        <w:rPr>
          <w:rFonts w:ascii="Arial" w:cs="Arial" w:eastAsia="Arial" w:hAnsi="Arial"/>
          <w:sz w:val="17"/>
          <w:szCs w:val="17"/>
          <w:color w:val="auto"/>
        </w:rPr>
      </w:pPr>
    </w:p>
    <w:p>
      <w:pPr>
        <w:jc w:val="both"/>
        <w:ind w:firstLine="8"/>
        <w:spacing w:after="0" w:line="254" w:lineRule="auto"/>
        <w:tabs>
          <w:tab w:leader="none" w:pos="27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Title to Assets</w:t>
      </w:r>
      <w:r>
        <w:rPr>
          <w:rFonts w:ascii="Arial" w:cs="Arial" w:eastAsia="Arial" w:hAnsi="Arial"/>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94" w:lineRule="exact"/>
        <w:rPr>
          <w:rFonts w:ascii="Arial" w:cs="Arial" w:eastAsia="Arial" w:hAnsi="Arial"/>
          <w:sz w:val="18"/>
          <w:szCs w:val="18"/>
          <w:color w:val="auto"/>
        </w:rPr>
      </w:pPr>
    </w:p>
    <w:p>
      <w:pPr>
        <w:jc w:val="both"/>
        <w:ind w:firstLine="8"/>
        <w:spacing w:after="0" w:line="268" w:lineRule="auto"/>
        <w:tabs>
          <w:tab w:leader="none" w:pos="278"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or as disclosed in the SEC Reports.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or as disclosed in the SEC Reports.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jc w:val="both"/>
        <w:ind w:firstLine="8"/>
        <w:spacing w:after="0" w:line="257" w:lineRule="auto"/>
        <w:tabs>
          <w:tab w:leader="none" w:pos="269"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spacing w:after="0" w:line="187" w:lineRule="exact"/>
        <w:rPr>
          <w:rFonts w:ascii="Arial" w:cs="Arial" w:eastAsia="Arial" w:hAnsi="Arial"/>
          <w:sz w:val="18"/>
          <w:szCs w:val="18"/>
          <w:color w:val="auto"/>
        </w:rPr>
      </w:pPr>
    </w:p>
    <w:p>
      <w:pPr>
        <w:jc w:val="both"/>
        <w:ind w:firstLine="8"/>
        <w:spacing w:after="0" w:line="270" w:lineRule="auto"/>
        <w:tabs>
          <w:tab w:leader="none" w:pos="227"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and in which the officer, director or employee has a direct or indirect material interest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0" w:lineRule="exact"/>
        <w:rPr>
          <w:rFonts w:ascii="Arial" w:cs="Arial" w:eastAsia="Arial" w:hAnsi="Arial"/>
          <w:sz w:val="17"/>
          <w:szCs w:val="17"/>
          <w:color w:val="auto"/>
        </w:rPr>
      </w:pPr>
    </w:p>
    <w:p>
      <w:pPr>
        <w:jc w:val="both"/>
        <w:ind w:firstLine="8"/>
        <w:spacing w:after="0" w:line="285" w:lineRule="auto"/>
        <w:tabs>
          <w:tab w:leader="none" w:pos="238"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both"/>
        <w:ind w:firstLine="8"/>
        <w:spacing w:after="0" w:line="257" w:lineRule="auto"/>
        <w:tabs>
          <w:tab w:leader="none" w:pos="223"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7" w:lineRule="exact"/>
        <w:rPr>
          <w:rFonts w:ascii="Arial" w:cs="Arial" w:eastAsia="Arial" w:hAnsi="Arial"/>
          <w:sz w:val="18"/>
          <w:szCs w:val="18"/>
          <w:color w:val="auto"/>
        </w:rPr>
      </w:pPr>
    </w:p>
    <w:p>
      <w:pPr>
        <w:jc w:val="both"/>
        <w:ind w:firstLine="8"/>
        <w:spacing w:after="0" w:line="311" w:lineRule="auto"/>
        <w:tabs>
          <w:tab w:leader="none" w:pos="263"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Investment Company</w:t>
      </w:r>
      <w:r>
        <w:rPr>
          <w:rFonts w:ascii="Arial" w:cs="Arial" w:eastAsia="Arial" w:hAnsi="Arial"/>
          <w:sz w:val="16"/>
          <w:szCs w:val="16"/>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48" w:lineRule="exact"/>
        <w:rPr>
          <w:rFonts w:ascii="Arial" w:cs="Arial" w:eastAsia="Arial" w:hAnsi="Arial"/>
          <w:sz w:val="16"/>
          <w:szCs w:val="16"/>
          <w:color w:val="auto"/>
        </w:rPr>
      </w:pPr>
    </w:p>
    <w:p>
      <w:pPr>
        <w:ind w:firstLine="8"/>
        <w:spacing w:after="0" w:line="277" w:lineRule="auto"/>
        <w:tabs>
          <w:tab w:leader="none" w:pos="28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Other than as set forth in the SEC Reports, no Person has any right to cause the Company or any Subsidiary to effect the registration under the Securities Act of any securities of the Company or any Subsidiary.</w:t>
      </w:r>
    </w:p>
    <w:p>
      <w:pPr>
        <w:spacing w:after="0" w:line="170" w:lineRule="exact"/>
        <w:rPr>
          <w:rFonts w:ascii="Arial" w:cs="Arial" w:eastAsia="Arial" w:hAnsi="Arial"/>
          <w:sz w:val="18"/>
          <w:szCs w:val="18"/>
          <w:color w:val="auto"/>
        </w:rPr>
      </w:pPr>
    </w:p>
    <w:p>
      <w:pPr>
        <w:jc w:val="both"/>
        <w:ind w:firstLine="8"/>
        <w:spacing w:after="0" w:line="270" w:lineRule="auto"/>
        <w:tabs>
          <w:tab w:leader="none" w:pos="308"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0" w:lineRule="exact"/>
        <w:rPr>
          <w:rFonts w:ascii="Arial" w:cs="Arial" w:eastAsia="Arial" w:hAnsi="Arial"/>
          <w:sz w:val="17"/>
          <w:szCs w:val="17"/>
          <w:color w:val="auto"/>
        </w:rPr>
      </w:pPr>
    </w:p>
    <w:p>
      <w:pPr>
        <w:jc w:val="both"/>
        <w:ind w:firstLine="8"/>
        <w:spacing w:after="0" w:line="296" w:lineRule="auto"/>
        <w:tabs>
          <w:tab w:leader="none" w:pos="257"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Application of Takeover Protections</w:t>
      </w:r>
      <w:r>
        <w:rPr>
          <w:rFonts w:ascii="Arial" w:cs="Arial" w:eastAsia="Arial" w:hAnsi="Arial"/>
          <w:sz w:val="16"/>
          <w:szCs w:val="16"/>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9" w:name="page60"/>
    <w:bookmarkEnd w:id="59"/>
    <w:p>
      <w:pPr>
        <w:jc w:val="both"/>
        <w:ind w:firstLine="8"/>
        <w:spacing w:after="0" w:line="289" w:lineRule="auto"/>
        <w:tabs>
          <w:tab w:leader="none" w:pos="27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66" w:lineRule="exact"/>
        <w:rPr>
          <w:rFonts w:ascii="Arial" w:cs="Arial" w:eastAsia="Arial" w:hAnsi="Arial"/>
          <w:sz w:val="16"/>
          <w:szCs w:val="16"/>
          <w:color w:val="auto"/>
        </w:rPr>
      </w:pPr>
    </w:p>
    <w:p>
      <w:pPr>
        <w:jc w:val="both"/>
        <w:ind w:firstLine="8"/>
        <w:spacing w:after="0" w:line="296" w:lineRule="auto"/>
        <w:tabs>
          <w:tab w:leader="none" w:pos="25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No Integrated Offering</w:t>
      </w:r>
      <w:r>
        <w:rPr>
          <w:rFonts w:ascii="Arial" w:cs="Arial" w:eastAsia="Arial" w:hAnsi="Arial"/>
          <w:sz w:val="16"/>
          <w:szCs w:val="16"/>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Preferred Investment Options or Preferred Investment Option Shares under the Securities Act, or (ii) any applicable shareholder approval provisions of any Trading Market on which any of the securities of the Company are listed or designated.</w:t>
      </w:r>
    </w:p>
    <w:p>
      <w:pPr>
        <w:spacing w:after="0" w:line="161" w:lineRule="exact"/>
        <w:rPr>
          <w:sz w:val="20"/>
          <w:szCs w:val="20"/>
          <w:color w:val="auto"/>
        </w:rPr>
      </w:pPr>
    </w:p>
    <w:p>
      <w:pPr>
        <w:jc w:val="both"/>
        <w:ind w:firstLine="8"/>
        <w:spacing w:after="0" w:line="283" w:lineRule="auto"/>
        <w:tabs>
          <w:tab w:leader="none" w:pos="333"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Except as disclosed in the SEC Reports,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set forth therein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in excess of $50,000 (other than trade accounts payable incurred in the ordinary course of business),</w:t>
      </w:r>
    </w:p>
    <w:p>
      <w:pPr>
        <w:spacing w:after="0" w:line="1" w:lineRule="exact"/>
        <w:rPr>
          <w:rFonts w:ascii="Arial" w:cs="Arial" w:eastAsia="Arial" w:hAnsi="Arial"/>
          <w:sz w:val="16"/>
          <w:szCs w:val="16"/>
          <w:color w:val="auto"/>
        </w:rPr>
      </w:pPr>
    </w:p>
    <w:p>
      <w:pPr>
        <w:jc w:val="both"/>
        <w:ind w:firstLine="8"/>
        <w:spacing w:after="0" w:line="295" w:lineRule="auto"/>
        <w:tabs>
          <w:tab w:leader="none" w:pos="259"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jc w:val="both"/>
        <w:ind w:firstLine="8"/>
        <w:spacing w:after="0" w:line="254" w:lineRule="auto"/>
        <w:tabs>
          <w:tab w:leader="none" w:pos="349"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94" w:lineRule="exact"/>
        <w:rPr>
          <w:rFonts w:ascii="Arial" w:cs="Arial" w:eastAsia="Arial" w:hAnsi="Arial"/>
          <w:sz w:val="18"/>
          <w:szCs w:val="18"/>
          <w:color w:val="auto"/>
        </w:rPr>
      </w:pPr>
    </w:p>
    <w:p>
      <w:pPr>
        <w:jc w:val="both"/>
        <w:ind w:firstLine="8"/>
        <w:spacing w:after="0" w:line="255" w:lineRule="auto"/>
        <w:tabs>
          <w:tab w:leader="none" w:pos="34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92" w:lineRule="exact"/>
        <w:rPr>
          <w:rFonts w:ascii="Arial" w:cs="Arial" w:eastAsia="Arial" w:hAnsi="Arial"/>
          <w:sz w:val="18"/>
          <w:szCs w:val="18"/>
          <w:color w:val="auto"/>
        </w:rPr>
      </w:pPr>
    </w:p>
    <w:p>
      <w:pPr>
        <w:jc w:val="both"/>
        <w:ind w:firstLine="8"/>
        <w:spacing w:after="0" w:line="263" w:lineRule="auto"/>
        <w:tabs>
          <w:tab w:leader="none" w:pos="33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Accountants</w:t>
      </w:r>
      <w:r>
        <w:rPr>
          <w:rFonts w:ascii="Arial" w:cs="Arial" w:eastAsia="Arial" w:hAnsi="Arial"/>
          <w:sz w:val="18"/>
          <w:szCs w:val="18"/>
          <w:color w:val="auto"/>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2023.</w:t>
      </w:r>
    </w:p>
    <w:p>
      <w:pPr>
        <w:spacing w:after="0" w:line="183" w:lineRule="exact"/>
        <w:rPr>
          <w:rFonts w:ascii="Arial" w:cs="Arial" w:eastAsia="Arial" w:hAnsi="Arial"/>
          <w:sz w:val="18"/>
          <w:szCs w:val="18"/>
          <w:color w:val="auto"/>
        </w:rPr>
      </w:pPr>
    </w:p>
    <w:p>
      <w:pPr>
        <w:jc w:val="both"/>
        <w:ind w:firstLine="8"/>
        <w:spacing w:after="0" w:line="291" w:lineRule="auto"/>
        <w:tabs>
          <w:tab w:leader="none" w:pos="318"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Purchasers’ Purchase of Securities</w:t>
      </w:r>
      <w:r>
        <w:rPr>
          <w:rFonts w:ascii="Arial" w:cs="Arial" w:eastAsia="Arial" w:hAnsi="Arial"/>
          <w:sz w:val="16"/>
          <w:szCs w:val="16"/>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jc w:val="both"/>
        <w:ind w:firstLine="8"/>
        <w:spacing w:after="0" w:line="268" w:lineRule="auto"/>
        <w:tabs>
          <w:tab w:leader="none" w:pos="278"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Trading Activity</w:t>
      </w:r>
      <w:r>
        <w:rPr>
          <w:rFonts w:ascii="Arial" w:cs="Arial" w:eastAsia="Arial" w:hAnsi="Arial"/>
          <w:sz w:val="17"/>
          <w:szCs w:val="17"/>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6" w:lineRule="exact"/>
        <w:rPr>
          <w:rFonts w:ascii="Arial" w:cs="Arial" w:eastAsia="Arial" w:hAnsi="Arial"/>
          <w:sz w:val="17"/>
          <w:szCs w:val="17"/>
          <w:color w:val="auto"/>
        </w:rPr>
      </w:pPr>
    </w:p>
    <w:p>
      <w:pPr>
        <w:jc w:val="both"/>
        <w:ind w:firstLine="8"/>
        <w:spacing w:after="0" w:line="257" w:lineRule="auto"/>
        <w:tabs>
          <w:tab w:leader="none" w:pos="36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Regulation M Compliance</w:t>
      </w:r>
      <w:r>
        <w:rPr>
          <w:rFonts w:ascii="Arial" w:cs="Arial" w:eastAsia="Arial" w:hAnsi="Arial"/>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7" w:lineRule="exact"/>
        <w:rPr>
          <w:rFonts w:ascii="Arial" w:cs="Arial" w:eastAsia="Arial" w:hAnsi="Arial"/>
          <w:sz w:val="18"/>
          <w:szCs w:val="18"/>
          <w:color w:val="auto"/>
        </w:rPr>
      </w:pPr>
    </w:p>
    <w:p>
      <w:pPr>
        <w:jc w:val="both"/>
        <w:ind w:firstLine="8"/>
        <w:spacing w:after="0" w:line="285" w:lineRule="auto"/>
        <w:tabs>
          <w:tab w:leader="none" w:pos="35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FDA</w:t>
      </w:r>
      <w:r>
        <w:rPr>
          <w:rFonts w:ascii="Arial" w:cs="Arial" w:eastAsia="Arial" w:hAnsi="Arial"/>
          <w:sz w:val="16"/>
          <w:szCs w:val="16"/>
          <w:color w:val="auto"/>
        </w:rPr>
        <w:t>. As to each product subject to the jurisdiction of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under the Federal Food, Drug and Cosmetic Act, as amended, and the regulations thereunder (“</w:t>
      </w:r>
      <w:r>
        <w:rPr>
          <w:rFonts w:ascii="Arial" w:cs="Arial" w:eastAsia="Arial" w:hAnsi="Arial"/>
          <w:sz w:val="16"/>
          <w:szCs w:val="16"/>
          <w:u w:val="single" w:color="auto"/>
          <w:color w:val="auto"/>
        </w:rPr>
        <w:t>FDCA</w:t>
      </w:r>
      <w:r>
        <w:rPr>
          <w:rFonts w:ascii="Arial" w:cs="Arial" w:eastAsia="Arial" w:hAnsi="Arial"/>
          <w:sz w:val="16"/>
          <w:szCs w:val="16"/>
          <w:color w:val="auto"/>
        </w:rPr>
        <w:t>”) that is manufactured, packaged, labeled, tested, distributed, sold, and/or marketed by the Company or any of its Subsidiaries (each such product, a “</w:t>
      </w:r>
      <w:r>
        <w:rPr>
          <w:rFonts w:ascii="Arial" w:cs="Arial" w:eastAsia="Arial" w:hAnsi="Arial"/>
          <w:sz w:val="16"/>
          <w:szCs w:val="16"/>
          <w:u w:val="single" w:color="auto"/>
          <w:color w:val="auto"/>
        </w:rPr>
        <w:t>Pharmaceutical Product</w:t>
      </w:r>
      <w:r>
        <w:rPr>
          <w:rFonts w:ascii="Arial" w:cs="Arial" w:eastAsia="Arial" w:hAnsi="Arial"/>
          <w:sz w:val="16"/>
          <w:szCs w:val="16"/>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2" w:name="page63"/>
    <w:bookmarkEnd w:id="62"/>
    <w:p>
      <w:pPr>
        <w:jc w:val="both"/>
        <w:ind w:firstLine="8"/>
        <w:spacing w:after="0" w:line="255" w:lineRule="auto"/>
        <w:tabs>
          <w:tab w:leader="none" w:pos="268"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Stock Option Plans</w:t>
      </w:r>
      <w:r>
        <w:rPr>
          <w:rFonts w:ascii="Arial" w:cs="Arial" w:eastAsia="Arial" w:hAnsi="Arial"/>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92" w:lineRule="exact"/>
        <w:rPr>
          <w:rFonts w:ascii="Arial" w:cs="Arial" w:eastAsia="Arial" w:hAnsi="Arial"/>
          <w:sz w:val="18"/>
          <w:szCs w:val="18"/>
          <w:color w:val="auto"/>
        </w:rPr>
      </w:pPr>
    </w:p>
    <w:p>
      <w:pPr>
        <w:jc w:val="both"/>
        <w:ind w:firstLine="8"/>
        <w:spacing w:after="0" w:line="269" w:lineRule="auto"/>
        <w:tabs>
          <w:tab w:leader="none" w:pos="279"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Cybersecurity</w:t>
      </w:r>
      <w:r>
        <w:rPr>
          <w:rFonts w:ascii="Arial" w:cs="Arial" w:eastAsia="Arial" w:hAnsi="Arial"/>
          <w:sz w:val="17"/>
          <w:szCs w:val="17"/>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Arial" w:cs="Arial" w:eastAsia="Arial" w:hAnsi="Arial"/>
          <w:sz w:val="17"/>
          <w:szCs w:val="17"/>
          <w:u w:val="single" w:color="auto"/>
          <w:color w:val="auto"/>
        </w:rPr>
        <w:t>IT Systems and Data</w:t>
      </w:r>
      <w:r>
        <w:rPr>
          <w:rFonts w:ascii="Arial" w:cs="Arial" w:eastAsia="Arial" w:hAnsi="Arial"/>
          <w:sz w:val="17"/>
          <w:szCs w:val="17"/>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3" w:name="page64"/>
    <w:bookmarkEnd w:id="63"/>
    <w:p>
      <w:pPr>
        <w:jc w:val="both"/>
        <w:ind w:firstLine="8"/>
        <w:spacing w:after="0" w:line="263" w:lineRule="auto"/>
        <w:tabs>
          <w:tab w:leader="none" w:pos="36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8"/>
        <w:spacing w:after="0" w:line="277" w:lineRule="auto"/>
        <w:tabs>
          <w:tab w:leader="none" w:pos="26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U.S. Real Property Holding Corporation</w:t>
      </w:r>
      <w:r>
        <w:rPr>
          <w:rFonts w:ascii="Arial" w:cs="Arial" w:eastAsia="Arial" w:hAnsi="Arial"/>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70" w:lineRule="exact"/>
        <w:rPr>
          <w:rFonts w:ascii="Arial" w:cs="Arial" w:eastAsia="Arial" w:hAnsi="Arial"/>
          <w:sz w:val="18"/>
          <w:szCs w:val="18"/>
          <w:color w:val="auto"/>
        </w:rPr>
      </w:pPr>
    </w:p>
    <w:p>
      <w:pPr>
        <w:jc w:val="both"/>
        <w:ind w:firstLine="8"/>
        <w:spacing w:after="0" w:line="255" w:lineRule="auto"/>
        <w:tabs>
          <w:tab w:leader="none" w:pos="46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Bank Holding Company Act</w:t>
      </w:r>
      <w:r>
        <w:rPr>
          <w:rFonts w:ascii="Arial" w:cs="Arial" w:eastAsia="Arial" w:hAnsi="Arial"/>
          <w:sz w:val="18"/>
          <w:szCs w:val="18"/>
          <w:color w:val="auto"/>
        </w:rPr>
        <w:t>. Neither the Company nor any of its Subsidiaries or Affiliates is subject to the Bank Holding Company Act of 1956, as amended (the “</w:t>
      </w:r>
      <w:r>
        <w:rPr>
          <w:rFonts w:ascii="Arial" w:cs="Arial" w:eastAsia="Arial" w:hAnsi="Arial"/>
          <w:sz w:val="18"/>
          <w:szCs w:val="18"/>
          <w:u w:val="single" w:color="auto"/>
          <w:color w:val="auto"/>
        </w:rPr>
        <w:t>BHCA</w:t>
      </w:r>
      <w:r>
        <w:rPr>
          <w:rFonts w:ascii="Arial" w:cs="Arial" w:eastAsia="Arial" w:hAnsi="Arial"/>
          <w:sz w:val="18"/>
          <w:szCs w:val="18"/>
          <w:color w:val="auto"/>
        </w:rPr>
        <w:t>”) and to regulation by the Board of Governors of the Federal Reserve System (the “</w:t>
      </w:r>
      <w:r>
        <w:rPr>
          <w:rFonts w:ascii="Arial" w:cs="Arial" w:eastAsia="Arial" w:hAnsi="Arial"/>
          <w:sz w:val="18"/>
          <w:szCs w:val="18"/>
          <w:u w:val="single" w:color="auto"/>
          <w:color w:val="auto"/>
        </w:rPr>
        <w:t>Federal Reserve</w:t>
      </w:r>
      <w:r>
        <w:rPr>
          <w:rFonts w:ascii="Arial" w:cs="Arial" w:eastAsia="Arial" w:hAnsi="Arial"/>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92" w:lineRule="exact"/>
        <w:rPr>
          <w:rFonts w:ascii="Arial" w:cs="Arial" w:eastAsia="Arial" w:hAnsi="Arial"/>
          <w:sz w:val="18"/>
          <w:szCs w:val="18"/>
          <w:color w:val="auto"/>
        </w:rPr>
      </w:pPr>
    </w:p>
    <w:p>
      <w:pPr>
        <w:jc w:val="both"/>
        <w:ind w:firstLine="8"/>
        <w:spacing w:after="0" w:line="275" w:lineRule="auto"/>
        <w:tabs>
          <w:tab w:leader="none" w:pos="356"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76" w:lineRule="exact"/>
        <w:rPr>
          <w:rFonts w:ascii="Arial" w:cs="Arial" w:eastAsia="Arial" w:hAnsi="Arial"/>
          <w:sz w:val="17"/>
          <w:szCs w:val="17"/>
          <w:color w:val="auto"/>
        </w:rPr>
      </w:pPr>
    </w:p>
    <w:p>
      <w:pPr>
        <w:jc w:val="both"/>
        <w:ind w:firstLine="8"/>
        <w:spacing w:after="0" w:line="263" w:lineRule="auto"/>
        <w:tabs>
          <w:tab w:leader="none" w:pos="35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Assuming the accuracy of the Purchasers’ representations and warranties set forth in Section 3.2, no registration under the Securities Act is required for the offer and sale of the Preferred Investment Options or the Preferred Investment Option Shares by the Company to the Purchasers as contemplated hereby.</w:t>
      </w:r>
    </w:p>
    <w:p>
      <w:pPr>
        <w:spacing w:after="0" w:line="183" w:lineRule="exact"/>
        <w:rPr>
          <w:rFonts w:ascii="Arial" w:cs="Arial" w:eastAsia="Arial" w:hAnsi="Arial"/>
          <w:sz w:val="18"/>
          <w:szCs w:val="18"/>
          <w:color w:val="auto"/>
        </w:rPr>
      </w:pPr>
    </w:p>
    <w:p>
      <w:pPr>
        <w:jc w:val="both"/>
        <w:ind w:firstLine="8"/>
        <w:spacing w:after="0" w:line="259" w:lineRule="auto"/>
        <w:tabs>
          <w:tab w:leader="none" w:pos="348"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Company nor any Person acting on behalf of the Company has offered or sold any of the Preferred Investment Options or Preferred Investment Option Shares by any form of general solicitation or general advertising. The Company has offered the Preferred Investment Options and Preferred Investment Option Shares for sale only to the Purchasers and certain other “accredited investors” within the meaning of Rule 501 under the Securities Act.</w:t>
      </w:r>
    </w:p>
    <w:p>
      <w:pPr>
        <w:spacing w:after="0" w:line="186" w:lineRule="exact"/>
        <w:rPr>
          <w:rFonts w:ascii="Arial" w:cs="Arial" w:eastAsia="Arial" w:hAnsi="Arial"/>
          <w:sz w:val="18"/>
          <w:szCs w:val="18"/>
          <w:color w:val="auto"/>
        </w:rPr>
      </w:pPr>
    </w:p>
    <w:p>
      <w:pPr>
        <w:jc w:val="both"/>
        <w:ind w:firstLine="8"/>
        <w:spacing w:after="0" w:line="290" w:lineRule="auto"/>
        <w:tabs>
          <w:tab w:leader="none" w:pos="35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No Disqualification Events</w:t>
      </w:r>
      <w:r>
        <w:rPr>
          <w:rFonts w:ascii="Arial" w:cs="Arial" w:eastAsia="Arial" w:hAnsi="Arial"/>
          <w:sz w:val="16"/>
          <w:szCs w:val="16"/>
          <w:color w:val="auto"/>
        </w:rPr>
        <w:t>. With respect to the Preferred Investment Options and Preferred Investment Option Shares to be offered and sold hereunder in reliance on Rule 506 under the Securities Act, none of the Company, and to the Company’s knowledge any of its predecessors, affiliated issuer, director, executive officer, other officer of the Company participating in the offering hereunder, beneficial owner of 20% or more of the Company’s outstanding voting equity securities, calculated on the basis of voting power, nor promoter (as that term is defined in Rule 405 under the Securities Act) connected with the Company in any capacity at the time of sale (each, an “</w:t>
      </w:r>
      <w:r>
        <w:rPr>
          <w:rFonts w:ascii="Arial" w:cs="Arial" w:eastAsia="Arial" w:hAnsi="Arial"/>
          <w:sz w:val="16"/>
          <w:szCs w:val="16"/>
          <w:u w:val="single" w:color="auto"/>
          <w:color w:val="auto"/>
        </w:rPr>
        <w:t>Issuer Covered Person</w:t>
      </w:r>
      <w:r>
        <w:rPr>
          <w:rFonts w:ascii="Arial" w:cs="Arial" w:eastAsia="Arial" w:hAnsi="Arial"/>
          <w:sz w:val="16"/>
          <w:szCs w:val="16"/>
          <w:color w:val="auto"/>
        </w:rPr>
        <w:t>”) is subject to any of the “Bad Actor” disqualifications described in Rule 506(d)(1)(i) to (viii) under the Securities Act (a “</w:t>
      </w:r>
      <w:r>
        <w:rPr>
          <w:rFonts w:ascii="Arial" w:cs="Arial" w:eastAsia="Arial" w:hAnsi="Arial"/>
          <w:sz w:val="16"/>
          <w:szCs w:val="16"/>
          <w:u w:val="single" w:color="auto"/>
          <w:color w:val="auto"/>
        </w:rPr>
        <w:t>Disqualification Event</w:t>
      </w:r>
      <w:r>
        <w:rPr>
          <w:rFonts w:ascii="Arial" w:cs="Arial" w:eastAsia="Arial" w:hAnsi="Arial"/>
          <w:sz w:val="16"/>
          <w:szCs w:val="16"/>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ind w:firstLine="8"/>
        <w:spacing w:after="0" w:line="308" w:lineRule="auto"/>
        <w:tabs>
          <w:tab w:leader="none" w:pos="295"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Other Covered Persons</w:t>
      </w:r>
      <w:r>
        <w:rPr>
          <w:rFonts w:ascii="Arial" w:cs="Arial" w:eastAsia="Arial" w:hAnsi="Arial"/>
          <w:sz w:val="17"/>
          <w:szCs w:val="17"/>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46" w:lineRule="exact"/>
        <w:rPr>
          <w:rFonts w:ascii="Arial" w:cs="Arial" w:eastAsia="Arial" w:hAnsi="Arial"/>
          <w:sz w:val="17"/>
          <w:szCs w:val="17"/>
          <w:color w:val="auto"/>
        </w:rPr>
      </w:pPr>
    </w:p>
    <w:p>
      <w:pPr>
        <w:jc w:val="both"/>
        <w:ind w:firstLine="8"/>
        <w:spacing w:after="0" w:line="263" w:lineRule="auto"/>
        <w:tabs>
          <w:tab w:leader="none" w:pos="33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Notice of Disqualification Events</w:t>
      </w:r>
      <w:r>
        <w:rPr>
          <w:rFonts w:ascii="Arial" w:cs="Arial" w:eastAsia="Arial" w:hAnsi="Arial"/>
          <w:sz w:val="18"/>
          <w:szCs w:val="18"/>
          <w:color w:val="auto"/>
        </w:rPr>
        <w:t>. 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Representations and Warranties of the Purchasers</w:t>
      </w:r>
      <w:r>
        <w:rPr>
          <w:rFonts w:ascii="Arial" w:cs="Arial" w:eastAsia="Arial" w:hAnsi="Arial"/>
          <w:sz w:val="16"/>
          <w:szCs w:val="16"/>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24" w:lineRule="exact"/>
        <w:rPr>
          <w:sz w:val="20"/>
          <w:szCs w:val="20"/>
          <w:color w:val="auto"/>
        </w:rPr>
      </w:pPr>
    </w:p>
    <w:p>
      <w:pPr>
        <w:jc w:val="both"/>
        <w:ind w:left="380" w:firstLine="924"/>
        <w:spacing w:after="0" w:line="269" w:lineRule="auto"/>
        <w:tabs>
          <w:tab w:leader="none" w:pos="1549"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p>
      <w:pPr>
        <w:jc w:val="both"/>
        <w:ind w:firstLine="924"/>
        <w:spacing w:after="0" w:line="287" w:lineRule="auto"/>
        <w:tabs>
          <w:tab w:leader="none" w:pos="1194"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Understandings or Arrangements</w:t>
      </w:r>
      <w:r>
        <w:rPr>
          <w:rFonts w:ascii="Arial" w:cs="Arial" w:eastAsia="Arial" w:hAnsi="Arial"/>
          <w:sz w:val="16"/>
          <w:szCs w:val="16"/>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understands that the Preferred Investment Options and the Preferred Investment Option Shares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171" w:lineRule="exact"/>
        <w:rPr>
          <w:rFonts w:ascii="Arial" w:cs="Arial" w:eastAsia="Arial" w:hAnsi="Arial"/>
          <w:sz w:val="16"/>
          <w:szCs w:val="16"/>
          <w:color w:val="auto"/>
        </w:rPr>
      </w:pPr>
    </w:p>
    <w:p>
      <w:pPr>
        <w:jc w:val="both"/>
        <w:ind w:firstLine="654"/>
        <w:spacing w:after="0" w:line="286" w:lineRule="auto"/>
        <w:tabs>
          <w:tab w:leader="none" w:pos="893"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Purchaser Status</w:t>
      </w:r>
      <w:r>
        <w:rPr>
          <w:rFonts w:ascii="Arial" w:cs="Arial" w:eastAsia="Arial" w:hAnsi="Arial"/>
          <w:sz w:val="17"/>
          <w:szCs w:val="17"/>
          <w:color w:val="auto"/>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w:t>
      </w:r>
    </w:p>
    <w:p>
      <w:pPr>
        <w:spacing w:after="0" w:line="165" w:lineRule="exact"/>
        <w:rPr>
          <w:rFonts w:ascii="Arial" w:cs="Arial" w:eastAsia="Arial" w:hAnsi="Arial"/>
          <w:sz w:val="17"/>
          <w:szCs w:val="17"/>
          <w:color w:val="auto"/>
        </w:rPr>
      </w:pPr>
    </w:p>
    <w:p>
      <w:pPr>
        <w:jc w:val="both"/>
        <w:ind w:firstLine="924"/>
        <w:spacing w:after="0" w:line="259" w:lineRule="auto"/>
        <w:tabs>
          <w:tab w:leader="none" w:pos="1187"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6" w:lineRule="exact"/>
        <w:rPr>
          <w:rFonts w:ascii="Arial" w:cs="Arial" w:eastAsia="Arial" w:hAnsi="Arial"/>
          <w:sz w:val="18"/>
          <w:szCs w:val="18"/>
          <w:color w:val="auto"/>
        </w:rPr>
      </w:pPr>
    </w:p>
    <w:p>
      <w:pPr>
        <w:jc w:val="both"/>
        <w:ind w:firstLine="924"/>
        <w:spacing w:after="0" w:line="269" w:lineRule="auto"/>
        <w:tabs>
          <w:tab w:leader="none" w:pos="1159" w:val="left"/>
        </w:tabs>
        <w:numPr>
          <w:ilvl w:val="1"/>
          <w:numId w:val="72"/>
        </w:numPr>
        <w:rPr>
          <w:rFonts w:ascii="Arial" w:cs="Arial" w:eastAsia="Arial" w:hAnsi="Arial"/>
          <w:sz w:val="17"/>
          <w:szCs w:val="17"/>
          <w:color w:val="auto"/>
        </w:rPr>
      </w:pPr>
      <w:r>
        <w:rPr>
          <w:rFonts w:ascii="Arial" w:cs="Arial" w:eastAsia="Arial" w:hAnsi="Arial"/>
          <w:sz w:val="17"/>
          <w:szCs w:val="17"/>
          <w:u w:val="single" w:color="auto"/>
          <w:color w:val="auto"/>
        </w:rPr>
        <w:t>Access to Information</w:t>
      </w:r>
      <w:r>
        <w:rPr>
          <w:rFonts w:ascii="Arial" w:cs="Arial" w:eastAsia="Arial" w:hAnsi="Arial"/>
          <w:sz w:val="17"/>
          <w:szCs w:val="17"/>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7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700" w:top="692" w:right="339" w:bottom="1440" w:gutter="0" w:footer="0" w:header="0"/>
        </w:sectPr>
      </w:pPr>
    </w:p>
    <w:bookmarkStart w:id="66" w:name="page67"/>
    <w:bookmarkEnd w:id="66"/>
    <w:p>
      <w:pPr>
        <w:jc w:val="both"/>
        <w:ind w:left="380" w:firstLine="924"/>
        <w:spacing w:after="0" w:line="286" w:lineRule="auto"/>
        <w:tabs>
          <w:tab w:leader="none" w:pos="1531"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3" w:lineRule="exact"/>
        <w:rPr>
          <w:rFonts w:ascii="Arial" w:cs="Arial" w:eastAsia="Arial" w:hAnsi="Arial"/>
          <w:sz w:val="16"/>
          <w:szCs w:val="16"/>
          <w:color w:val="auto"/>
        </w:rPr>
      </w:pPr>
    </w:p>
    <w:p>
      <w:pPr>
        <w:jc w:val="both"/>
        <w:ind w:left="380" w:firstLine="924"/>
        <w:spacing w:after="0" w:line="263" w:lineRule="auto"/>
        <w:tabs>
          <w:tab w:leader="none" w:pos="159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General Solicitation</w:t>
      </w:r>
      <w:r>
        <w:rPr>
          <w:rFonts w:ascii="Arial" w:cs="Arial" w:eastAsia="Arial" w:hAnsi="Arial"/>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7" w:name="page68"/>
    <w:bookmarkEnd w:id="67"/>
    <w:p>
      <w:pPr>
        <w:jc w:val="center"/>
        <w:ind w:right="64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OTHER AGREEMENTS OF THE PARTIES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Removal of Legends</w:t>
      </w:r>
      <w:r>
        <w:rPr>
          <w:rFonts w:ascii="Arial" w:cs="Arial" w:eastAsia="Arial" w:hAnsi="Arial"/>
          <w:sz w:val="18"/>
          <w:szCs w:val="18"/>
          <w:color w:val="auto"/>
        </w:rPr>
        <w:t>.</w:t>
      </w:r>
    </w:p>
    <w:p>
      <w:pPr>
        <w:spacing w:after="0" w:line="225" w:lineRule="exact"/>
        <w:rPr>
          <w:sz w:val="20"/>
          <w:szCs w:val="20"/>
          <w:color w:val="auto"/>
        </w:rPr>
      </w:pPr>
    </w:p>
    <w:p>
      <w:pPr>
        <w:jc w:val="both"/>
        <w:ind w:left="160" w:hanging="2"/>
        <w:spacing w:after="0" w:line="293" w:lineRule="auto"/>
        <w:tabs>
          <w:tab w:leader="none" w:pos="419"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Preferred Investment Options and Preferred Investment Option Shares may only be disposed of in compliance with state and federal securities laws. In connection with any transfer of Preferred Investment Options or Preferred Investment Option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Preferred Investment Options under the Securities Act.</w:t>
      </w:r>
    </w:p>
    <w:p>
      <w:pPr>
        <w:spacing w:after="0" w:line="164" w:lineRule="exact"/>
        <w:rPr>
          <w:rFonts w:ascii="Arial" w:cs="Arial" w:eastAsia="Arial" w:hAnsi="Arial"/>
          <w:sz w:val="16"/>
          <w:szCs w:val="16"/>
          <w:color w:val="auto"/>
        </w:rPr>
      </w:pPr>
    </w:p>
    <w:p>
      <w:pPr>
        <w:ind w:left="160" w:hanging="2"/>
        <w:spacing w:after="0" w:line="277" w:lineRule="auto"/>
        <w:tabs>
          <w:tab w:leader="none" w:pos="41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Purchasers agree to the imprinting, so long as is required by this Section 4.1, of a legend on any of the Preferred Investment Options or Preferred Investment Option Shares in the following form:</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acknowledges and agrees that a Purchaser may from time to time pledge pursuant to a bona fide margin agreement with a registered broker-dealer or grant a security interest in some or all of the Preferred Investment Options or Preferred Investment Option Shares to a financial institution that is an “accredited investor” as defined in Rule 501(a) under the Securities Act and, if required under the terms of such arrangement, such Purchaser may transfer pledged or secured Preferred Investment Options or Preferred Investment Option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Preferred Investment Options and Preferred Investment Option Shares may reasonably request in connection with a pledge or transfer of the Preferred Investment Options or Preferred Investment Option Shares.</w:t>
      </w:r>
    </w:p>
    <w:p>
      <w:pPr>
        <w:spacing w:after="0" w:line="18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68" w:name="page69"/>
    <w:bookmarkEnd w:id="68"/>
    <w:p>
      <w:pPr>
        <w:jc w:val="both"/>
        <w:ind w:firstLine="8"/>
        <w:spacing w:after="0" w:line="284" w:lineRule="auto"/>
        <w:tabs>
          <w:tab w:leader="none" w:pos="248" w:val="left"/>
        </w:tabs>
        <w:numPr>
          <w:ilvl w:val="0"/>
          <w:numId w:val="75"/>
        </w:numPr>
        <w:rPr>
          <w:rFonts w:ascii="Arial" w:cs="Arial" w:eastAsia="Arial" w:hAnsi="Arial"/>
          <w:sz w:val="16"/>
          <w:szCs w:val="16"/>
          <w:color w:val="auto"/>
        </w:rPr>
      </w:pPr>
      <w:r>
        <w:rPr>
          <w:rFonts w:ascii="Arial" w:cs="Arial" w:eastAsia="Arial" w:hAnsi="Arial"/>
          <w:sz w:val="16"/>
          <w:szCs w:val="16"/>
          <w:color w:val="auto"/>
        </w:rPr>
        <w:t>Certificates evidencing the Preferred Investment Option Shares shall not contain any legend (including the legend set forth in Section 4.1(b) hereof): (i) while a registration statement covering the resale of such security is effective under the Securities Act, or (ii) following any sale of such Preferred Investment Option Shares pursuant to Rule 144 (assuming cashless exercise of the Preferred Investment Options), or (iii) if such Preferred Investment Option Shares are eligible for sale under Rule 144 (assuming cashless exercise of the Preferred Investment Options),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If all or any portion of a Preferred Investment Option is exercised at a time when there is an effective registration statement to cover the resale of the Preferred Investment Option Shares, or if such Preferred Investment Option Shares may be sold under Rule 144 (assuming cashless exercise of the Preferred Investment Options) or if such legend is not otherwise required under applicable requirements of the Securities Act (including judicial interpretations and pronouncements issued by the staff of the Commission) then such Preferred Investment Option Shares shall be issued free of all legends. The Company agrees that following such time as such legend is no longer required under this Section 4.1(c), the Company will, no later than the earlier of (i) two (2) Trading Days and (ii) the number of Trading Days comprising the Standard Settlement Period (as defined below) following the delivery by a Purchaser to the Company or the Transfer Agent of a certificate representing Preferred Investment Option Shares, as applicable, issued with a restrictive legend (such date, the “</w:t>
      </w:r>
      <w:r>
        <w:rPr>
          <w:rFonts w:ascii="Arial" w:cs="Arial" w:eastAsia="Arial" w:hAnsi="Arial"/>
          <w:sz w:val="16"/>
          <w:szCs w:val="16"/>
          <w:u w:val="single" w:color="auto"/>
          <w:color w:val="auto"/>
        </w:rPr>
        <w:t>Legend Removal Date</w:t>
      </w:r>
      <w:r>
        <w:rPr>
          <w:rFonts w:ascii="Arial" w:cs="Arial" w:eastAsia="Arial" w:hAnsi="Arial"/>
          <w:sz w:val="16"/>
          <w:szCs w:val="16"/>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Preferred Investment Option Shares subject to legend removal hereunder shall be transmitted by the Transfer Agent to the Purchaser by crediting the account of the Purchaser’s prime broker with the Depository Trust Company System as directed by such Purchaser.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a certificate representing Preferred Investment Option Shares issued with a restrictive legend.</w:t>
      </w:r>
    </w:p>
    <w:p>
      <w:pPr>
        <w:spacing w:after="0" w:line="181" w:lineRule="exact"/>
        <w:rPr>
          <w:rFonts w:ascii="Arial" w:cs="Arial" w:eastAsia="Arial" w:hAnsi="Arial"/>
          <w:sz w:val="16"/>
          <w:szCs w:val="16"/>
          <w:color w:val="auto"/>
        </w:rPr>
      </w:pPr>
    </w:p>
    <w:p>
      <w:pPr>
        <w:jc w:val="both"/>
        <w:ind w:firstLine="8"/>
        <w:spacing w:after="0" w:line="287" w:lineRule="auto"/>
        <w:tabs>
          <w:tab w:leader="none" w:pos="265"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addition to such Purchaser’s other available remedies, the Company shall pay to a Purchaser, in cash, (i) as partial liquidated damages and not as a penalty, for each $1,000 of Preferred Investment Option Shares (based on the VWAP of the Common Stock on the date such Securities are submitted to the Transfer Agent) delivered for removal of the restrictive legend and subject to Section 4.1(c), $10 per Trading Day (increasing to $20 per Trading Day five</w:t>
      </w:r>
    </w:p>
    <w:p>
      <w:pPr>
        <w:spacing w:after="0" w:line="2" w:lineRule="exact"/>
        <w:rPr>
          <w:rFonts w:ascii="Arial" w:cs="Arial" w:eastAsia="Arial" w:hAnsi="Arial"/>
          <w:sz w:val="16"/>
          <w:szCs w:val="16"/>
          <w:color w:val="auto"/>
        </w:rPr>
      </w:pPr>
    </w:p>
    <w:p>
      <w:pPr>
        <w:jc w:val="both"/>
        <w:spacing w:after="0" w:line="267" w:lineRule="auto"/>
        <w:rPr>
          <w:rFonts w:ascii="Arial" w:cs="Arial" w:eastAsia="Arial" w:hAnsi="Arial"/>
          <w:sz w:val="16"/>
          <w:szCs w:val="16"/>
          <w:color w:val="auto"/>
        </w:rPr>
      </w:pPr>
      <w:r>
        <w:rPr>
          <w:rFonts w:ascii="Arial" w:cs="Arial" w:eastAsia="Arial" w:hAnsi="Arial"/>
          <w:sz w:val="17"/>
          <w:szCs w:val="17"/>
          <w:color w:val="auto"/>
        </w:rPr>
        <w:t>(5) Trading Days after such damages have begun to accrue)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Arial" w:cs="Arial" w:eastAsia="Arial" w:hAnsi="Arial"/>
          <w:sz w:val="17"/>
          <w:szCs w:val="17"/>
          <w:u w:val="single" w:color="auto"/>
          <w:color w:val="auto"/>
        </w:rPr>
        <w:t>Buy-In Price</w:t>
      </w:r>
      <w:r>
        <w:rPr>
          <w:rFonts w:ascii="Arial" w:cs="Arial" w:eastAsia="Arial" w:hAnsi="Arial"/>
          <w:sz w:val="17"/>
          <w:szCs w:val="17"/>
          <w:color w:val="auto"/>
        </w:rPr>
        <w:t>”) over the product of (A) such number of Preferred Investment Option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Preferred Investment Option Shares (as the case may be) and ending on the date of such delivery and payment under this Section 4.1(d).</w:t>
      </w:r>
    </w:p>
    <w:p>
      <w:pPr>
        <w:spacing w:after="0" w:line="184" w:lineRule="exact"/>
        <w:rPr>
          <w:rFonts w:ascii="Arial" w:cs="Arial" w:eastAsia="Arial" w:hAnsi="Arial"/>
          <w:sz w:val="16"/>
          <w:szCs w:val="16"/>
          <w:color w:val="auto"/>
        </w:rPr>
      </w:pPr>
    </w:p>
    <w:p>
      <w:pPr>
        <w:jc w:val="both"/>
        <w:ind w:firstLine="8"/>
        <w:spacing w:after="0" w:line="288" w:lineRule="auto"/>
        <w:tabs>
          <w:tab w:leader="none" w:pos="24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Shares, the Pre-Funded Warrants and the Pre-Funded Warrant Shares shall be issued free of legends.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best efforts to keep a registration statement (including the Registration Statement) registering the issuance or resale of the Pre-Funded Warrant Shares effective during the term of the Pre-Funded Warrants.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Furnishing of 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8"/>
        <w:spacing w:after="0" w:line="263" w:lineRule="auto"/>
        <w:tabs>
          <w:tab w:leader="none" w:pos="261"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Until the earlier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3" w:lineRule="exact"/>
        <w:rPr>
          <w:rFonts w:ascii="Arial" w:cs="Arial" w:eastAsia="Arial" w:hAnsi="Arial"/>
          <w:sz w:val="18"/>
          <w:szCs w:val="18"/>
          <w:color w:val="auto"/>
        </w:rPr>
      </w:pPr>
    </w:p>
    <w:p>
      <w:pPr>
        <w:jc w:val="both"/>
        <w:ind w:firstLine="8"/>
        <w:spacing w:after="0" w:line="283" w:lineRule="auto"/>
        <w:tabs>
          <w:tab w:leader="none" w:pos="265" w:val="left"/>
        </w:tabs>
        <w:numPr>
          <w:ilvl w:val="0"/>
          <w:numId w:val="76"/>
        </w:numPr>
        <w:rPr>
          <w:rFonts w:ascii="Arial" w:cs="Arial" w:eastAsia="Arial" w:hAnsi="Arial"/>
          <w:sz w:val="16"/>
          <w:szCs w:val="16"/>
          <w:color w:val="auto"/>
        </w:rPr>
      </w:pPr>
      <w:r>
        <w:rPr>
          <w:rFonts w:ascii="Arial" w:cs="Arial" w:eastAsia="Arial" w:hAnsi="Arial"/>
          <w:sz w:val="16"/>
          <w:szCs w:val="16"/>
          <w:color w:val="auto"/>
        </w:rPr>
        <w:t>At any time during the period commencing from the six (6) month anniversary of the date hereof and ending at such time that all of the Preferred Investment Option Shares (assuming cashless exercise)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Arial" w:cs="Arial" w:eastAsia="Arial" w:hAnsi="Arial"/>
          <w:sz w:val="16"/>
          <w:szCs w:val="16"/>
          <w:u w:val="single" w:color="auto"/>
          <w:color w:val="auto"/>
        </w:rPr>
        <w:t>Public Information Failure</w:t>
      </w:r>
      <w:r>
        <w:rPr>
          <w:rFonts w:ascii="Arial" w:cs="Arial" w:eastAsia="Arial" w:hAnsi="Arial"/>
          <w:sz w:val="16"/>
          <w:szCs w:val="16"/>
          <w:color w:val="auto"/>
        </w:rPr>
        <w:t>”) then, in addition to such Purchaser’s other available remedies, the Company shall pay to a Purchaser, in cash, as partial liquidated damages and not as a penalty, by reason of any such delay in or reduction of its ability to sell the Preferred Investment Option Shares, an amount in cash equal to two percent (2.0%) of the aggregate Exercise Price of such Purchaser’s Preferred</w:t>
      </w:r>
    </w:p>
    <w:p>
      <w:pPr>
        <w:spacing w:after="0" w:line="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Investment Options on the day of a Public Information Failure and on every thirtieth (30</w:t>
      </w:r>
      <w:r>
        <w:rPr>
          <w:rFonts w:ascii="Arial" w:cs="Arial" w:eastAsia="Arial" w:hAnsi="Arial"/>
          <w:sz w:val="26"/>
          <w:szCs w:val="26"/>
          <w:color w:val="auto"/>
          <w:vertAlign w:val="superscript"/>
        </w:rPr>
        <w:t>th</w:t>
      </w:r>
      <w:r>
        <w:rPr>
          <w:rFonts w:ascii="Arial" w:cs="Arial" w:eastAsia="Arial" w:hAnsi="Arial"/>
          <w:sz w:val="16"/>
          <w:szCs w:val="16"/>
          <w:color w:val="auto"/>
        </w:rPr>
        <w:t>) day (pro rated for periods totaling less than thirty days) thereafter until the earlier of (a) the date such Public Information Failure is cured and (b) such time that such public information is no longer required for the Purchasers to transfer the Preferred Investment Option Shares pursuant to Rule 144. The payments to which a Purchaser shall be entitled pursuant to this Section 4.2(b) are referred to herein as “</w:t>
      </w:r>
      <w:r>
        <w:rPr>
          <w:rFonts w:ascii="Arial" w:cs="Arial" w:eastAsia="Arial" w:hAnsi="Arial"/>
          <w:sz w:val="16"/>
          <w:szCs w:val="16"/>
          <w:u w:val="single" w:color="auto"/>
          <w:color w:val="auto"/>
        </w:rPr>
        <w:t>Public Information Failure Payments</w:t>
      </w:r>
      <w:r>
        <w:rPr>
          <w:rFonts w:ascii="Arial" w:cs="Arial" w:eastAsia="Arial" w:hAnsi="Arial"/>
          <w:sz w:val="16"/>
          <w:szCs w:val="16"/>
          <w:color w:val="auto"/>
        </w:rPr>
        <w:t>.” Public Information Failure Payments shall be paid on the earlier of (i)</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last day of the calendar month during which such Public Information Failure Payments are incurred and (ii) the third (3</w:t>
      </w:r>
      <w:r>
        <w:rPr>
          <w:rFonts w:ascii="Arial" w:cs="Arial" w:eastAsia="Arial" w:hAnsi="Arial"/>
          <w:sz w:val="26"/>
          <w:szCs w:val="26"/>
          <w:color w:val="auto"/>
          <w:vertAlign w:val="superscript"/>
        </w:rPr>
        <w:t>rd</w:t>
      </w:r>
      <w:r>
        <w:rPr>
          <w:rFonts w:ascii="Arial" w:cs="Arial" w:eastAsia="Arial" w:hAnsi="Arial"/>
          <w:sz w:val="16"/>
          <w:szCs w:val="16"/>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Integration</w:t>
      </w:r>
      <w:r>
        <w:rPr>
          <w:rFonts w:ascii="Arial" w:cs="Arial" w:eastAsia="Arial" w:hAnsi="Arial"/>
          <w:sz w:val="17"/>
          <w:szCs w:val="17"/>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Preferred Investment Options or Preferred Investment Option Shares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0" w:name="page71"/>
    <w:bookmarkEnd w:id="70"/>
    <w:p>
      <w:pPr>
        <w:jc w:val="both"/>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Non-Public Information</w:t>
      </w:r>
      <w:r>
        <w:rPr>
          <w:rFonts w:ascii="Arial" w:cs="Arial" w:eastAsia="Arial" w:hAnsi="Arial"/>
          <w:sz w:val="16"/>
          <w:szCs w:val="16"/>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Company shall use the net proceeds from the sale of the Securities hereunder for working capital and general corporate purposes and shall not use such proceeds: (a) for the satisfaction of any portion of the Company’s debt (other than payment of trade payables in the ordinary course of the Company’s business and prior practices); or (b) for the redemption of any Common Stock or Common Stock Equivalents.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1" w:name="page72"/>
    <w:bookmarkEnd w:id="71"/>
    <w:p>
      <w:pPr>
        <w:jc w:val="both"/>
        <w:spacing w:after="0" w:line="283"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Preferred Investment Option Shares issued and issuable upon exercise of the Preferred Investment Options,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2" w:name="page73"/>
    <w:bookmarkEnd w:id="72"/>
    <w:p>
      <w:pPr>
        <w:jc w:val="both"/>
        <w:spacing w:after="0" w:line="26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Listing of Common Stock</w:t>
      </w:r>
      <w:r>
        <w:rPr>
          <w:rFonts w:ascii="Arial" w:cs="Arial" w:eastAsia="Arial" w:hAnsi="Arial"/>
          <w:sz w:val="17"/>
          <w:szCs w:val="17"/>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Subsequent Equity Sales</w:t>
      </w:r>
      <w:r>
        <w:rPr>
          <w:rFonts w:ascii="Arial" w:cs="Arial" w:eastAsia="Arial" w:hAnsi="Arial"/>
          <w:sz w:val="18"/>
          <w:szCs w:val="18"/>
          <w:color w:val="auto"/>
        </w:rPr>
        <w:t>.</w:t>
      </w:r>
    </w:p>
    <w:p>
      <w:pPr>
        <w:spacing w:after="0" w:line="225" w:lineRule="exact"/>
        <w:rPr>
          <w:sz w:val="20"/>
          <w:szCs w:val="20"/>
          <w:color w:val="auto"/>
        </w:rPr>
      </w:pPr>
    </w:p>
    <w:p>
      <w:pPr>
        <w:jc w:val="both"/>
        <w:ind w:firstLine="8"/>
        <w:spacing w:after="0" w:line="259" w:lineRule="auto"/>
        <w:tabs>
          <w:tab w:leader="none" w:pos="276" w:val="left"/>
        </w:tabs>
        <w:numPr>
          <w:ilvl w:val="0"/>
          <w:numId w:val="77"/>
        </w:numPr>
        <w:rPr>
          <w:rFonts w:ascii="Arial" w:cs="Arial" w:eastAsia="Arial" w:hAnsi="Arial"/>
          <w:sz w:val="18"/>
          <w:szCs w:val="18"/>
          <w:color w:val="auto"/>
        </w:rPr>
      </w:pPr>
      <w:r>
        <w:rPr>
          <w:rFonts w:ascii="Arial" w:cs="Arial" w:eastAsia="Arial" w:hAnsi="Arial"/>
          <w:sz w:val="18"/>
          <w:szCs w:val="18"/>
          <w:color w:val="auto"/>
        </w:rPr>
        <w:t>From the date hereof until five (5) Trading Days after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the Prospectus Supplement and filing a registration statement on Form S-8 in connection with any employee benefit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3" w:name="page74"/>
    <w:bookmarkEnd w:id="73"/>
    <w:p>
      <w:pPr>
        <w:jc w:val="both"/>
        <w:ind w:firstLine="8"/>
        <w:spacing w:after="0" w:line="287" w:lineRule="auto"/>
        <w:tabs>
          <w:tab w:leader="none" w:pos="261" w:val="left"/>
        </w:tabs>
        <w:numPr>
          <w:ilvl w:val="0"/>
          <w:numId w:val="78"/>
        </w:numPr>
        <w:rPr>
          <w:rFonts w:ascii="Arial" w:cs="Arial" w:eastAsia="Arial" w:hAnsi="Arial"/>
          <w:sz w:val="16"/>
          <w:szCs w:val="16"/>
          <w:color w:val="auto"/>
        </w:rPr>
      </w:pPr>
      <w:r>
        <w:rPr>
          <w:rFonts w:ascii="Arial" w:cs="Arial" w:eastAsia="Arial" w:hAnsi="Arial"/>
          <w:sz w:val="16"/>
          <w:szCs w:val="16"/>
          <w:color w:val="auto"/>
        </w:rPr>
        <w:t>From the date hereof until the one year anniversary of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Arial" w:cs="Arial" w:eastAsia="Arial" w:hAnsi="Arial"/>
          <w:sz w:val="16"/>
          <w:szCs w:val="16"/>
          <w:u w:val="single" w:color="auto"/>
          <w:color w:val="auto"/>
        </w:rPr>
        <w:t>Variable Rate Transaction</w:t>
      </w:r>
      <w:r>
        <w:rPr>
          <w:rFonts w:ascii="Arial" w:cs="Arial" w:eastAsia="Arial" w:hAnsi="Arial"/>
          <w:sz w:val="16"/>
          <w:szCs w:val="16"/>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six months following the Closing Date, the issuance of shares of Common Stock in an “at the market” offering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spacing w:after="0" w:line="167" w:lineRule="exact"/>
        <w:rPr>
          <w:rFonts w:ascii="Arial" w:cs="Arial" w:eastAsia="Arial" w:hAnsi="Arial"/>
          <w:sz w:val="16"/>
          <w:szCs w:val="16"/>
          <w:color w:val="auto"/>
        </w:rPr>
      </w:pPr>
    </w:p>
    <w:p>
      <w:pPr>
        <w:ind w:firstLine="8"/>
        <w:spacing w:after="0" w:line="277" w:lineRule="auto"/>
        <w:tabs>
          <w:tab w:leader="none" w:pos="251"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the foregoing, this Section 4.11 shall not apply in respect of an Exempt Issuance, except that no Variable Rate Transaction shall be an Exempt Issuance.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Equal Treatment of Purchasers</w:t>
      </w:r>
      <w:r>
        <w:rPr>
          <w:rFonts w:ascii="Arial" w:cs="Arial" w:eastAsia="Arial" w:hAnsi="Arial"/>
          <w:sz w:val="17"/>
          <w:szCs w:val="17"/>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4" w:name="page75"/>
    <w:bookmarkEnd w:id="74"/>
    <w:p>
      <w:pPr>
        <w:jc w:val="both"/>
        <w:spacing w:after="0" w:line="275"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Exercise Procedures</w:t>
      </w:r>
      <w:r>
        <w:rPr>
          <w:rFonts w:ascii="Arial" w:cs="Arial" w:eastAsia="Arial" w:hAnsi="Arial"/>
          <w:sz w:val="17"/>
          <w:szCs w:val="17"/>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Form D; Blue Sky Filings</w:t>
      </w:r>
      <w:r>
        <w:rPr>
          <w:rFonts w:ascii="Arial" w:cs="Arial" w:eastAsia="Arial" w:hAnsi="Arial"/>
          <w:sz w:val="17"/>
          <w:szCs w:val="17"/>
          <w:color w:val="auto"/>
        </w:rPr>
        <w:t>. The Company agrees to timely file a Form D with respect to the Preferred Investment Options and Preferred Investment Option Shares as required under Regulation D and to provide a copy thereof, promptly upon request of any Purchaser. The Company shall take such action as the Company shall reasonably determine is necessary in order to obtain an exemption for, or to qualify the Preferred Investment Options and Preferred Investment Option Shares for, sale to the Purchasers at the Closing under applicable securities or “Blue Sky” laws of the states of the United States, and shall provide evidence of such actions promptly upon request of any Purchaser.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w:t>
      </w:r>
    </w:p>
    <w:p>
      <w:pPr>
        <w:jc w:val="both"/>
        <w:spacing w:after="0" w:line="211" w:lineRule="auto"/>
        <w:rPr>
          <w:sz w:val="20"/>
          <w:szCs w:val="20"/>
          <w:color w:val="auto"/>
        </w:rPr>
      </w:pPr>
      <w:r>
        <w:rPr>
          <w:rFonts w:ascii="Arial" w:cs="Arial" w:eastAsia="Arial" w:hAnsi="Arial"/>
          <w:sz w:val="18"/>
          <w:szCs w:val="18"/>
          <w:color w:val="auto"/>
        </w:rPr>
        <w:t>before the fifth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5" w:name="page76"/>
    <w:bookmarkEnd w:id="75"/>
    <w:p>
      <w:pPr>
        <w:jc w:val="both"/>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4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w:t>
      </w:r>
    </w:p>
    <w:p>
      <w:pPr>
        <w:spacing w:after="0" w:line="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hereto on a day that is not a Trading Day or later than 5:30 p.m. (New York City time) on any Trading Day, (c)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Amendments; Waivers</w:t>
      </w:r>
      <w:r>
        <w:rPr>
          <w:rFonts w:ascii="Arial" w:cs="Arial" w:eastAsia="Arial" w:hAnsi="Arial"/>
          <w:sz w:val="17"/>
          <w:szCs w:val="17"/>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6" w:name="page77"/>
    <w:bookmarkEnd w:id="76"/>
    <w:p>
      <w:pPr>
        <w:jc w:val="both"/>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The Placement Agent shall be the third party beneficiary of the representations and warranties of the Company in Section</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7" w:name="page78"/>
    <w:bookmarkEnd w:id="77"/>
    <w:p>
      <w:pPr>
        <w:jc w:val="both"/>
        <w:spacing w:after="0" w:line="275"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by any other electronic means, such signature shall create a valid and binding obligation of the party executing (or on whose behalf such signature is executed) with the same force and effect as if such “.pdf” or electronic signature page were an original thereof.</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Rescission and Withdrawal Right</w:t>
      </w:r>
      <w:r>
        <w:rPr>
          <w:rFonts w:ascii="Arial" w:cs="Arial" w:eastAsia="Arial" w:hAnsi="Arial"/>
          <w:sz w:val="17"/>
          <w:szCs w:val="17"/>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8" w:name="page79"/>
    <w:bookmarkEnd w:id="78"/>
    <w:p>
      <w:pPr>
        <w:jc w:val="both"/>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7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u w:val="single" w:color="auto"/>
          <w:color w:val="auto"/>
        </w:rPr>
        <w:t>Liquidated Damages</w:t>
      </w:r>
      <w:r>
        <w:rPr>
          <w:rFonts w:ascii="Arial" w:cs="Arial" w:eastAsia="Arial" w:hAnsi="Arial"/>
          <w:sz w:val="16"/>
          <w:szCs w:val="16"/>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9" w:name="page80"/>
    <w:bookmarkEnd w:id="79"/>
    <w:p>
      <w:pPr>
        <w:jc w:val="both"/>
        <w:spacing w:after="0" w:line="275"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 ANY ACTION, SUIT, OR PROCEEDING IN ANY JURISDICTION BROUGHT BY ANY PARTY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0" w:name="page81"/>
    <w:bookmarkEnd w:id="80"/>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6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b w:val="1"/>
          <w:bCs w:val="1"/>
          <w:color w:val="auto"/>
        </w:rPr>
        <w:t>MICROBOT MEDICAL INC.</w:t>
      </w:r>
      <w:r>
        <w:rPr>
          <w:sz w:val="20"/>
          <w:szCs w:val="20"/>
          <w:color w:val="auto"/>
        </w:rPr>
        <w:tab/>
      </w:r>
      <w:r>
        <w:rPr>
          <w:rFonts w:ascii="Arial" w:cs="Arial" w:eastAsia="Arial" w:hAnsi="Arial"/>
          <w:sz w:val="16"/>
          <w:szCs w:val="16"/>
          <w:u w:val="single" w:color="auto"/>
          <w:color w:val="auto"/>
        </w:rPr>
        <w:t>Address for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84607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E-Mail: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FOR PURCHASER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t>[PURCHASER SIGNATURE PAGES TO MBOT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 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_________________</w:t>
      </w:r>
    </w:p>
    <w:p>
      <w:pPr>
        <w:spacing w:after="0" w:line="18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Pre-Funded Warrants: _______________ Beneficial Ownership Blocker </w:t>
      </w:r>
      <w:r>
        <w:rPr>
          <w:rFonts w:ascii="MS PGothic" w:cs="MS PGothic" w:eastAsia="MS PGothic" w:hAnsi="MS PGothic"/>
          <w:sz w:val="18"/>
          <w:szCs w:val="18"/>
          <w:color w:val="auto"/>
        </w:rPr>
        <w:t>☐</w:t>
      </w:r>
      <w:r>
        <w:rPr>
          <w:rFonts w:ascii="Arial" w:cs="Arial" w:eastAsia="Arial" w:hAnsi="Arial"/>
          <w:sz w:val="18"/>
          <w:szCs w:val="18"/>
          <w:color w:val="auto"/>
        </w:rPr>
        <w:t xml:space="preserve"> 4.99% or </w:t>
      </w:r>
      <w:r>
        <w:rPr>
          <w:rFonts w:ascii="MS PGothic" w:cs="MS PGothic" w:eastAsia="MS PGothic" w:hAnsi="MS PGothic"/>
          <w:sz w:val="18"/>
          <w:szCs w:val="18"/>
          <w:color w:val="auto"/>
        </w:rPr>
        <w:t>☐</w:t>
      </w:r>
      <w:r>
        <w:rPr>
          <w:rFonts w:ascii="Arial" w:cs="Arial" w:eastAsia="Arial" w:hAnsi="Arial"/>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Series C Preferred Investment Options: _____________ Beneficial Ownership Blocker </w:t>
      </w:r>
      <w:r>
        <w:rPr>
          <w:rFonts w:ascii="MS PGothic" w:cs="MS PGothic" w:eastAsia="MS PGothic" w:hAnsi="MS PGothic"/>
          <w:sz w:val="18"/>
          <w:szCs w:val="18"/>
          <w:color w:val="auto"/>
        </w:rPr>
        <w:t>☐</w:t>
      </w:r>
      <w:r>
        <w:rPr>
          <w:rFonts w:ascii="Arial" w:cs="Arial" w:eastAsia="Arial" w:hAnsi="Arial"/>
          <w:sz w:val="18"/>
          <w:szCs w:val="18"/>
          <w:color w:val="auto"/>
        </w:rPr>
        <w:t xml:space="preserve"> 4.99% or </w:t>
      </w:r>
      <w:r>
        <w:rPr>
          <w:rFonts w:ascii="MS PGothic" w:cs="MS PGothic" w:eastAsia="MS PGothic" w:hAnsi="MS PGothic"/>
          <w:sz w:val="18"/>
          <w:szCs w:val="18"/>
          <w:color w:val="auto"/>
        </w:rPr>
        <w:t>☐</w:t>
      </w:r>
      <w:r>
        <w:rPr>
          <w:rFonts w:ascii="Arial" w:cs="Arial" w:eastAsia="Arial" w:hAnsi="Arial"/>
          <w:sz w:val="18"/>
          <w:szCs w:val="18"/>
          <w:color w:val="auto"/>
        </w:rPr>
        <w:t xml:space="preserve"> 9.99%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EIN Number: _______________________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2" w:name="page83"/>
    <w:bookmarkEnd w:id="82"/>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Announces $1.5 Million Registered Direct Offering Priced At-The-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under Nasdaq Rules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HINGHAM, Mass., June 2, 2023 (GLOBE NEWSWIRE) — Microbot Medical Inc. (Nasdaq: MBOT) today announced that it has entered into definitive agreements for the purchase and sale of 701,756 shares of the Company’s common stock at a purchase price of $2.1375 per share of common stock in a registered direct offering priced at-the-market under Nasdaq rules. In addition, in a concurrent private placement, the Company will issue unregistered series C preferred investment options. The series C preferred investment options to purchase up to 350,878 shares of common stock have an exercise price of $2.075 per share and are immediately exercisable for a period of five and one-half years following issuance. The closing of the registered direct offering and the concurrent private placement is expected to occur on or about June 6, 2023, subject to the satisfaction of customary closing conditions.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is acting as the exclusive placement agent for the offerings.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gross proceeds to the Company from the offerings are expected to be $1.5 million, before deducting the placement agent’s fees and other offering expenses payable by the Company. The Company intends to use the net proceeds from the offerings for the continued development, commercialization and</w:t>
      </w:r>
    </w:p>
    <w:p>
      <w:pPr>
        <w:jc w:val="both"/>
        <w:spacing w:after="0" w:line="211" w:lineRule="auto"/>
        <w:rPr>
          <w:sz w:val="20"/>
          <w:szCs w:val="20"/>
          <w:color w:val="auto"/>
        </w:rPr>
      </w:pPr>
      <w:r>
        <w:rPr>
          <w:rFonts w:ascii="Arial" w:cs="Arial" w:eastAsia="Arial" w:hAnsi="Arial"/>
          <w:sz w:val="18"/>
          <w:szCs w:val="18"/>
          <w:color w:val="auto"/>
        </w:rPr>
        <w:t>regulatory activities for the Company’s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shares of common stock described above (but not the series C preferred investment options issued in the concurrent private placement or the shares of common stock underlying such series C preferred investment options) are being offered by the Company pursuant to a “shelf” registration statement on Form S-3 (File No. 333-250966) previously filed with the Securities and Exchange Commission (the “SEC”) and declared effective by the SEC on December 4, 2020. The offering of the shares of common stock is made only by means of a prospectus, including a prospectus supplement, forming a part of the effective registration statement. A final prospectus supplement and accompanying prospectus relating to the registered direct offering will be filed with the SEC. Electronic copies of the final prospectus supplement and accompanying prospectus may be obtained, when available, on the SEC’s website at http://www.sec.gov or by contacting H.C. Wainwright &amp; Co., LLC at 430 Park Avenue, 3rd Floor, New York, NY 10022, by phone at (212) 865-5711 or e-mail at placements@hcwco.com.</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series C preferred investment options described above are being issued in a concurrent private placement under Section 4(a)(2) of the Securities Act of 1933, as amended (the “Securities Act”), and Regulation D promulgated thereunder and, along with the shares of common stock underlying the series C preferred investment options, have not been registered under the Securities Act, or applicable state securities laws. Accordingly, the series C preferred investment options and underlying shares of common stock may not be offered or sold in the United States except pursuant to an effective registration statement or an applicable exemption from the registration requirements of the Securities Act and such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jc w:val="both"/>
        <w:spacing w:after="0" w:line="263"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LIBERTY Robotic System aims to improve the way surgical robotics are being used in endovascular procedures today, by eliminating the need for large, cumbersome, and expensive capital equipment, while reducing radiation exposure and physician strain. The Company believes the LIBERTY Robotic System’s remote operation has the potential to be the first system to democratize endovascular interventional procedures. Further information about Microbot Medical is available at </w:t>
      </w:r>
      <w:r>
        <w:rPr>
          <w:rFonts w:ascii="Arial" w:cs="Arial" w:eastAsia="Arial" w:hAnsi="Arial"/>
          <w:sz w:val="18"/>
          <w:szCs w:val="18"/>
          <w:u w:val="single" w:color="auto"/>
          <w:color w:val="auto"/>
        </w:rPr>
        <w:t>http://www.microbotmedical.com.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completion of the offerings, the satisfaction of customary closing conditions related to the offerings, the intended use of proceeds from the offerings, market conditions, risks inherent in the development and/or commercialization of LIBERTY, the outcome of its studies to evaluate LIBERTY, whether the Company’s core business focus program and cost reduction plan are sufficient to enable the Company to continue to focus on its LIBERTY technology while it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1D2228"/>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D2228"/>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D2228"/>
        </w:rPr>
        <w:t>IR@microbotmedical.com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4" w:name="page85"/>
    <w:bookmarkEnd w:id="84"/>
    <w:p>
      <w:pPr>
        <w:ind w:left="1032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Announces Closing of $1.5 Million Registered Direct Offering Priced At-The-Market under Nasdaq Rules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HINGHAM, Mass., June 6, 2023 (GLOBE NEWSWIRE) — Microbot Medical Inc. (Nasdaq: MBOT) today announced that it has closed its previously announced registered direct offering for the purchase and sale of 701,756 shares of the Company’s common stock at a purchase price of $2.1375 per share of common stock priced at-the-market under Nasdaq rules. In addition, in a concurrent private placement, the Company issued unregistered series C preferred investment options. The series C preferred investment options to purchase up to 350,878 shares of common stock have an exercise price of $2.075 per share and are immediately exercisable for a period of five and one-half years following issuance.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acted as the exclusive placement agent for the offerings.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gross proceeds to the Company from the offerings were approximately $1.5 million, before deducting the placement agent’s fees and other offering expenses payable by the Company. The Company intends to use the net proceeds from the offerings for the continued development, commercialization and</w:t>
      </w:r>
    </w:p>
    <w:p>
      <w:pPr>
        <w:jc w:val="both"/>
        <w:spacing w:after="0" w:line="211" w:lineRule="auto"/>
        <w:rPr>
          <w:sz w:val="20"/>
          <w:szCs w:val="20"/>
          <w:color w:val="auto"/>
        </w:rPr>
      </w:pPr>
      <w:r>
        <w:rPr>
          <w:rFonts w:ascii="Arial" w:cs="Arial" w:eastAsia="Arial" w:hAnsi="Arial"/>
          <w:sz w:val="18"/>
          <w:szCs w:val="18"/>
          <w:color w:val="auto"/>
        </w:rPr>
        <w:t>regulatory activities for the Company’s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shares of common stock described above (but not the series C preferred investment options issued in the concurrent private placement or the shares of common stock underlying such series C preferred investment options) were offered by the Company pursuant to a “shelf” registration statement on Form S-3 (File No. 333-250966) previously filed with the Securities and Exchange Commission (the “SEC”) and declared effective by the SEC on December 4, 2020. The offering of the shares of common stock was made only by means of a prospectus, including a prospectus supplement, forming a part of the effective registration statement. A final prospectus supplement and accompanying prospectus relating to the registered direct offering was filed with the SEC. Electronic copies of the final prospectus supplement and accompanying prospectus may be obtained on the SEC’s website at http://www.sec.gov or by contacting H.C. Wainwright &amp; Co., LLC at 430 Park Avenue, 3rd Floor, New York, NY 10022, by phone at (212) 865-5711 or e-mail at placements@hcwco.com.</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series C preferred investment options described above were issued in a concurrent private placement under Section 4(a)(2) of the Securities Act of 1933, as amended (the “Securities Act”), and Regulation D promulgated thereunder and, along with the shares of common stock underlying the series C preferred investment options, have not been registered under the Securities Act, or applicable state securities laws. Accordingly, the series C preferred investment options and underlying shares of common stock may not be offered or sold in the United States except pursuant to an effective registration statement or an applicable exemption from the registration requirements of the Securities Act and such applicable state securities laws.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3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LIBERTY Robotic System aims to improve the way surgical robotics are being used in endovascular procedures today, by eliminating the need for large, cumbersome, and expensive capital equipment, while reducing radiation exposure and physician strain. The Company believes the LIBERTY Robotic System’s remote operation has the potential to be the first system to democratize endovascular interventional procedures.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about Microbot Medical is available at http://</w:t>
      </w:r>
      <w:r>
        <w:rPr>
          <w:rFonts w:ascii="Arial" w:cs="Arial" w:eastAsia="Arial" w:hAnsi="Arial"/>
          <w:sz w:val="18"/>
          <w:szCs w:val="18"/>
          <w:u w:val="single" w:color="auto"/>
          <w:color w:val="auto"/>
        </w:rPr>
        <w:t>www.microbotmedical.com.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intended use of proceeds from the offerings, market conditions, risks inherent in the development and/or commercialization of LIBERTY, the outcome of its studies to evaluate LIBERTY, whether the Company’s core business focus program and cost reduction plan are sufficient to enable the Company to continue to focus on its LIBERTY technology while it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IR@microbotmedical.com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amp;"/>
      <w:numFmt w:val="bullet"/>
      <w:start w:val="1"/>
    </w:lvl>
  </w:abstractNum>
  <w:abstractNum w:abstractNumId="2">
    <w:nsid w:val="580BD78F"/>
    <w:multiLevelType w:val="hybridMultilevel"/>
    <w:lvl w:ilvl="0">
      <w:lvlJc w:val="left"/>
      <w:lvlText w:val="%1)"/>
      <w:numFmt w:val="lowerLetter"/>
      <w:start w:val="1"/>
    </w:lvl>
  </w:abstractNum>
  <w:abstractNum w:abstractNumId="3">
    <w:nsid w:val="153EA438"/>
    <w:multiLevelType w:val="hybridMultilevel"/>
    <w:lvl w:ilvl="0">
      <w:lvlJc w:val="left"/>
      <w:lvlText w:val="%1)"/>
      <w:numFmt w:val="lowerLetter"/>
      <w:start w:val="3"/>
    </w:lvl>
  </w:abstractNum>
  <w:abstractNum w:abstractNumId="4">
    <w:nsid w:val="3855585C"/>
    <w:multiLevelType w:val="hybridMultilevel"/>
    <w:lvl w:ilvl="0">
      <w:lvlJc w:val="left"/>
      <w:lvlText w:val="(%1)"/>
      <w:numFmt w:val="upperLetter"/>
      <w:start w:val="1"/>
    </w:lvl>
    <w:lvl w:ilvl="1">
      <w:lvlJc w:val="left"/>
      <w:lvlText w:val="(%2)"/>
      <w:numFmt w:val="lowerLetter"/>
      <w:start w:val="26"/>
    </w:lvl>
  </w:abstractNum>
  <w:abstractNum w:abstractNumId="5">
    <w:nsid w:val="70A64E2A"/>
    <w:multiLevelType w:val="hybridMultilevel"/>
    <w:lvl w:ilvl="0">
      <w:lvlJc w:val="left"/>
      <w:lvlText w:val="(%1)"/>
      <w:numFmt w:val="upperLetter"/>
      <w:start w:val="24"/>
    </w:lvl>
  </w:abstractNum>
  <w:abstractNum w:abstractNumId="6">
    <w:nsid w:val="6A2342EC"/>
    <w:multiLevelType w:val="hybridMultilevel"/>
    <w:lvl w:ilvl="0">
      <w:lvlJc w:val="left"/>
      <w:lvlText w:val="%1)"/>
      <w:numFmt w:val="lowerLetter"/>
      <w:start w:val="4"/>
    </w:lvl>
    <w:lvl w:ilvl="1">
      <w:lvlJc w:val="left"/>
      <w:lvlText w:val="%2."/>
      <w:numFmt w:val="lowerRoman"/>
      <w:start w:val="1"/>
    </w:lvl>
  </w:abstractNum>
  <w:abstractNum w:abstractNumId="7">
    <w:nsid w:val="2A487CB0"/>
    <w:multiLevelType w:val="hybridMultilevel"/>
    <w:lvl w:ilvl="0">
      <w:lvlJc w:val="left"/>
      <w:lvlText w:val="%1"/>
      <w:numFmt w:val="lowerRoman"/>
      <w:start w:val="1"/>
    </w:lvl>
    <w:lvl w:ilvl="1">
      <w:lvlJc w:val="left"/>
      <w:lvlText w:val="%2."/>
      <w:numFmt w:val="lowerRoman"/>
      <w:start w:val="2"/>
    </w:lvl>
  </w:abstractNum>
  <w:abstractNum w:abstractNumId="8">
    <w:nsid w:val="1D4ED43B"/>
    <w:multiLevelType w:val="hybridMultilevel"/>
    <w:lvl w:ilvl="0">
      <w:lvlJc w:val="left"/>
      <w:lvlText w:val="(%1)"/>
      <w:numFmt w:val="lowerRoman"/>
      <w:start w:val="10"/>
    </w:lvl>
    <w:lvl w:ilvl="1">
      <w:lvlJc w:val="left"/>
      <w:lvlText w:val="%2"/>
      <w:numFmt w:val="lowerRoman"/>
      <w:start w:val="1"/>
    </w:lvl>
  </w:abstractNum>
  <w:abstractNum w:abstractNumId="9">
    <w:nsid w:val="725A06FB"/>
    <w:multiLevelType w:val="hybridMultilevel"/>
    <w:lvl w:ilvl="0">
      <w:lvlJc w:val="left"/>
      <w:lvlText w:val="%1."/>
      <w:numFmt w:val="lowerRoman"/>
      <w:start w:val="6"/>
    </w:lvl>
  </w:abstractNum>
  <w:abstractNum w:abstractNumId="10">
    <w:nsid w:val="2CD89A32"/>
    <w:multiLevelType w:val="hybridMultilevel"/>
    <w:lvl w:ilvl="0">
      <w:lvlJc w:val="left"/>
      <w:lvlText w:val="%1)"/>
      <w:numFmt w:val="lowerLetter"/>
      <w:start w:val="5"/>
    </w:lvl>
  </w:abstractNum>
  <w:abstractNum w:abstractNumId="11">
    <w:nsid w:val="57E4CCAF"/>
    <w:multiLevelType w:val="hybridMultilevel"/>
    <w:lvl w:ilvl="0">
      <w:lvlJc w:val="left"/>
      <w:lvlText w:val="%1)"/>
      <w:numFmt w:val="lowerLetter"/>
      <w:start w:val="1"/>
    </w:lvl>
  </w:abstractNum>
  <w:abstractNum w:abstractNumId="12">
    <w:nsid w:val="7A6D8D3C"/>
    <w:multiLevelType w:val="hybridMultilevel"/>
    <w:lvl w:ilvl="0">
      <w:lvlJc w:val="left"/>
      <w:lvlText w:val="%1)"/>
      <w:numFmt w:val="lowerLetter"/>
      <w:start w:val="4"/>
    </w:lvl>
  </w:abstractNum>
  <w:abstractNum w:abstractNumId="13">
    <w:nsid w:val="4B588F54"/>
    <w:multiLevelType w:val="hybridMultilevel"/>
    <w:lvl w:ilvl="0">
      <w:lvlJc w:val="left"/>
      <w:lvlText w:val="%1)"/>
      <w:numFmt w:val="lowerLetter"/>
      <w:start w:val="5"/>
    </w:lvl>
    <w:lvl w:ilvl="1">
      <w:lvlJc w:val="left"/>
      <w:lvlText w:val="%2."/>
      <w:numFmt w:val="lowerRoman"/>
      <w:start w:val="1"/>
    </w:lvl>
  </w:abstractNum>
  <w:abstractNum w:abstractNumId="14">
    <w:nsid w:val="542289EC"/>
    <w:multiLevelType w:val="hybridMultilevel"/>
    <w:lvl w:ilvl="0">
      <w:lvlJc w:val="left"/>
      <w:lvlText w:val="%1)"/>
      <w:numFmt w:val="lowerLetter"/>
      <w:start w:val="7"/>
    </w:lvl>
  </w:abstractNum>
  <w:abstractNum w:abstractNumId="15">
    <w:nsid w:val="6DE91B18"/>
    <w:multiLevelType w:val="hybridMultilevel"/>
    <w:lvl w:ilvl="0">
      <w:lvlJc w:val="left"/>
      <w:lvlText w:val="%1)"/>
      <w:numFmt w:val="lowerLetter"/>
      <w:start w:val="1"/>
    </w:lvl>
  </w:abstractNum>
  <w:abstractNum w:abstractNumId="16">
    <w:nsid w:val="38437FDB"/>
    <w:multiLevelType w:val="hybridMultilevel"/>
    <w:lvl w:ilvl="0">
      <w:lvlJc w:val="left"/>
      <w:lvlText w:val="%1)"/>
      <w:numFmt w:val="lowerLetter"/>
      <w:start w:val="3"/>
    </w:lvl>
  </w:abstractNum>
  <w:abstractNum w:abstractNumId="17">
    <w:nsid w:val="7644A45C"/>
    <w:multiLevelType w:val="hybridMultilevel"/>
    <w:lvl w:ilvl="0">
      <w:lvlJc w:val="left"/>
      <w:lvlText w:val="%1)"/>
      <w:numFmt w:val="lowerLetter"/>
      <w:start w:val="1"/>
    </w:lvl>
  </w:abstractNum>
  <w:abstractNum w:abstractNumId="18">
    <w:nsid w:val="32FFF902"/>
    <w:multiLevelType w:val="hybridMultilevel"/>
    <w:lvl w:ilvl="0">
      <w:lvlJc w:val="left"/>
      <w:lvlText w:val="%1)"/>
      <w:numFmt w:val="lowerLetter"/>
      <w:start w:val="3"/>
    </w:lvl>
  </w:abstractNum>
  <w:abstractNum w:abstractNumId="19">
    <w:nsid w:val="684A481A"/>
    <w:multiLevelType w:val="hybridMultilevel"/>
    <w:lvl w:ilvl="0">
      <w:lvlJc w:val="left"/>
      <w:lvlText w:val="%1)"/>
      <w:numFmt w:val="lowerLetter"/>
      <w:start w:val="5"/>
    </w:lvl>
  </w:abstractNum>
  <w:abstractNum w:abstractNumId="20">
    <w:nsid w:val="579478FE"/>
    <w:multiLevelType w:val="hybridMultilevel"/>
    <w:lvl w:ilvl="0">
      <w:lvlJc w:val="left"/>
      <w:lvlText w:val="%1)"/>
      <w:numFmt w:val="lowerLetter"/>
      <w:start w:val="11"/>
    </w:lvl>
  </w:abstractNum>
  <w:abstractNum w:abstractNumId="21">
    <w:nsid w:val="749ABB43"/>
    <w:multiLevelType w:val="hybridMultilevel"/>
    <w:lvl w:ilvl="0">
      <w:lvlJc w:val="left"/>
      <w:lvlText w:val="(%1)"/>
      <w:numFmt w:val="decimal"/>
      <w:start w:val="1"/>
    </w:lvl>
  </w:abstractNum>
  <w:abstractNum w:abstractNumId="22">
    <w:nsid w:val="3DC240FB"/>
    <w:multiLevelType w:val="hybridMultilevel"/>
    <w:lvl w:ilvl="0">
      <w:lvlJc w:val="left"/>
      <w:lvlText w:val="(%1)"/>
      <w:numFmt w:val="decimal"/>
      <w:start w:val="2"/>
    </w:lvl>
    <w:lvl w:ilvl="1">
      <w:lvlJc w:val="left"/>
      <w:lvlText w:val="["/>
      <w:numFmt w:val="bullet"/>
      <w:start w:val="1"/>
    </w:lvl>
  </w:abstractNum>
  <w:abstractNum w:abstractNumId="23">
    <w:nsid w:val="1BA026FA"/>
    <w:multiLevelType w:val="hybridMultilevel"/>
    <w:lvl w:ilvl="0">
      <w:lvlJc w:val="left"/>
      <w:lvlText w:val="(%1)"/>
      <w:numFmt w:val="decimal"/>
      <w:start w:val="4"/>
    </w:lvl>
  </w:abstractNum>
  <w:abstractNum w:abstractNumId="24">
    <w:nsid w:val="79A1DEAA"/>
    <w:multiLevelType w:val="hybridMultilevel"/>
    <w:lvl w:ilvl="0">
      <w:lvlJc w:val="left"/>
      <w:lvlText w:val="%1)"/>
      <w:numFmt w:val="lowerLetter"/>
      <w:start w:val="1"/>
    </w:lvl>
  </w:abstractNum>
  <w:abstractNum w:abstractNumId="25">
    <w:nsid w:val="75C6C33A"/>
    <w:multiLevelType w:val="hybridMultilevel"/>
    <w:lvl w:ilvl="0">
      <w:lvlJc w:val="left"/>
      <w:lvlText w:val="(%1)"/>
      <w:numFmt w:val="upperLetter"/>
      <w:start w:val="1"/>
    </w:lvl>
    <w:lvl w:ilvl="1">
      <w:lvlJc w:val="left"/>
      <w:lvlText w:val="(%2)"/>
      <w:numFmt w:val="lowerLetter"/>
      <w:start w:val="26"/>
    </w:lvl>
  </w:abstractNum>
  <w:abstractNum w:abstractNumId="26">
    <w:nsid w:val="12E685FB"/>
    <w:multiLevelType w:val="hybridMultilevel"/>
    <w:lvl w:ilvl="0">
      <w:lvlJc w:val="left"/>
      <w:lvlText w:val="(%1)"/>
      <w:numFmt w:val="upperLetter"/>
      <w:start w:val="24"/>
    </w:lvl>
  </w:abstractNum>
  <w:abstractNum w:abstractNumId="27">
    <w:nsid w:val="70C6A529"/>
    <w:multiLevelType w:val="hybridMultilevel"/>
    <w:lvl w:ilvl="0">
      <w:lvlJc w:val="left"/>
      <w:lvlText w:val="%1)"/>
      <w:numFmt w:val="lowerLetter"/>
      <w:start w:val="4"/>
    </w:lvl>
    <w:lvl w:ilvl="1">
      <w:lvlJc w:val="left"/>
      <w:lvlText w:val="%2."/>
      <w:numFmt w:val="lowerRoman"/>
      <w:start w:val="1"/>
    </w:lvl>
  </w:abstractNum>
  <w:abstractNum w:abstractNumId="28">
    <w:nsid w:val="520EEDD1"/>
    <w:multiLevelType w:val="hybridMultilevel"/>
    <w:lvl w:ilvl="0">
      <w:lvlJc w:val="left"/>
      <w:lvlText w:val="%1"/>
      <w:numFmt w:val="lowerRoman"/>
      <w:start w:val="1"/>
    </w:lvl>
    <w:lvl w:ilvl="1">
      <w:lvlJc w:val="left"/>
      <w:lvlText w:val="%2."/>
      <w:numFmt w:val="lowerRoman"/>
      <w:start w:val="2"/>
    </w:lvl>
  </w:abstractNum>
  <w:abstractNum w:abstractNumId="29">
    <w:nsid w:val="374A3FE6"/>
    <w:multiLevelType w:val="hybridMultilevel"/>
    <w:lvl w:ilvl="0">
      <w:lvlJc w:val="left"/>
      <w:lvlText w:val="(%1)"/>
      <w:numFmt w:val="lowerRoman"/>
      <w:start w:val="10"/>
    </w:lvl>
    <w:lvl w:ilvl="1">
      <w:lvlJc w:val="left"/>
      <w:lvlText w:val="%2."/>
      <w:numFmt w:val="lowerRoman"/>
      <w:start w:val="5"/>
    </w:lvl>
  </w:abstractNum>
  <w:abstractNum w:abstractNumId="30">
    <w:nsid w:val="4F4EF005"/>
    <w:multiLevelType w:val="hybridMultilevel"/>
    <w:lvl w:ilvl="0">
      <w:lvlJc w:val="left"/>
      <w:lvlText w:val="%1"/>
      <w:numFmt w:val="lowerLetter"/>
      <w:start w:val="1"/>
    </w:lvl>
    <w:lvl w:ilvl="1">
      <w:lvlJc w:val="left"/>
      <w:lvlText w:val="%2."/>
      <w:numFmt w:val="lowerRoman"/>
      <w:start w:val="7"/>
    </w:lvl>
  </w:abstractNum>
  <w:abstractNum w:abstractNumId="31">
    <w:nsid w:val="23F9C13C"/>
    <w:multiLevelType w:val="hybridMultilevel"/>
    <w:lvl w:ilvl="0">
      <w:lvlJc w:val="left"/>
      <w:lvlText w:val="%1)"/>
      <w:numFmt w:val="lowerLetter"/>
      <w:start w:val="5"/>
    </w:lvl>
    <w:lvl w:ilvl="1">
      <w:lvlJc w:val="left"/>
      <w:lvlText w:val="%2"/>
      <w:numFmt w:val="lowerRoman"/>
      <w:start w:val="1"/>
    </w:lvl>
  </w:abstractNum>
  <w:abstractNum w:abstractNumId="32">
    <w:nsid w:val="649BB77C"/>
    <w:multiLevelType w:val="hybridMultilevel"/>
    <w:lvl w:ilvl="0">
      <w:lvlJc w:val="left"/>
      <w:lvlText w:val="%1)"/>
      <w:numFmt w:val="lowerLetter"/>
      <w:start w:val="1"/>
    </w:lvl>
  </w:abstractNum>
  <w:abstractNum w:abstractNumId="33">
    <w:nsid w:val="275AC794"/>
    <w:multiLevelType w:val="hybridMultilevel"/>
    <w:lvl w:ilvl="0">
      <w:lvlJc w:val="left"/>
      <w:lvlText w:val="%1)"/>
      <w:numFmt w:val="lowerLetter"/>
      <w:start w:val="4"/>
    </w:lvl>
  </w:abstractNum>
  <w:abstractNum w:abstractNumId="34">
    <w:nsid w:val="39386575"/>
    <w:multiLevelType w:val="hybridMultilevel"/>
    <w:lvl w:ilvl="0">
      <w:lvlJc w:val="left"/>
      <w:lvlText w:val="%1)"/>
      <w:numFmt w:val="lowerLetter"/>
      <w:start w:val="5"/>
    </w:lvl>
    <w:lvl w:ilvl="1">
      <w:lvlJc w:val="left"/>
      <w:lvlText w:val="%2."/>
      <w:numFmt w:val="lowerRoman"/>
      <w:start w:val="1"/>
    </w:lvl>
  </w:abstractNum>
  <w:abstractNum w:abstractNumId="35">
    <w:nsid w:val="1CF10FD8"/>
    <w:multiLevelType w:val="hybridMultilevel"/>
    <w:lvl w:ilvl="0">
      <w:lvlJc w:val="left"/>
      <w:lvlText w:val="%1)"/>
      <w:numFmt w:val="lowerLetter"/>
      <w:start w:val="7"/>
    </w:lvl>
  </w:abstractNum>
  <w:abstractNum w:abstractNumId="36">
    <w:nsid w:val="180115BE"/>
    <w:multiLevelType w:val="hybridMultilevel"/>
    <w:lvl w:ilvl="0">
      <w:lvlJc w:val="left"/>
      <w:lvlText w:val="%1)"/>
      <w:numFmt w:val="lowerLetter"/>
      <w:start w:val="1"/>
    </w:lvl>
  </w:abstractNum>
  <w:abstractNum w:abstractNumId="37">
    <w:nsid w:val="235BA861"/>
    <w:multiLevelType w:val="hybridMultilevel"/>
    <w:lvl w:ilvl="0">
      <w:lvlJc w:val="left"/>
      <w:lvlText w:val="%1)"/>
      <w:numFmt w:val="lowerLetter"/>
      <w:start w:val="3"/>
    </w:lvl>
  </w:abstractNum>
  <w:abstractNum w:abstractNumId="38">
    <w:nsid w:val="47398C89"/>
    <w:multiLevelType w:val="hybridMultilevel"/>
    <w:lvl w:ilvl="0">
      <w:lvlJc w:val="left"/>
      <w:lvlText w:val="%1)"/>
      <w:numFmt w:val="lowerLetter"/>
      <w:start w:val="1"/>
    </w:lvl>
  </w:abstractNum>
  <w:abstractNum w:abstractNumId="39">
    <w:nsid w:val="354FE9F9"/>
    <w:multiLevelType w:val="hybridMultilevel"/>
    <w:lvl w:ilvl="0">
      <w:lvlJc w:val="left"/>
      <w:lvlText w:val="%1)"/>
      <w:numFmt w:val="lowerLetter"/>
      <w:start w:val="2"/>
    </w:lvl>
  </w:abstractNum>
  <w:abstractNum w:abstractNumId="40">
    <w:nsid w:val="15B5AF5C"/>
    <w:multiLevelType w:val="hybridMultilevel"/>
    <w:lvl w:ilvl="0">
      <w:lvlJc w:val="left"/>
      <w:lvlText w:val="%1)"/>
      <w:numFmt w:val="lowerLetter"/>
      <w:start w:val="5"/>
    </w:lvl>
  </w:abstractNum>
  <w:abstractNum w:abstractNumId="41">
    <w:nsid w:val="741226BB"/>
    <w:multiLevelType w:val="hybridMultilevel"/>
    <w:lvl w:ilvl="0">
      <w:lvlJc w:val="left"/>
      <w:lvlText w:val="%1)"/>
      <w:numFmt w:val="lowerLetter"/>
      <w:start w:val="8"/>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1)"/>
      <w:numFmt w:val="decimal"/>
      <w:start w:val="3"/>
    </w:lvl>
  </w:abstractNum>
  <w:abstractNum w:abstractNumId="44">
    <w:nsid w:val="3F6AB60F"/>
    <w:multiLevelType w:val="hybridMultilevel"/>
    <w:lvl w:ilvl="0">
      <w:lvlJc w:val="left"/>
      <w:lvlText w:val="(%1)"/>
      <w:numFmt w:val="decimal"/>
      <w:start w:val="4"/>
    </w:lvl>
  </w:abstractNum>
  <w:abstractNum w:abstractNumId="45">
    <w:nsid w:val="61574095"/>
    <w:multiLevelType w:val="hybridMultilevel"/>
    <w:lvl w:ilvl="0">
      <w:lvlJc w:val="left"/>
      <w:lvlText w:val="(%1)"/>
      <w:numFmt w:val="lowerLetter"/>
      <w:start w:val="1"/>
    </w:lvl>
    <w:lvl w:ilvl="1">
      <w:lvlJc w:val="left"/>
      <w:lvlText w:val="(%2)"/>
      <w:numFmt w:val="lowerRoman"/>
      <w:start w:val="1"/>
    </w:lvl>
  </w:abstractNum>
  <w:abstractNum w:abstractNumId="46">
    <w:nsid w:val="7E0C57B1"/>
    <w:multiLevelType w:val="hybridMultilevel"/>
    <w:lvl w:ilvl="0">
      <w:lvlJc w:val="left"/>
      <w:lvlText w:val="%1"/>
      <w:numFmt w:val="lowerLetter"/>
      <w:start w:val="1"/>
    </w:lvl>
    <w:lvl w:ilvl="1">
      <w:lvlJc w:val="left"/>
      <w:lvlText w:val="(%2)"/>
      <w:numFmt w:val="lowerRoman"/>
      <w:start w:val="5"/>
    </w:lvl>
  </w:abstractNum>
  <w:abstractNum w:abstractNumId="47">
    <w:nsid w:val="77AE35EB"/>
    <w:multiLevelType w:val="hybridMultilevel"/>
    <w:lvl w:ilvl="0">
      <w:lvlJc w:val="left"/>
      <w:lvlText w:val="(%1)"/>
      <w:numFmt w:val="lowerLetter"/>
      <w:start w:val="2"/>
    </w:lvl>
    <w:lvl w:ilvl="1">
      <w:lvlJc w:val="left"/>
      <w:lvlText w:val="(%2)"/>
      <w:numFmt w:val="lowerRoman"/>
      <w:start w:val="1"/>
    </w:lvl>
  </w:abstractNum>
  <w:abstractNum w:abstractNumId="48">
    <w:nsid w:val="579BE4F1"/>
    <w:multiLevelType w:val="hybridMultilevel"/>
    <w:lvl w:ilvl="0">
      <w:lvlJc w:val="left"/>
      <w:lvlText w:val="(%1)"/>
      <w:numFmt w:val="lowerLetter"/>
      <w:start w:val="1"/>
    </w:lvl>
    <w:lvl w:ilvl="1">
      <w:lvlJc w:val="left"/>
      <w:lvlText w:val="(%2)"/>
      <w:numFmt w:val="lowerRoman"/>
      <w:start w:val="1"/>
    </w:lvl>
  </w:abstractNum>
  <w:abstractNum w:abstractNumId="49">
    <w:nsid w:val="310C50B3"/>
    <w:multiLevelType w:val="hybridMultilevel"/>
    <w:lvl w:ilvl="0">
      <w:lvlJc w:val="left"/>
      <w:lvlText w:val="(%1)"/>
      <w:numFmt w:val="lowerRoman"/>
      <w:start w:val="1"/>
    </w:lvl>
  </w:abstractNum>
  <w:abstractNum w:abstractNumId="50">
    <w:nsid w:val="5FF87E05"/>
    <w:multiLevelType w:val="hybridMultilevel"/>
    <w:lvl w:ilvl="0">
      <w:lvlJc w:val="left"/>
      <w:lvlText w:val="(%1)"/>
      <w:numFmt w:val="lowerLetter"/>
      <w:start w:val="1"/>
    </w:lvl>
  </w:abstractNum>
  <w:abstractNum w:abstractNumId="51">
    <w:nsid w:val="2F305DEF"/>
    <w:multiLevelType w:val="hybridMultilevel"/>
    <w:lvl w:ilvl="0">
      <w:lvlJc w:val="left"/>
      <w:lvlText w:val="(%1)"/>
      <w:numFmt w:val="lowerLetter"/>
      <w:start w:val="2"/>
    </w:lvl>
  </w:abstractNum>
  <w:abstractNum w:abstractNumId="52">
    <w:nsid w:val="25A70BF7"/>
    <w:multiLevelType w:val="hybridMultilevel"/>
    <w:lvl w:ilvl="0">
      <w:lvlJc w:val="left"/>
      <w:lvlText w:val="(%1)"/>
      <w:numFmt w:val="lowerLetter"/>
      <w:start w:val="35"/>
    </w:lvl>
  </w:abstractNum>
  <w:abstractNum w:abstractNumId="53">
    <w:nsid w:val="1DBABF00"/>
    <w:multiLevelType w:val="hybridMultilevel"/>
    <w:lvl w:ilvl="0">
      <w:lvlJc w:val="left"/>
      <w:lvlText w:val="(%1)"/>
      <w:numFmt w:val="lowerLetter"/>
      <w:start w:val="3"/>
    </w:lvl>
  </w:abstractNum>
  <w:abstractNum w:abstractNumId="54">
    <w:nsid w:val="4AD084E9"/>
    <w:multiLevelType w:val="hybridMultilevel"/>
    <w:lvl w:ilvl="0">
      <w:lvlJc w:val="left"/>
      <w:lvlText w:val="(%1)"/>
      <w:numFmt w:val="lowerLetter"/>
      <w:start w:val="5"/>
    </w:lvl>
  </w:abstractNum>
  <w:abstractNum w:abstractNumId="55">
    <w:nsid w:val="1F48EAA1"/>
    <w:multiLevelType w:val="hybridMultilevel"/>
    <w:lvl w:ilvl="0">
      <w:lvlJc w:val="left"/>
      <w:lvlText w:val="(%1)"/>
      <w:numFmt w:val="lowerLetter"/>
      <w:start w:val="7"/>
    </w:lvl>
  </w:abstractNum>
  <w:abstractNum w:abstractNumId="56">
    <w:nsid w:val="1381823A"/>
    <w:multiLevelType w:val="hybridMultilevel"/>
    <w:lvl w:ilvl="0">
      <w:lvlJc w:val="left"/>
      <w:lvlText w:val="(%1)"/>
      <w:numFmt w:val="lowerLetter"/>
      <w:start w:val="9"/>
    </w:lvl>
  </w:abstractNum>
  <w:abstractNum w:abstractNumId="57">
    <w:nsid w:val="5DB70AE5"/>
    <w:multiLevelType w:val="hybridMultilevel"/>
    <w:lvl w:ilvl="0">
      <w:lvlJc w:val="left"/>
      <w:lvlText w:val="(%1)"/>
      <w:numFmt w:val="lowerLetter"/>
      <w:start w:val="11"/>
    </w:lvl>
  </w:abstractNum>
  <w:abstractNum w:abstractNumId="58">
    <w:nsid w:val="100F8FCA"/>
    <w:multiLevelType w:val="hybridMultilevel"/>
    <w:lvl w:ilvl="0">
      <w:lvlJc w:val="left"/>
      <w:lvlText w:val="(%1)"/>
      <w:numFmt w:val="lowerLetter"/>
      <w:start w:val="14"/>
    </w:lvl>
  </w:abstractNum>
  <w:abstractNum w:abstractNumId="59">
    <w:nsid w:val="6590700B"/>
    <w:multiLevelType w:val="hybridMultilevel"/>
    <w:lvl w:ilvl="0">
      <w:lvlJc w:val="left"/>
      <w:lvlText w:val="(%1)"/>
      <w:numFmt w:val="lowerLetter"/>
      <w:start w:val="17"/>
    </w:lvl>
  </w:abstractNum>
  <w:abstractNum w:abstractNumId="60">
    <w:nsid w:val="15014ACB"/>
    <w:multiLevelType w:val="hybridMultilevel"/>
    <w:lvl w:ilvl="0">
      <w:lvlJc w:val="left"/>
      <w:lvlText w:val="(%1)"/>
      <w:numFmt w:val="lowerLetter"/>
      <w:start w:val="20"/>
    </w:lvl>
  </w:abstractNum>
  <w:abstractNum w:abstractNumId="61">
    <w:nsid w:val="5F5E7FD0"/>
    <w:multiLevelType w:val="hybridMultilevel"/>
    <w:lvl w:ilvl="0">
      <w:lvlJc w:val="left"/>
      <w:lvlText w:val="(%1)"/>
      <w:numFmt w:val="lowerLetter"/>
      <w:start w:val="25"/>
    </w:lvl>
  </w:abstractNum>
  <w:abstractNum w:abstractNumId="62">
    <w:nsid w:val="98A3148"/>
    <w:multiLevelType w:val="hybridMultilevel"/>
    <w:lvl w:ilvl="0">
      <w:lvlJc w:val="left"/>
      <w:lvlText w:val="(%1)"/>
      <w:numFmt w:val="lowerLetter"/>
      <w:start w:val="27"/>
    </w:lvl>
  </w:abstractNum>
  <w:abstractNum w:abstractNumId="63">
    <w:nsid w:val="799D0247"/>
    <w:multiLevelType w:val="hybridMultilevel"/>
    <w:lvl w:ilvl="0">
      <w:lvlJc w:val="left"/>
      <w:lvlText w:val="(%1)"/>
      <w:numFmt w:val="lowerLetter"/>
      <w:start w:val="25"/>
    </w:lvl>
  </w:abstractNum>
  <w:abstractNum w:abstractNumId="64">
    <w:nsid w:val="6B94764"/>
    <w:multiLevelType w:val="hybridMultilevel"/>
    <w:lvl w:ilvl="0">
      <w:lvlJc w:val="left"/>
      <w:lvlText w:val="(%1)"/>
      <w:numFmt w:val="lowerLetter"/>
      <w:start w:val="28"/>
    </w:lvl>
  </w:abstractNum>
  <w:abstractNum w:abstractNumId="65">
    <w:nsid w:val="42C296BD"/>
    <w:multiLevelType w:val="hybridMultilevel"/>
    <w:lvl w:ilvl="0">
      <w:lvlJc w:val="left"/>
      <w:lvlText w:val="(%1)"/>
      <w:numFmt w:val="lowerLetter"/>
      <w:start w:val="32"/>
    </w:lvl>
  </w:abstractNum>
  <w:abstractNum w:abstractNumId="66">
    <w:nsid w:val="168E121F"/>
    <w:multiLevelType w:val="hybridMultilevel"/>
    <w:lvl w:ilvl="0">
      <w:lvlJc w:val="left"/>
      <w:lvlText w:val="(%1)"/>
      <w:numFmt w:val="lowerLetter"/>
      <w:start w:val="35"/>
    </w:lvl>
  </w:abstractNum>
  <w:abstractNum w:abstractNumId="67">
    <w:nsid w:val="1EBA5D23"/>
    <w:multiLevelType w:val="hybridMultilevel"/>
    <w:lvl w:ilvl="0">
      <w:lvlJc w:val="left"/>
      <w:lvlText w:val="(%1)"/>
      <w:numFmt w:val="lowerLetter"/>
      <w:start w:val="37"/>
    </w:lvl>
  </w:abstractNum>
  <w:abstractNum w:abstractNumId="68">
    <w:nsid w:val="661E3F1E"/>
    <w:multiLevelType w:val="hybridMultilevel"/>
    <w:lvl w:ilvl="0">
      <w:lvlJc w:val="left"/>
      <w:lvlText w:val="(%1)"/>
      <w:numFmt w:val="lowerLetter"/>
      <w:start w:val="44"/>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lowerLetter"/>
      <w:start w:val="1"/>
    </w:lvl>
    <w:lvl w:ilvl="1">
      <w:lvlJc w:val="left"/>
      <w:lvlText w:val="(%2)"/>
      <w:numFmt w:val="lowerLetter"/>
      <w:start w:val="2"/>
    </w:lvl>
  </w:abstractNum>
  <w:abstractNum w:abstractNumId="71">
    <w:nsid w:val="7BD3EE7B"/>
    <w:multiLevelType w:val="hybridMultilevel"/>
    <w:lvl w:ilvl="0">
      <w:lvlJc w:val="left"/>
      <w:lvlText w:val="(%1)"/>
      <w:numFmt w:val="lowerLetter"/>
      <w:start w:val="3"/>
    </w:lvl>
    <w:lvl w:ilvl="1">
      <w:lvlJc w:val="left"/>
      <w:lvlText w:val="(%2)"/>
      <w:numFmt w:val="lowerLetter"/>
      <w:start w:val="4"/>
    </w:lvl>
  </w:abstractNum>
  <w:abstractNum w:abstractNumId="72">
    <w:nsid w:val="51D9C564"/>
    <w:multiLevelType w:val="hybridMultilevel"/>
    <w:lvl w:ilvl="0">
      <w:lvlJc w:val="left"/>
      <w:lvlText w:val="(%1)"/>
      <w:numFmt w:val="lowerLetter"/>
      <w:start w:val="6"/>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lowerLetter"/>
      <w:start w:val="3"/>
    </w:lvl>
  </w:abstractNum>
  <w:abstractNum w:abstractNumId="75">
    <w:nsid w:val="11447B73"/>
    <w:multiLevelType w:val="hybridMultilevel"/>
    <w:lvl w:ilvl="0">
      <w:lvlJc w:val="left"/>
      <w:lvlText w:val="(%1)"/>
      <w:numFmt w:val="lowerLetter"/>
      <w:start w:val="1"/>
    </w:lvl>
  </w:abstractNum>
  <w:abstractNum w:abstractNumId="76">
    <w:nsid w:val="42963E5A"/>
    <w:multiLevelType w:val="hybridMultilevel"/>
    <w:lvl w:ilvl="0">
      <w:lvlJc w:val="left"/>
      <w:lvlText w:val="(%1)"/>
      <w:numFmt w:val="lowerLetter"/>
      <w:start w:val="1"/>
    </w:lvl>
  </w:abstractNum>
  <w:abstractNum w:abstractNumId="77">
    <w:nsid w:val="A0382C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2023-06-06T16:10:48Z</dcterms:created>
  <dcterms:modified xsi:type="dcterms:W3CDTF">2023-06-06T16:10:48Z</dcterms:modified>
</cp:coreProperties>
</file>