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9"/>
        <w:spacing w:after="0"/>
        <w:rPr>
          <w:sz w:val="20"/>
          <w:szCs w:val="20"/>
          <w:color w:val="auto"/>
        </w:rPr>
      </w:pPr>
      <w:r>
        <w:rPr>
          <w:rFonts w:ascii="Courier New" w:cs="Courier New" w:eastAsia="Courier New" w:hAnsi="Courier New"/>
          <w:sz w:val="15"/>
          <w:szCs w:val="15"/>
          <w:color w:val="auto"/>
        </w:rPr>
        <w:t>UNITED STATES</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01"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10-Q</w:t>
      </w:r>
    </w:p>
    <w:p>
      <w:pPr>
        <w:spacing w:after="0" w:line="200" w:lineRule="exact"/>
        <w:rPr>
          <w:sz w:val="24"/>
          <w:szCs w:val="24"/>
          <w:color w:val="auto"/>
        </w:rPr>
      </w:pPr>
    </w:p>
    <w:p>
      <w:pPr>
        <w:spacing w:after="0" w:line="32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QUARTERLY REPORT UNDER SECTION 13 OR 15(d) OF</w:t>
      </w:r>
    </w:p>
    <w:p>
      <w:pPr>
        <w:spacing w:after="0" w:line="33"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For the quarter ended:</w:t>
            </w:r>
          </w:p>
        </w:tc>
        <w:tc>
          <w:tcPr>
            <w:tcW w:w="2640" w:type="dxa"/>
            <w:vAlign w:val="bottom"/>
            <w:gridSpan w:val="2"/>
            <w:vMerge w:val="restart"/>
          </w:tcPr>
          <w:p>
            <w:pPr>
              <w:ind w:left="380"/>
              <w:spacing w:after="0"/>
              <w:rPr>
                <w:sz w:val="20"/>
                <w:szCs w:val="20"/>
                <w:color w:val="auto"/>
              </w:rPr>
            </w:pPr>
            <w:r>
              <w:rPr>
                <w:rFonts w:ascii="Courier New" w:cs="Courier New" w:eastAsia="Courier New" w:hAnsi="Courier New"/>
                <w:sz w:val="15"/>
                <w:szCs w:val="15"/>
                <w:color w:val="auto"/>
              </w:rPr>
              <w:t>Commission File Number:</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0-19871</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5"/>
                <w:szCs w:val="15"/>
                <w:color w:val="auto"/>
              </w:rPr>
              <w:t>September 30, 2000</w:t>
            </w:r>
          </w:p>
        </w:tc>
        <w:tc>
          <w:tcPr>
            <w:tcW w:w="264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2440" w:type="dxa"/>
            <w:vAlign w:val="bottom"/>
          </w:tcPr>
          <w:p>
            <w:pPr>
              <w:spacing w:after="0"/>
              <w:rPr>
                <w:sz w:val="24"/>
                <w:szCs w:val="24"/>
                <w:color w:val="auto"/>
              </w:rPr>
            </w:pPr>
          </w:p>
        </w:tc>
        <w:tc>
          <w:tcPr>
            <w:tcW w:w="26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STEMCELLS, INC.</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080" w:type="dxa"/>
            <w:vAlign w:val="bottom"/>
            <w:gridSpan w:val="4"/>
          </w:tcPr>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tc>
        <w:tc>
          <w:tcPr>
            <w:tcW w:w="0" w:type="dxa"/>
            <w:vAlign w:val="bottom"/>
          </w:tcPr>
          <w:p>
            <w:pPr>
              <w:spacing w:after="0"/>
              <w:rPr>
                <w:sz w:val="1"/>
                <w:szCs w:val="1"/>
                <w:color w:val="auto"/>
              </w:rPr>
            </w:pPr>
          </w:p>
        </w:tc>
      </w:tr>
      <w:tr>
        <w:trPr>
          <w:trHeight w:val="268"/>
        </w:trPr>
        <w:tc>
          <w:tcPr>
            <w:tcW w:w="2440" w:type="dxa"/>
            <w:vAlign w:val="bottom"/>
          </w:tcPr>
          <w:p>
            <w:pPr>
              <w:ind w:left="1360"/>
              <w:spacing w:after="0"/>
              <w:rPr>
                <w:sz w:val="20"/>
                <w:szCs w:val="20"/>
                <w:color w:val="auto"/>
              </w:rPr>
            </w:pPr>
            <w:r>
              <w:rPr>
                <w:rFonts w:ascii="Courier New" w:cs="Courier New" w:eastAsia="Courier New" w:hAnsi="Courier New"/>
                <w:sz w:val="15"/>
                <w:szCs w:val="15"/>
                <w:color w:val="auto"/>
              </w:rPr>
              <w:t>DELAWARE</w:t>
            </w:r>
          </w:p>
        </w:tc>
        <w:tc>
          <w:tcPr>
            <w:tcW w:w="1320" w:type="dxa"/>
            <w:vAlign w:val="bottom"/>
          </w:tcPr>
          <w:p>
            <w:pPr>
              <w:spacing w:after="0"/>
              <w:rPr>
                <w:sz w:val="23"/>
                <w:szCs w:val="23"/>
                <w:color w:val="auto"/>
              </w:rPr>
            </w:pPr>
          </w:p>
        </w:tc>
        <w:tc>
          <w:tcPr>
            <w:tcW w:w="23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94-3078125</w:t>
            </w:r>
          </w:p>
        </w:tc>
        <w:tc>
          <w:tcPr>
            <w:tcW w:w="0" w:type="dxa"/>
            <w:vAlign w:val="bottom"/>
          </w:tcPr>
          <w:p>
            <w:pPr>
              <w:spacing w:after="0"/>
              <w:rPr>
                <w:sz w:val="1"/>
                <w:szCs w:val="1"/>
                <w:color w:val="auto"/>
              </w:rPr>
            </w:pPr>
          </w:p>
        </w:tc>
      </w:tr>
      <w:tr>
        <w:trPr>
          <w:trHeight w:val="175"/>
        </w:trPr>
        <w:tc>
          <w:tcPr>
            <w:tcW w:w="37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(State or other jurisdiction of</w:t>
            </w:r>
          </w:p>
        </w:tc>
        <w:tc>
          <w:tcPr>
            <w:tcW w:w="23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6"/>
        </w:trPr>
        <w:tc>
          <w:tcPr>
            <w:tcW w:w="3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incorporation or organization)</w:t>
            </w:r>
          </w:p>
        </w:tc>
        <w:tc>
          <w:tcPr>
            <w:tcW w:w="23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bl>
    <w:p>
      <w:pPr>
        <w:spacing w:after="0" w:line="9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525 DEL REY AVENUE SUITE C</w:t>
      </w:r>
    </w:p>
    <w:p>
      <w:pPr>
        <w:spacing w:after="0" w:line="33"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SUNNYVALE, CA 94085</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52"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(408) 731-8670</w:t>
      </w:r>
    </w:p>
    <w:p>
      <w:pPr>
        <w:spacing w:after="0" w:line="33"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26" w:lineRule="exact"/>
        <w:rPr>
          <w:sz w:val="24"/>
          <w:szCs w:val="24"/>
          <w:color w:val="auto"/>
        </w:rPr>
      </w:pPr>
    </w:p>
    <w:p>
      <w:pPr>
        <w:ind w:right="2959"/>
        <w:spacing w:after="0" w:line="27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68" w:lineRule="exact"/>
        <w:rPr>
          <w:sz w:val="24"/>
          <w:szCs w:val="24"/>
          <w:color w:val="auto"/>
        </w:rPr>
      </w:pPr>
    </w:p>
    <w:p>
      <w:pPr>
        <w:spacing w:after="0"/>
        <w:tabs>
          <w:tab w:leader="none" w:pos="800" w:val="left"/>
          <w:tab w:leader="none" w:pos="1160" w:val="left"/>
        </w:tabs>
        <w:rPr>
          <w:sz w:val="20"/>
          <w:szCs w:val="20"/>
          <w:color w:val="auto"/>
        </w:rPr>
      </w:pPr>
      <w:r>
        <w:rPr>
          <w:rFonts w:ascii="Courier New" w:cs="Courier New" w:eastAsia="Courier New" w:hAnsi="Courier New"/>
          <w:sz w:val="15"/>
          <w:szCs w:val="15"/>
          <w:color w:val="auto"/>
        </w:rPr>
        <w:t>Yes /X/</w:t>
        <w:tab/>
        <w:t>No</w:t>
      </w:r>
      <w:r>
        <w:rPr>
          <w:sz w:val="20"/>
          <w:szCs w:val="20"/>
          <w:color w:val="auto"/>
        </w:rPr>
        <w:tab/>
      </w:r>
      <w:r>
        <w:rPr>
          <w:rFonts w:ascii="Courier New" w:cs="Courier New" w:eastAsia="Courier New" w:hAnsi="Courier New"/>
          <w:sz w:val="14"/>
          <w:szCs w:val="14"/>
          <w:color w:val="auto"/>
        </w:rPr>
        <w:t>/ /</w:t>
      </w:r>
    </w:p>
    <w:p>
      <w:pPr>
        <w:spacing w:after="0" w:line="180" w:lineRule="exact"/>
        <w:rPr>
          <w:sz w:val="24"/>
          <w:szCs w:val="24"/>
          <w:color w:val="auto"/>
        </w:rPr>
      </w:pPr>
    </w:p>
    <w:p>
      <w:pPr>
        <w:ind w:right="3219"/>
        <w:spacing w:after="0" w:line="368" w:lineRule="auto"/>
        <w:rPr>
          <w:sz w:val="20"/>
          <w:szCs w:val="20"/>
          <w:color w:val="auto"/>
        </w:rPr>
      </w:pPr>
      <w:r>
        <w:rPr>
          <w:rFonts w:ascii="Courier New" w:cs="Courier New" w:eastAsia="Courier New" w:hAnsi="Courier New"/>
          <w:sz w:val="15"/>
          <w:szCs w:val="15"/>
          <w:color w:val="auto"/>
        </w:rPr>
        <w:t>At September 30, 2000, there were 20,881,812 shares of Common Stock, $.01 par value, issued and outstanding.</w:t>
      </w:r>
    </w:p>
    <w:p>
      <w:pPr>
        <w:sectPr>
          <w:pgSz w:w="11900" w:h="16838" w:orient="portrait"/>
          <w:cols w:equalWidth="0" w:num="1">
            <w:col w:w="10219"/>
          </w:cols>
          <w:pgMar w:left="240" w:top="906" w:right="1440" w:bottom="1440" w:gutter="0" w:footer="0" w:header="0"/>
        </w:sectPr>
      </w:pPr>
    </w:p>
    <w:bookmarkStart w:id="1" w:name="page2"/>
    <w:bookmarkEnd w:id="1"/>
    <w:p>
      <w:pPr>
        <w:jc w:val="center"/>
        <w:ind w:right="2879"/>
        <w:spacing w:after="0"/>
        <w:rPr>
          <w:sz w:val="20"/>
          <w:szCs w:val="20"/>
          <w:color w:val="auto"/>
        </w:rPr>
      </w:pPr>
      <w:r>
        <w:rPr>
          <w:rFonts w:ascii="Courier New" w:cs="Courier New" w:eastAsia="Courier New" w:hAnsi="Courier New"/>
          <w:sz w:val="15"/>
          <w:szCs w:val="15"/>
          <w:color w:val="auto"/>
        </w:rPr>
        <w:t>STEMCELLS, INC.</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Page Number</w:t>
            </w:r>
          </w:p>
        </w:tc>
        <w:tc>
          <w:tcPr>
            <w:tcW w:w="0" w:type="dxa"/>
            <w:vAlign w:val="bottom"/>
          </w:tcPr>
          <w:p>
            <w:pPr>
              <w:spacing w:after="0"/>
              <w:rPr>
                <w:sz w:val="1"/>
                <w:szCs w:val="1"/>
                <w:color w:val="auto"/>
              </w:rPr>
            </w:pPr>
          </w:p>
        </w:tc>
      </w:tr>
      <w:tr>
        <w:trPr>
          <w:trHeight w:val="268"/>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146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 (Unaudited)</w:t>
            </w: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20" w:type="dxa"/>
            <w:vAlign w:val="bottom"/>
          </w:tcPr>
          <w:p>
            <w:pPr>
              <w:spacing w:after="0"/>
              <w:rPr>
                <w:sz w:val="23"/>
                <w:szCs w:val="23"/>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Balance Sheets September 30, 2000 and December</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31, 1999</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20" w:type="dxa"/>
            <w:vAlign w:val="bottom"/>
          </w:tcPr>
          <w:p>
            <w:pPr>
              <w:spacing w:after="0"/>
              <w:rPr>
                <w:sz w:val="23"/>
                <w:szCs w:val="23"/>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Operations Three and nine months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ended September 30, 2000 and 1999</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720" w:type="dxa"/>
            <w:vAlign w:val="bottom"/>
          </w:tcPr>
          <w:p>
            <w:pPr>
              <w:spacing w:after="0"/>
              <w:rPr>
                <w:sz w:val="23"/>
                <w:szCs w:val="23"/>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Cash Flows Nine months ended</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September 30, 2000 and1999</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720" w:type="dxa"/>
            <w:vAlign w:val="bottom"/>
          </w:tcPr>
          <w:p>
            <w:pPr>
              <w:spacing w:after="0"/>
              <w:rPr>
                <w:sz w:val="24"/>
                <w:szCs w:val="24"/>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268"/>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r>
        <w:trPr>
          <w:trHeight w:val="256"/>
        </w:trPr>
        <w:tc>
          <w:tcPr>
            <w:tcW w:w="720" w:type="dxa"/>
            <w:vAlign w:val="bottom"/>
          </w:tcPr>
          <w:p>
            <w:pPr>
              <w:spacing w:after="0"/>
              <w:rPr>
                <w:sz w:val="22"/>
                <w:szCs w:val="22"/>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of Operations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0"/>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w:t>
            </w:r>
          </w:p>
        </w:tc>
        <w:tc>
          <w:tcPr>
            <w:tcW w:w="0" w:type="dxa"/>
            <w:vAlign w:val="bottom"/>
          </w:tcPr>
          <w:p>
            <w:pPr>
              <w:spacing w:after="0"/>
              <w:rPr>
                <w:sz w:val="1"/>
                <w:szCs w:val="1"/>
                <w:color w:val="auto"/>
              </w:rPr>
            </w:pPr>
          </w:p>
        </w:tc>
      </w:tr>
      <w:tr>
        <w:trPr>
          <w:trHeight w:val="350"/>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Legal Proceedings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Submission of Matters to a Vote of Security-Holders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c>
          <w:tcPr>
            <w:tcW w:w="0" w:type="dxa"/>
            <w:vAlign w:val="bottom"/>
          </w:tcPr>
          <w:p>
            <w:pPr>
              <w:spacing w:after="0"/>
              <w:rPr>
                <w:sz w:val="1"/>
                <w:szCs w:val="1"/>
                <w:color w:val="auto"/>
              </w:rPr>
            </w:pPr>
          </w:p>
        </w:tc>
      </w:tr>
      <w:tr>
        <w:trPr>
          <w:trHeight w:val="350"/>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w:t>
            </w:r>
          </w:p>
        </w:tc>
        <w:tc>
          <w:tcPr>
            <w:tcW w:w="0" w:type="dxa"/>
            <w:vAlign w:val="bottom"/>
          </w:tcPr>
          <w:p>
            <w:pPr>
              <w:spacing w:after="0"/>
              <w:rPr>
                <w:sz w:val="1"/>
                <w:szCs w:val="1"/>
                <w:color w:val="auto"/>
              </w:rPr>
            </w:pPr>
          </w:p>
        </w:tc>
      </w:tr>
      <w:tr>
        <w:trPr>
          <w:trHeight w:val="350"/>
        </w:trPr>
        <w:tc>
          <w:tcPr>
            <w:tcW w:w="720" w:type="dxa"/>
            <w:vAlign w:val="bottom"/>
          </w:tcPr>
          <w:p>
            <w:pPr>
              <w:spacing w:after="0"/>
              <w:rPr>
                <w:sz w:val="24"/>
                <w:szCs w:val="24"/>
                <w:color w:val="auto"/>
              </w:rPr>
            </w:pPr>
          </w:p>
        </w:tc>
        <w:tc>
          <w:tcPr>
            <w:tcW w:w="7000" w:type="dxa"/>
            <w:vAlign w:val="bottom"/>
          </w:tcPr>
          <w:p>
            <w:pPr>
              <w:ind w:left="2820"/>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8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September 30, 2000</w:t>
            </w:r>
          </w:p>
        </w:tc>
        <w:tc>
          <w:tcPr>
            <w:tcW w:w="1780" w:type="dxa"/>
            <w:vAlign w:val="bottom"/>
            <w:gridSpan w:val="2"/>
          </w:tcPr>
          <w:p>
            <w:pPr>
              <w:jc w:val="center"/>
              <w:ind w:left="244"/>
              <w:spacing w:after="0"/>
              <w:rPr>
                <w:sz w:val="20"/>
                <w:szCs w:val="20"/>
                <w:color w:val="auto"/>
              </w:rPr>
            </w:pPr>
            <w:r>
              <w:rPr>
                <w:rFonts w:ascii="Courier New" w:cs="Courier New" w:eastAsia="Courier New" w:hAnsi="Courier New"/>
                <w:sz w:val="15"/>
                <w:szCs w:val="15"/>
                <w:color w:val="auto"/>
              </w:rPr>
              <w:t>December 31, 199</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5"/>
                <w:szCs w:val="15"/>
                <w:color w:val="auto"/>
              </w:rPr>
            </w:pP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(Note 1)</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28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center"/>
              <w:ind w:left="2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7,247,077</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4,760,064</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10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Technology sale receivable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200,000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3,000,000</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Other current assets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768,521</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1,210,791</w:t>
            </w:r>
          </w:p>
        </w:tc>
        <w:tc>
          <w:tcPr>
            <w:tcW w:w="0" w:type="dxa"/>
            <w:vAlign w:val="bottom"/>
          </w:tcPr>
          <w:p>
            <w:pPr>
              <w:spacing w:after="0"/>
              <w:rPr>
                <w:sz w:val="1"/>
                <w:szCs w:val="1"/>
                <w:color w:val="auto"/>
              </w:rPr>
            </w:pPr>
          </w:p>
        </w:tc>
      </w:tr>
      <w:tr>
        <w:trPr>
          <w:trHeight w:val="175"/>
        </w:trPr>
        <w:tc>
          <w:tcPr>
            <w:tcW w:w="594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940" w:type="dxa"/>
            <w:vAlign w:val="bottom"/>
            <w:vMerge w:val="continue"/>
          </w:tcPr>
          <w:p>
            <w:pPr>
              <w:spacing w:after="0"/>
              <w:rPr>
                <w:sz w:val="22"/>
                <w:szCs w:val="22"/>
                <w:color w:val="auto"/>
              </w:rPr>
            </w:pPr>
          </w:p>
        </w:tc>
        <w:tc>
          <w:tcPr>
            <w:tcW w:w="1060" w:type="dxa"/>
            <w:vAlign w:val="bottom"/>
          </w:tcPr>
          <w:p>
            <w:pPr>
              <w:spacing w:after="0"/>
              <w:rPr>
                <w:sz w:val="22"/>
                <w:szCs w:val="22"/>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8,215,598</w:t>
            </w:r>
          </w:p>
        </w:tc>
        <w:tc>
          <w:tcPr>
            <w:tcW w:w="500" w:type="dxa"/>
            <w:vAlign w:val="bottom"/>
          </w:tcPr>
          <w:p>
            <w:pPr>
              <w:spacing w:after="0"/>
              <w:rPr>
                <w:sz w:val="22"/>
                <w:szCs w:val="22"/>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8,970,855</w:t>
            </w:r>
          </w:p>
        </w:tc>
        <w:tc>
          <w:tcPr>
            <w:tcW w:w="0" w:type="dxa"/>
            <w:vAlign w:val="bottom"/>
          </w:tcPr>
          <w:p>
            <w:pPr>
              <w:spacing w:after="0"/>
              <w:rPr>
                <w:sz w:val="1"/>
                <w:szCs w:val="1"/>
                <w:color w:val="auto"/>
              </w:rPr>
            </w:pPr>
          </w:p>
        </w:tc>
      </w:tr>
      <w:tr>
        <w:trPr>
          <w:trHeight w:val="268"/>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23"/>
                <w:szCs w:val="23"/>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27,204,333</w:t>
            </w:r>
          </w:p>
        </w:tc>
        <w:tc>
          <w:tcPr>
            <w:tcW w:w="500" w:type="dxa"/>
            <w:vAlign w:val="bottom"/>
          </w:tcPr>
          <w:p>
            <w:pPr>
              <w:spacing w:after="0"/>
              <w:rPr>
                <w:sz w:val="23"/>
                <w:szCs w:val="23"/>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Property held for sale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3,203,491</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3,203,491</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Property, plant and equipment, net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1,517,564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1,747,885</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 net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740,543</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1,108,768</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750,000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750,000</w:t>
            </w:r>
          </w:p>
        </w:tc>
        <w:tc>
          <w:tcPr>
            <w:tcW w:w="0" w:type="dxa"/>
            <w:vAlign w:val="bottom"/>
          </w:tcPr>
          <w:p>
            <w:pPr>
              <w:spacing w:after="0"/>
              <w:rPr>
                <w:sz w:val="1"/>
                <w:szCs w:val="1"/>
                <w:color w:val="auto"/>
              </w:rPr>
            </w:pPr>
          </w:p>
        </w:tc>
      </w:tr>
      <w:tr>
        <w:trPr>
          <w:trHeight w:val="175"/>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Total assets</w:t>
            </w: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41,631,529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15,780,999</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234,444</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631,315</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10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574,267</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2,605,068</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327,083</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324,167</w:t>
            </w:r>
          </w:p>
        </w:tc>
        <w:tc>
          <w:tcPr>
            <w:tcW w:w="0" w:type="dxa"/>
            <w:vAlign w:val="bottom"/>
          </w:tcPr>
          <w:p>
            <w:pPr>
              <w:spacing w:after="0"/>
              <w:rPr>
                <w:sz w:val="1"/>
                <w:szCs w:val="1"/>
                <w:color w:val="auto"/>
              </w:rPr>
            </w:pPr>
          </w:p>
        </w:tc>
      </w:tr>
      <w:tr>
        <w:trPr>
          <w:trHeight w:val="175"/>
        </w:trPr>
        <w:tc>
          <w:tcPr>
            <w:tcW w:w="5940" w:type="dxa"/>
            <w:vAlign w:val="bottom"/>
            <w:vMerge w:val="restart"/>
          </w:tcPr>
          <w:p>
            <w:pPr>
              <w:spacing w:after="0"/>
              <w:rPr>
                <w:sz w:val="20"/>
                <w:szCs w:val="20"/>
                <w:color w:val="auto"/>
              </w:rPr>
            </w:pPr>
            <w:r>
              <w:rPr>
                <w:rFonts w:ascii="Courier New" w:cs="Courier New" w:eastAsia="Courier New" w:hAnsi="Courier New"/>
                <w:sz w:val="15"/>
                <w:szCs w:val="15"/>
                <w:color w:val="auto"/>
              </w:rPr>
              <w:t>Total current liabilities</w:t>
            </w: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940" w:type="dxa"/>
            <w:vAlign w:val="bottom"/>
            <w:vMerge w:val="continue"/>
          </w:tcPr>
          <w:p>
            <w:pPr>
              <w:spacing w:after="0"/>
              <w:rPr>
                <w:sz w:val="22"/>
                <w:szCs w:val="22"/>
                <w:color w:val="auto"/>
              </w:rPr>
            </w:pPr>
          </w:p>
        </w:tc>
        <w:tc>
          <w:tcPr>
            <w:tcW w:w="1060" w:type="dxa"/>
            <w:vAlign w:val="bottom"/>
          </w:tcPr>
          <w:p>
            <w:pPr>
              <w:spacing w:after="0"/>
              <w:rPr>
                <w:sz w:val="22"/>
                <w:szCs w:val="22"/>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1,135,794</w:t>
            </w:r>
          </w:p>
        </w:tc>
        <w:tc>
          <w:tcPr>
            <w:tcW w:w="500" w:type="dxa"/>
            <w:vAlign w:val="bottom"/>
          </w:tcPr>
          <w:p>
            <w:pPr>
              <w:spacing w:after="0"/>
              <w:rPr>
                <w:sz w:val="22"/>
                <w:szCs w:val="22"/>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3,560,550</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60" w:type="dxa"/>
            <w:vAlign w:val="bottom"/>
          </w:tcPr>
          <w:p>
            <w:pPr>
              <w:spacing w:after="0"/>
              <w:rPr>
                <w:sz w:val="23"/>
                <w:szCs w:val="23"/>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2,692,500</w:t>
            </w:r>
          </w:p>
        </w:tc>
        <w:tc>
          <w:tcPr>
            <w:tcW w:w="500" w:type="dxa"/>
            <w:vAlign w:val="bottom"/>
          </w:tcPr>
          <w:p>
            <w:pPr>
              <w:spacing w:after="0"/>
              <w:rPr>
                <w:sz w:val="23"/>
                <w:szCs w:val="23"/>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2,937,083</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26,000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26,000</w:t>
            </w:r>
          </w:p>
        </w:tc>
        <w:tc>
          <w:tcPr>
            <w:tcW w:w="0" w:type="dxa"/>
            <w:vAlign w:val="bottom"/>
          </w:tcPr>
          <w:p>
            <w:pPr>
              <w:spacing w:after="0"/>
              <w:rPr>
                <w:sz w:val="1"/>
                <w:szCs w:val="1"/>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Deferred rent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650,984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502,353</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0"/>
                <w:szCs w:val="20"/>
                <w:color w:val="auto"/>
              </w:rPr>
            </w:pPr>
            <w:r>
              <w:rPr>
                <w:rFonts w:ascii="Courier New" w:cs="Courier New" w:eastAsia="Courier New" w:hAnsi="Courier New"/>
                <w:sz w:val="15"/>
                <w:szCs w:val="15"/>
                <w:color w:val="auto"/>
              </w:rPr>
              <w:t>Redeemable stock</w:t>
            </w:r>
          </w:p>
        </w:tc>
        <w:tc>
          <w:tcPr>
            <w:tcW w:w="1060" w:type="dxa"/>
            <w:vAlign w:val="bottom"/>
          </w:tcPr>
          <w:p>
            <w:pPr>
              <w:spacing w:after="0"/>
              <w:rPr>
                <w:sz w:val="22"/>
                <w:szCs w:val="22"/>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5,248,610</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spacing w:after="0"/>
              <w:rPr>
                <w:sz w:val="23"/>
                <w:szCs w:val="23"/>
                <w:color w:val="auto"/>
              </w:rPr>
            </w:pPr>
          </w:p>
        </w:tc>
        <w:tc>
          <w:tcPr>
            <w:tcW w:w="1760" w:type="dxa"/>
            <w:vAlign w:val="bottom"/>
            <w:vMerge w:val="restart"/>
          </w:tcPr>
          <w:p>
            <w:pPr>
              <w:jc w:val="right"/>
              <w:ind w:right="504"/>
              <w:spacing w:after="0"/>
              <w:rPr>
                <w:sz w:val="20"/>
                <w:szCs w:val="20"/>
                <w:color w:val="auto"/>
              </w:rPr>
            </w:pPr>
            <w:r>
              <w:rPr>
                <w:rFonts w:ascii="Courier New" w:cs="Courier New" w:eastAsia="Courier New" w:hAnsi="Courier New"/>
                <w:sz w:val="15"/>
                <w:szCs w:val="15"/>
                <w:color w:val="auto"/>
              </w:rPr>
              <w:t>1,500,000</w:t>
            </w:r>
          </w:p>
        </w:tc>
        <w:tc>
          <w:tcPr>
            <w:tcW w:w="500" w:type="dxa"/>
            <w:vAlign w:val="bottom"/>
          </w:tcPr>
          <w:p>
            <w:pPr>
              <w:spacing w:after="0"/>
              <w:rPr>
                <w:sz w:val="23"/>
                <w:szCs w:val="23"/>
                <w:color w:val="auto"/>
              </w:rPr>
            </w:pPr>
          </w:p>
        </w:tc>
        <w:tc>
          <w:tcPr>
            <w:tcW w:w="1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Convertible Preferred Stock</w:t>
            </w:r>
          </w:p>
        </w:tc>
        <w:tc>
          <w:tcPr>
            <w:tcW w:w="106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208,818</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186,355</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 in capital</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134,698,668</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123,917,758</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Stock Subscription Receivable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(1,250,004)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9"/>
              </w:rPr>
              <w:t>(124,237,900)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(119,372,710)</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27,204,333</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(997,664)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(1,225,000)</w:t>
            </w:r>
          </w:p>
        </w:tc>
        <w:tc>
          <w:tcPr>
            <w:tcW w:w="0" w:type="dxa"/>
            <w:vAlign w:val="bottom"/>
          </w:tcPr>
          <w:p>
            <w:pPr>
              <w:spacing w:after="0"/>
              <w:rPr>
                <w:sz w:val="1"/>
                <w:szCs w:val="1"/>
                <w:color w:val="auto"/>
              </w:rPr>
            </w:pPr>
          </w:p>
        </w:tc>
      </w:tr>
      <w:tr>
        <w:trPr>
          <w:trHeight w:val="175"/>
        </w:trPr>
        <w:tc>
          <w:tcPr>
            <w:tcW w:w="594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stockholders' equity</w:t>
            </w: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37,126,251</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3,506,403</w:t>
            </w:r>
          </w:p>
        </w:tc>
        <w:tc>
          <w:tcPr>
            <w:tcW w:w="0" w:type="dxa"/>
            <w:vAlign w:val="bottom"/>
          </w:tcPr>
          <w:p>
            <w:pPr>
              <w:spacing w:after="0"/>
              <w:rPr>
                <w:sz w:val="1"/>
                <w:szCs w:val="1"/>
                <w:color w:val="auto"/>
              </w:rPr>
            </w:pPr>
          </w:p>
        </w:tc>
      </w:tr>
      <w:tr>
        <w:trPr>
          <w:trHeight w:val="175"/>
        </w:trPr>
        <w:tc>
          <w:tcPr>
            <w:tcW w:w="5940" w:type="dxa"/>
            <w:vAlign w:val="bottom"/>
            <w:vMerge w:val="restart"/>
          </w:tcPr>
          <w:p>
            <w:pPr>
              <w:ind w:left="8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940" w:type="dxa"/>
            <w:vAlign w:val="bottom"/>
            <w:vMerge w:val="continue"/>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41,631,529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15,780,999</w:t>
            </w:r>
          </w:p>
        </w:tc>
        <w:tc>
          <w:tcPr>
            <w:tcW w:w="0" w:type="dxa"/>
            <w:vAlign w:val="bottom"/>
          </w:tcPr>
          <w:p>
            <w:pPr>
              <w:spacing w:after="0"/>
              <w:rPr>
                <w:sz w:val="1"/>
                <w:szCs w:val="1"/>
                <w:color w:val="auto"/>
              </w:rPr>
            </w:pPr>
          </w:p>
        </w:tc>
      </w:tr>
      <w:tr>
        <w:trPr>
          <w:trHeight w:val="256"/>
        </w:trPr>
        <w:tc>
          <w:tcPr>
            <w:tcW w:w="5940" w:type="dxa"/>
            <w:vAlign w:val="bottom"/>
          </w:tcPr>
          <w:p>
            <w:pPr>
              <w:spacing w:after="0"/>
              <w:rPr>
                <w:sz w:val="22"/>
                <w:szCs w:val="22"/>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540"/>
          </w:cols>
          <w:pgMar w:left="240" w:top="789" w:right="11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2"/>
          </w:tcPr>
          <w:p>
            <w:pPr>
              <w:jc w:val="right"/>
              <w:ind w:right="904"/>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3"/>
          </w:tcPr>
          <w:p>
            <w:pPr>
              <w:jc w:val="right"/>
              <w:ind w:right="964"/>
              <w:spacing w:after="0"/>
              <w:rPr>
                <w:sz w:val="20"/>
                <w:szCs w:val="20"/>
                <w:color w:val="auto"/>
              </w:rPr>
            </w:pPr>
            <w:r>
              <w:rPr>
                <w:rFonts w:ascii="Courier New" w:cs="Courier New" w:eastAsia="Courier New" w:hAnsi="Courier New"/>
                <w:sz w:val="15"/>
                <w:szCs w:val="15"/>
                <w:color w:val="auto"/>
              </w:rPr>
              <w:t>Ended September 30</w:t>
            </w:r>
          </w:p>
        </w:tc>
        <w:tc>
          <w:tcPr>
            <w:tcW w:w="320" w:type="dxa"/>
            <w:vAlign w:val="bottom"/>
          </w:tcPr>
          <w:p>
            <w:pPr>
              <w:spacing w:after="0"/>
              <w:rPr>
                <w:sz w:val="15"/>
                <w:szCs w:val="15"/>
                <w:color w:val="auto"/>
              </w:rPr>
            </w:pPr>
          </w:p>
        </w:tc>
        <w:tc>
          <w:tcPr>
            <w:tcW w:w="280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Ended September 30</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2"/>
                <w:szCs w:val="22"/>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22"/>
                <w:szCs w:val="22"/>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5,021,707</w:t>
            </w: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23"/>
                <w:szCs w:val="23"/>
                <w:color w:val="auto"/>
              </w:rPr>
            </w:pP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1,137,947</w:t>
            </w:r>
          </w:p>
        </w:tc>
        <w:tc>
          <w:tcPr>
            <w:tcW w:w="360" w:type="dxa"/>
            <w:vAlign w:val="bottom"/>
          </w:tcPr>
          <w:p>
            <w:pPr>
              <w:spacing w:after="0"/>
              <w:rPr>
                <w:sz w:val="23"/>
                <w:szCs w:val="23"/>
                <w:color w:val="auto"/>
              </w:rPr>
            </w:pPr>
          </w:p>
        </w:tc>
        <w:tc>
          <w:tcPr>
            <w:tcW w:w="13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1,584,879</w:t>
            </w:r>
          </w:p>
        </w:tc>
        <w:tc>
          <w:tcPr>
            <w:tcW w:w="320" w:type="dxa"/>
            <w:vAlign w:val="bottom"/>
          </w:tcPr>
          <w:p>
            <w:pPr>
              <w:spacing w:after="0"/>
              <w:rPr>
                <w:sz w:val="23"/>
                <w:szCs w:val="23"/>
                <w:color w:val="auto"/>
              </w:rPr>
            </w:pPr>
          </w:p>
        </w:tc>
        <w:tc>
          <w:tcPr>
            <w:tcW w:w="14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2,797,878</w:t>
            </w:r>
          </w:p>
        </w:tc>
        <w:tc>
          <w:tcPr>
            <w:tcW w:w="1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8,432,262</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840,490</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1,027,357</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2,918,776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3,195,672</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280" w:type="dxa"/>
            <w:vAlign w:val="bottom"/>
          </w:tcPr>
          <w:p>
            <w:pPr>
              <w:spacing w:after="0"/>
              <w:rPr>
                <w:sz w:val="15"/>
                <w:szCs w:val="15"/>
                <w:color w:val="auto"/>
              </w:rPr>
            </w:pP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574,317</w:t>
            </w:r>
          </w:p>
        </w:tc>
        <w:tc>
          <w:tcPr>
            <w:tcW w:w="360" w:type="dxa"/>
            <w:vAlign w:val="bottom"/>
          </w:tcPr>
          <w:p>
            <w:pPr>
              <w:spacing w:after="0"/>
              <w:rPr>
                <w:sz w:val="15"/>
                <w:szCs w:val="15"/>
                <w:color w:val="auto"/>
              </w:rPr>
            </w:pPr>
          </w:p>
        </w:tc>
        <w:tc>
          <w:tcPr>
            <w:tcW w:w="13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4,078,034</w:t>
            </w:r>
          </w:p>
        </w:tc>
        <w:tc>
          <w:tcPr>
            <w:tcW w:w="320" w:type="dxa"/>
            <w:vAlign w:val="bottom"/>
          </w:tcPr>
          <w:p>
            <w:pPr>
              <w:spacing w:after="0"/>
              <w:rPr>
                <w:sz w:val="15"/>
                <w:szCs w:val="15"/>
                <w:color w:val="auto"/>
              </w:rPr>
            </w:pPr>
          </w:p>
        </w:tc>
        <w:tc>
          <w:tcPr>
            <w:tcW w:w="14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574,317</w:t>
            </w:r>
          </w:p>
        </w:tc>
        <w:tc>
          <w:tcPr>
            <w:tcW w:w="1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4,078,034</w:t>
            </w:r>
          </w:p>
        </w:tc>
        <w:tc>
          <w:tcPr>
            <w:tcW w:w="0" w:type="dxa"/>
            <w:vAlign w:val="bottom"/>
          </w:tcPr>
          <w:p>
            <w:pPr>
              <w:spacing w:after="0"/>
              <w:rPr>
                <w:sz w:val="1"/>
                <w:szCs w:val="1"/>
                <w:color w:val="auto"/>
              </w:rPr>
            </w:pP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relocation</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2,552,754</w:t>
            </w:r>
          </w:p>
        </w:tc>
        <w:tc>
          <w:tcPr>
            <w:tcW w:w="360" w:type="dxa"/>
            <w:vAlign w:val="bottom"/>
          </w:tcPr>
          <w:p>
            <w:pPr>
              <w:spacing w:after="0"/>
              <w:rPr>
                <w:sz w:val="22"/>
                <w:szCs w:val="22"/>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6,690,270</w:t>
            </w:r>
          </w:p>
        </w:tc>
        <w:tc>
          <w:tcPr>
            <w:tcW w:w="320" w:type="dxa"/>
            <w:vAlign w:val="bottom"/>
          </w:tcPr>
          <w:p>
            <w:pPr>
              <w:spacing w:after="0"/>
              <w:rPr>
                <w:sz w:val="22"/>
                <w:szCs w:val="22"/>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6,290,971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15,705,968</w:t>
            </w:r>
          </w:p>
        </w:tc>
        <w:tc>
          <w:tcPr>
            <w:tcW w:w="0" w:type="dxa"/>
            <w:vAlign w:val="bottom"/>
          </w:tcPr>
          <w:p>
            <w:pPr>
              <w:spacing w:after="0"/>
              <w:rPr>
                <w:sz w:val="1"/>
                <w:szCs w:val="1"/>
                <w:color w:val="auto"/>
              </w:rPr>
            </w:pPr>
          </w:p>
        </w:tc>
      </w:tr>
      <w:tr>
        <w:trPr>
          <w:trHeight w:val="524"/>
        </w:trPr>
        <w:tc>
          <w:tcPr>
            <w:tcW w:w="508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80" w:type="dxa"/>
            <w:vAlign w:val="bottom"/>
          </w:tcPr>
          <w:p>
            <w:pPr>
              <w:spacing w:after="0"/>
              <w:rPr>
                <w:sz w:val="24"/>
                <w:szCs w:val="24"/>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(2,552,754)</w:t>
            </w:r>
          </w:p>
        </w:tc>
        <w:tc>
          <w:tcPr>
            <w:tcW w:w="36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(6,690,270)</w:t>
            </w:r>
          </w:p>
        </w:tc>
        <w:tc>
          <w:tcPr>
            <w:tcW w:w="320" w:type="dxa"/>
            <w:vAlign w:val="bottom"/>
          </w:tcPr>
          <w:p>
            <w:pPr>
              <w:spacing w:after="0"/>
              <w:rPr>
                <w:sz w:val="24"/>
                <w:szCs w:val="24"/>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(6,290,971)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(10,684,261)</w:t>
            </w:r>
          </w:p>
        </w:tc>
        <w:tc>
          <w:tcPr>
            <w:tcW w:w="0" w:type="dxa"/>
            <w:vAlign w:val="bottom"/>
          </w:tcPr>
          <w:p>
            <w:pPr>
              <w:spacing w:after="0"/>
              <w:rPr>
                <w:sz w:val="1"/>
                <w:szCs w:val="1"/>
                <w:color w:val="auto"/>
              </w:rPr>
            </w:pPr>
          </w:p>
        </w:tc>
      </w:tr>
      <w:tr>
        <w:trPr>
          <w:trHeight w:val="268"/>
        </w:trPr>
        <w:tc>
          <w:tcPr>
            <w:tcW w:w="5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23"/>
                <w:szCs w:val="23"/>
                <w:color w:val="auto"/>
              </w:rPr>
            </w:pP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80,248</w:t>
            </w:r>
          </w:p>
        </w:tc>
        <w:tc>
          <w:tcPr>
            <w:tcW w:w="360" w:type="dxa"/>
            <w:vAlign w:val="bottom"/>
          </w:tcPr>
          <w:p>
            <w:pPr>
              <w:spacing w:after="0"/>
              <w:rPr>
                <w:sz w:val="23"/>
                <w:szCs w:val="23"/>
                <w:color w:val="auto"/>
              </w:rPr>
            </w:pPr>
          </w:p>
        </w:tc>
        <w:tc>
          <w:tcPr>
            <w:tcW w:w="13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97,783</w:t>
            </w:r>
          </w:p>
        </w:tc>
        <w:tc>
          <w:tcPr>
            <w:tcW w:w="320" w:type="dxa"/>
            <w:vAlign w:val="bottom"/>
          </w:tcPr>
          <w:p>
            <w:pPr>
              <w:spacing w:after="0"/>
              <w:rPr>
                <w:sz w:val="23"/>
                <w:szCs w:val="23"/>
                <w:color w:val="auto"/>
              </w:rPr>
            </w:pPr>
          </w:p>
        </w:tc>
        <w:tc>
          <w:tcPr>
            <w:tcW w:w="14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218,480</w:t>
            </w:r>
          </w:p>
        </w:tc>
        <w:tc>
          <w:tcPr>
            <w:tcW w:w="1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504,114</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Investment income</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(66,720)</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(51,782)</w:t>
            </w:r>
          </w:p>
        </w:tc>
        <w:tc>
          <w:tcPr>
            <w:tcW w:w="320" w:type="dxa"/>
            <w:vAlign w:val="bottom"/>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(209,287)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(236,836)</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Modex shares</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1,427,686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Loss on disposal of fixed assets</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(66,777)</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(11,098)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(66,777)</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13,528</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(20,776)</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1,425,781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200,501</w:t>
            </w:r>
          </w:p>
        </w:tc>
        <w:tc>
          <w:tcPr>
            <w:tcW w:w="0" w:type="dxa"/>
            <w:vAlign w:val="bottom"/>
          </w:tcPr>
          <w:p>
            <w:pPr>
              <w:spacing w:after="0"/>
              <w:rPr>
                <w:sz w:val="1"/>
                <w:szCs w:val="1"/>
                <w:color w:val="auto"/>
              </w:rPr>
            </w:pPr>
          </w:p>
        </w:tc>
      </w:tr>
      <w:tr>
        <w:trPr>
          <w:trHeight w:val="175"/>
        </w:trPr>
        <w:tc>
          <w:tcPr>
            <w:tcW w:w="50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Net loss</w:t>
            </w: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50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($2,539,226)</w:t>
            </w:r>
          </w:p>
        </w:tc>
        <w:tc>
          <w:tcPr>
            <w:tcW w:w="360" w:type="dxa"/>
            <w:vAlign w:val="bottom"/>
          </w:tcPr>
          <w:p>
            <w:pPr>
              <w:spacing w:after="0"/>
              <w:rPr>
                <w:sz w:val="22"/>
                <w:szCs w:val="22"/>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($6,711,046)</w:t>
            </w:r>
          </w:p>
        </w:tc>
        <w:tc>
          <w:tcPr>
            <w:tcW w:w="320" w:type="dxa"/>
            <w:vAlign w:val="bottom"/>
          </w:tcPr>
          <w:p>
            <w:pPr>
              <w:spacing w:after="0"/>
              <w:rPr>
                <w:sz w:val="22"/>
                <w:szCs w:val="22"/>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($4,865,190)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c>
          <w:tcPr>
            <w:tcW w:w="0" w:type="dxa"/>
            <w:vAlign w:val="bottom"/>
          </w:tcPr>
          <w:p>
            <w:pPr>
              <w:spacing w:after="0"/>
              <w:rPr>
                <w:sz w:val="1"/>
                <w:szCs w:val="1"/>
                <w:color w:val="auto"/>
              </w:rPr>
            </w:pPr>
          </w:p>
        </w:tc>
      </w:tr>
      <w:tr>
        <w:trPr>
          <w:trHeight w:val="268"/>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Deemed dividend  (Note 5)</w:t>
            </w:r>
          </w:p>
        </w:tc>
        <w:tc>
          <w:tcPr>
            <w:tcW w:w="280" w:type="dxa"/>
            <w:vAlign w:val="bottom"/>
          </w:tcPr>
          <w:p>
            <w:pPr>
              <w:spacing w:after="0"/>
              <w:rPr>
                <w:sz w:val="23"/>
                <w:szCs w:val="23"/>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3"/>
                <w:szCs w:val="23"/>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3"/>
                <w:szCs w:val="23"/>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(265,000)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vMerge w:val="restart"/>
          </w:tcPr>
          <w:p>
            <w:pPr>
              <w:spacing w:after="0"/>
              <w:rPr>
                <w:sz w:val="20"/>
                <w:szCs w:val="20"/>
                <w:color w:val="auto"/>
              </w:rPr>
            </w:pPr>
            <w:r>
              <w:rPr>
                <w:rFonts w:ascii="Courier New" w:cs="Courier New" w:eastAsia="Courier New" w:hAnsi="Courier New"/>
                <w:sz w:val="15"/>
                <w:szCs w:val="15"/>
                <w:color w:val="auto"/>
              </w:rPr>
              <w:t>Net loss applicable to common shareholders</w:t>
            </w: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($2,539,226)</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($6,711,046)</w:t>
            </w:r>
          </w:p>
        </w:tc>
        <w:tc>
          <w:tcPr>
            <w:tcW w:w="320" w:type="dxa"/>
            <w:vAlign w:val="bottom"/>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($5,130,190)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c>
          <w:tcPr>
            <w:tcW w:w="0" w:type="dxa"/>
            <w:vAlign w:val="bottom"/>
          </w:tcPr>
          <w:p>
            <w:pPr>
              <w:spacing w:after="0"/>
              <w:rPr>
                <w:sz w:val="1"/>
                <w:szCs w:val="1"/>
                <w:color w:val="auto"/>
              </w:rPr>
            </w:pPr>
          </w:p>
        </w:tc>
      </w:tr>
      <w:tr>
        <w:trPr>
          <w:trHeight w:val="175"/>
        </w:trPr>
        <w:tc>
          <w:tcPr>
            <w:tcW w:w="5080" w:type="dxa"/>
            <w:vAlign w:val="bottom"/>
            <w:vMerge w:val="restart"/>
          </w:tcPr>
          <w:p>
            <w:pPr>
              <w:spacing w:after="0"/>
              <w:rPr>
                <w:sz w:val="20"/>
                <w:szCs w:val="20"/>
                <w:color w:val="auto"/>
              </w:rPr>
            </w:pPr>
            <w:r>
              <w:rPr>
                <w:rFonts w:ascii="Courier New" w:cs="Courier New" w:eastAsia="Courier New" w:hAnsi="Courier New"/>
                <w:sz w:val="15"/>
                <w:szCs w:val="15"/>
                <w:color w:val="auto"/>
              </w:rPr>
              <w:t>Basic and diluted net loss per common share</w:t>
            </w: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50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($ 0.36)</w:t>
            </w:r>
          </w:p>
        </w:tc>
        <w:tc>
          <w:tcPr>
            <w:tcW w:w="320" w:type="dxa"/>
            <w:vAlign w:val="bottom"/>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($ 0.26)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($ 0.56)</w:t>
            </w:r>
          </w:p>
        </w:tc>
        <w:tc>
          <w:tcPr>
            <w:tcW w:w="0" w:type="dxa"/>
            <w:vAlign w:val="bottom"/>
          </w:tcPr>
          <w:p>
            <w:pPr>
              <w:spacing w:after="0"/>
              <w:rPr>
                <w:sz w:val="1"/>
                <w:szCs w:val="1"/>
                <w:color w:val="auto"/>
              </w:rPr>
            </w:pPr>
          </w:p>
        </w:tc>
      </w:tr>
      <w:tr>
        <w:trPr>
          <w:trHeight w:val="256"/>
        </w:trPr>
        <w:tc>
          <w:tcPr>
            <w:tcW w:w="5080" w:type="dxa"/>
            <w:vAlign w:val="bottom"/>
            <w:vMerge w:val="restart"/>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5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20,203,573</w:t>
            </w:r>
          </w:p>
        </w:tc>
        <w:tc>
          <w:tcPr>
            <w:tcW w:w="360" w:type="dxa"/>
            <w:vAlign w:val="bottom"/>
          </w:tcPr>
          <w:p>
            <w:pPr>
              <w:spacing w:after="0"/>
              <w:rPr>
                <w:sz w:val="8"/>
                <w:szCs w:val="8"/>
                <w:color w:val="auto"/>
              </w:rPr>
            </w:pPr>
          </w:p>
        </w:tc>
        <w:tc>
          <w:tcPr>
            <w:tcW w:w="13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18,712,632</w:t>
            </w:r>
          </w:p>
        </w:tc>
        <w:tc>
          <w:tcPr>
            <w:tcW w:w="320" w:type="dxa"/>
            <w:vAlign w:val="bottom"/>
          </w:tcPr>
          <w:p>
            <w:pPr>
              <w:spacing w:after="0"/>
              <w:rPr>
                <w:sz w:val="8"/>
                <w:szCs w:val="8"/>
                <w:color w:val="auto"/>
              </w:rPr>
            </w:pPr>
          </w:p>
        </w:tc>
        <w:tc>
          <w:tcPr>
            <w:tcW w:w="140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19,682,590</w:t>
            </w:r>
          </w:p>
        </w:tc>
        <w:tc>
          <w:tcPr>
            <w:tcW w:w="14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18,560,675</w:t>
            </w:r>
          </w:p>
        </w:tc>
        <w:tc>
          <w:tcPr>
            <w:tcW w:w="0" w:type="dxa"/>
            <w:vAlign w:val="bottom"/>
          </w:tcPr>
          <w:p>
            <w:pPr>
              <w:spacing w:after="0"/>
              <w:rPr>
                <w:sz w:val="1"/>
                <w:szCs w:val="1"/>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loss per common share</w:t>
            </w:r>
          </w:p>
        </w:tc>
        <w:tc>
          <w:tcPr>
            <w:tcW w:w="2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789" w:right="1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15"/>
                <w:szCs w:val="15"/>
                <w:color w:val="auto"/>
              </w:rPr>
            </w:pPr>
          </w:p>
        </w:tc>
        <w:tc>
          <w:tcPr>
            <w:tcW w:w="272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2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2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06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($4,865,190)</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($10,483,760)</w:t>
            </w:r>
          </w:p>
        </w:tc>
        <w:tc>
          <w:tcPr>
            <w:tcW w:w="0" w:type="dxa"/>
            <w:vAlign w:val="bottom"/>
          </w:tcPr>
          <w:p>
            <w:pPr>
              <w:spacing w:after="0"/>
              <w:rPr>
                <w:sz w:val="1"/>
                <w:szCs w:val="1"/>
                <w:color w:val="auto"/>
              </w:rPr>
            </w:pP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20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Gain on sale of Modex shares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(1,427,686)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used for operating activities:</w:t>
            </w:r>
          </w:p>
        </w:tc>
        <w:tc>
          <w:tcPr>
            <w:tcW w:w="780" w:type="dxa"/>
            <w:vAlign w:val="bottom"/>
          </w:tcPr>
          <w:p>
            <w:pPr>
              <w:spacing w:after="0"/>
              <w:rPr>
                <w:sz w:val="15"/>
                <w:szCs w:val="15"/>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617,447</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1,603,691</w:t>
            </w:r>
          </w:p>
        </w:tc>
        <w:tc>
          <w:tcPr>
            <w:tcW w:w="0" w:type="dxa"/>
            <w:vAlign w:val="bottom"/>
          </w:tcPr>
          <w:p>
            <w:pPr>
              <w:spacing w:after="0"/>
              <w:rPr>
                <w:sz w:val="1"/>
                <w:szCs w:val="1"/>
                <w:color w:val="auto"/>
              </w:rPr>
            </w:pP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Write down of fixed assets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c>
          <w:tcPr>
            <w:tcW w:w="0" w:type="dxa"/>
            <w:vAlign w:val="bottom"/>
          </w:tcPr>
          <w:p>
            <w:pPr>
              <w:spacing w:after="0"/>
              <w:rPr>
                <w:sz w:val="1"/>
                <w:szCs w:val="1"/>
                <w:color w:val="auto"/>
              </w:rPr>
            </w:pP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Deferred stock compensation</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464,363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244,337</w:t>
            </w:r>
          </w:p>
        </w:tc>
        <w:tc>
          <w:tcPr>
            <w:tcW w:w="0" w:type="dxa"/>
            <w:vAlign w:val="bottom"/>
          </w:tcPr>
          <w:p>
            <w:pPr>
              <w:spacing w:after="0"/>
              <w:rPr>
                <w:sz w:val="1"/>
                <w:szCs w:val="1"/>
                <w:color w:val="auto"/>
              </w:rPr>
            </w:pP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Loss on sale of fixed assets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66,777</w:t>
            </w:r>
          </w:p>
        </w:tc>
        <w:tc>
          <w:tcPr>
            <w:tcW w:w="0" w:type="dxa"/>
            <w:vAlign w:val="bottom"/>
          </w:tcPr>
          <w:p>
            <w:pPr>
              <w:spacing w:after="0"/>
              <w:rPr>
                <w:sz w:val="1"/>
                <w:szCs w:val="1"/>
                <w:color w:val="auto"/>
              </w:rPr>
            </w:pP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(3,086,775)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(1,978,807)</w:t>
            </w:r>
          </w:p>
        </w:tc>
        <w:tc>
          <w:tcPr>
            <w:tcW w:w="0" w:type="dxa"/>
            <w:vAlign w:val="bottom"/>
          </w:tcPr>
          <w:p>
            <w:pPr>
              <w:spacing w:after="0"/>
              <w:rPr>
                <w:sz w:val="1"/>
                <w:szCs w:val="1"/>
                <w:color w:val="auto"/>
              </w:rPr>
            </w:pPr>
          </w:p>
        </w:tc>
      </w:tr>
      <w:tr>
        <w:trPr>
          <w:trHeight w:val="175"/>
        </w:trPr>
        <w:tc>
          <w:tcPr>
            <w:tcW w:w="63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cash used in operating activities</w:t>
            </w: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(8,297,841)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(9,747,762)</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80" w:type="dxa"/>
            <w:vAlign w:val="bottom"/>
          </w:tcPr>
          <w:p>
            <w:pPr>
              <w:spacing w:after="0"/>
              <w:rPr>
                <w:sz w:val="23"/>
                <w:szCs w:val="23"/>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11,317,482</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marketable securities</w:t>
            </w:r>
          </w:p>
        </w:tc>
        <w:tc>
          <w:tcPr>
            <w:tcW w:w="7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Purchases of marketable securities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2,800,000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Purchase of property, plant and equipment, net</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(18,901)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(47,210)</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Modex shares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1,427,686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Acquisition of other assets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(138,090)</w:t>
            </w:r>
          </w:p>
        </w:tc>
        <w:tc>
          <w:tcPr>
            <w:tcW w:w="0" w:type="dxa"/>
            <w:vAlign w:val="bottom"/>
          </w:tcPr>
          <w:p>
            <w:pPr>
              <w:spacing w:after="0"/>
              <w:rPr>
                <w:sz w:val="1"/>
                <w:szCs w:val="1"/>
                <w:color w:val="auto"/>
              </w:rPr>
            </w:pPr>
          </w:p>
        </w:tc>
      </w:tr>
      <w:tr>
        <w:trPr>
          <w:trHeight w:val="175"/>
        </w:trPr>
        <w:tc>
          <w:tcPr>
            <w:tcW w:w="63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4,208,785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6,734,505</w:t>
            </w:r>
          </w:p>
        </w:tc>
        <w:tc>
          <w:tcPr>
            <w:tcW w:w="0" w:type="dxa"/>
            <w:vAlign w:val="bottom"/>
          </w:tcPr>
          <w:p>
            <w:pPr>
              <w:spacing w:after="0"/>
              <w:rPr>
                <w:sz w:val="1"/>
                <w:szCs w:val="1"/>
                <w:color w:val="auto"/>
              </w:rPr>
            </w:pPr>
          </w:p>
        </w:tc>
      </w:tr>
      <w:tr>
        <w:trPr>
          <w:trHeight w:val="256"/>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30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553,586</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548,225</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7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4,764,150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preferred stock</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under capitalized lease obligations and</w:t>
            </w:r>
          </w:p>
        </w:tc>
        <w:tc>
          <w:tcPr>
            <w:tcW w:w="780" w:type="dxa"/>
            <w:vAlign w:val="bottom"/>
          </w:tcPr>
          <w:p>
            <w:pPr>
              <w:spacing w:after="0"/>
              <w:rPr>
                <w:sz w:val="15"/>
                <w:szCs w:val="15"/>
                <w:color w:val="auto"/>
              </w:rPr>
            </w:pP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(241,667)</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(1,710,833)</w:t>
            </w:r>
          </w:p>
        </w:tc>
        <w:tc>
          <w:tcPr>
            <w:tcW w:w="0" w:type="dxa"/>
            <w:vAlign w:val="bottom"/>
          </w:tcPr>
          <w:p>
            <w:pPr>
              <w:spacing w:after="0"/>
              <w:rPr>
                <w:sz w:val="1"/>
                <w:szCs w:val="1"/>
                <w:color w:val="auto"/>
              </w:rPr>
            </w:pPr>
          </w:p>
        </w:tc>
      </w:tr>
      <w:tr>
        <w:trPr>
          <w:trHeight w:val="175"/>
        </w:trPr>
        <w:tc>
          <w:tcPr>
            <w:tcW w:w="6300" w:type="dxa"/>
            <w:vAlign w:val="bottom"/>
          </w:tcPr>
          <w:p>
            <w:pPr>
              <w:ind w:left="820"/>
              <w:spacing w:after="0"/>
              <w:rPr>
                <w:sz w:val="20"/>
                <w:szCs w:val="20"/>
                <w:color w:val="auto"/>
              </w:rPr>
            </w:pPr>
            <w:r>
              <w:rPr>
                <w:rFonts w:ascii="Courier New" w:cs="Courier New" w:eastAsia="Courier New" w:hAnsi="Courier New"/>
                <w:sz w:val="15"/>
                <w:szCs w:val="15"/>
                <w:color w:val="auto"/>
              </w:rPr>
              <w:t>mortgage payable</w:t>
            </w:r>
          </w:p>
        </w:tc>
        <w:tc>
          <w:tcPr>
            <w:tcW w:w="78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00" w:type="dxa"/>
            <w:vAlign w:val="bottom"/>
            <w:vMerge w:val="restart"/>
          </w:tcPr>
          <w:p>
            <w:pPr>
              <w:ind w:left="440"/>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6,576,069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(1,162,608)</w:t>
            </w:r>
          </w:p>
        </w:tc>
        <w:tc>
          <w:tcPr>
            <w:tcW w:w="0" w:type="dxa"/>
            <w:vAlign w:val="bottom"/>
          </w:tcPr>
          <w:p>
            <w:pPr>
              <w:spacing w:after="0"/>
              <w:rPr>
                <w:sz w:val="1"/>
                <w:szCs w:val="1"/>
                <w:color w:val="auto"/>
              </w:rPr>
            </w:pPr>
          </w:p>
        </w:tc>
      </w:tr>
      <w:tr>
        <w:trPr>
          <w:trHeight w:val="175"/>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5"/>
        </w:trPr>
        <w:tc>
          <w:tcPr>
            <w:tcW w:w="63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2,487,013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(4,175,865)</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4,760,064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7,864,788</w:t>
            </w:r>
          </w:p>
        </w:tc>
        <w:tc>
          <w:tcPr>
            <w:tcW w:w="0" w:type="dxa"/>
            <w:vAlign w:val="bottom"/>
          </w:tcPr>
          <w:p>
            <w:pPr>
              <w:spacing w:after="0"/>
              <w:rPr>
                <w:sz w:val="1"/>
                <w:szCs w:val="1"/>
                <w:color w:val="auto"/>
              </w:rPr>
            </w:pPr>
          </w:p>
        </w:tc>
      </w:tr>
      <w:tr>
        <w:trPr>
          <w:trHeight w:val="256"/>
        </w:trPr>
        <w:tc>
          <w:tcPr>
            <w:tcW w:w="6300" w:type="dxa"/>
            <w:vAlign w:val="bottom"/>
          </w:tcPr>
          <w:p>
            <w:pPr>
              <w:spacing w:after="0"/>
              <w:rPr>
                <w:sz w:val="22"/>
                <w:szCs w:val="22"/>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8"/>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7,247,077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3,688,923</w:t>
            </w:r>
          </w:p>
        </w:tc>
        <w:tc>
          <w:tcPr>
            <w:tcW w:w="0" w:type="dxa"/>
            <w:vAlign w:val="bottom"/>
          </w:tcPr>
          <w:p>
            <w:pPr>
              <w:spacing w:after="0"/>
              <w:rPr>
                <w:sz w:val="1"/>
                <w:szCs w:val="1"/>
                <w:color w:val="auto"/>
              </w:rPr>
            </w:pPr>
          </w:p>
        </w:tc>
      </w:tr>
      <w:tr>
        <w:trPr>
          <w:trHeight w:val="256"/>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Non-cash item:</w:t>
            </w: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3"/>
        </w:trPr>
        <w:tc>
          <w:tcPr>
            <w:tcW w:w="6300" w:type="dxa"/>
            <w:vAlign w:val="bottom"/>
            <w:vMerge w:val="continue"/>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1,250,004</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6"/>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Stock subscription receivable</w:t>
            </w:r>
          </w:p>
        </w:tc>
        <w:tc>
          <w:tcPr>
            <w:tcW w:w="78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4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8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and 1999</w:t>
      </w:r>
    </w:p>
    <w:p>
      <w:pPr>
        <w:spacing w:after="0" w:line="15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tab/>
        <w:t>BASIS OF PRESENTATION</w:t>
      </w:r>
    </w:p>
    <w:p>
      <w:pPr>
        <w:spacing w:after="0" w:line="180" w:lineRule="exact"/>
        <w:rPr>
          <w:sz w:val="20"/>
          <w:szCs w:val="20"/>
          <w:color w:val="auto"/>
        </w:rPr>
      </w:pPr>
    </w:p>
    <w:p>
      <w:pPr>
        <w:ind w:right="3039" w:firstLine="454"/>
        <w:spacing w:after="0" w:line="256" w:lineRule="auto"/>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2000 are not necessarily indicative of the results that may be expected for the entire fiscal year ending December 31, 2000.</w:t>
      </w:r>
    </w:p>
    <w:p>
      <w:pPr>
        <w:spacing w:after="0" w:line="84"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 in the United States. For the complete financial statements, refer to the audited financial statements and footnotes thereto as of December 31, 1999.</w:t>
      </w:r>
    </w:p>
    <w:p>
      <w:pPr>
        <w:spacing w:after="0" w:line="7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180" w:lineRule="exact"/>
        <w:rPr>
          <w:sz w:val="20"/>
          <w:szCs w:val="20"/>
          <w:color w:val="auto"/>
        </w:rPr>
      </w:pPr>
    </w:p>
    <w:p>
      <w:pPr>
        <w:ind w:right="2959" w:firstLine="454"/>
        <w:spacing w:after="0" w:line="271" w:lineRule="auto"/>
        <w:rPr>
          <w:sz w:val="20"/>
          <w:szCs w:val="20"/>
          <w:color w:val="auto"/>
        </w:rPr>
      </w:pPr>
      <w:r>
        <w:rPr>
          <w:rFonts w:ascii="Courier New" w:cs="Courier New" w:eastAsia="Courier New" w:hAnsi="Courier New"/>
          <w:sz w:val="15"/>
          <w:szCs w:val="15"/>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5 "Beneficial Conversion Value of 6% Cumulative Convertible Preferred Stock.) Common equivalent shares from stock options and warrants are excluded, as their effect is antidilutive.</w:t>
      </w:r>
    </w:p>
    <w:p>
      <w:pPr>
        <w:spacing w:after="0" w:line="7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80"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For the nine months ended September 30, 2000 and 1999, total comprehensive income/(loss) was $22,339,143 and ($10,483,760) respectively. The reported net loss for the nine months ended September 30, 2000 and 1999 was $4,865,190 and $10,483,760.</w:t>
      </w:r>
    </w:p>
    <w:p>
      <w:pPr>
        <w:spacing w:after="0" w:line="6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4.</w:t>
        <w:tab/>
        <w:t>INVESTMENTS</w:t>
      </w:r>
    </w:p>
    <w:p>
      <w:pPr>
        <w:spacing w:after="0" w:line="180"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At September 30, 2000, the Company owned 126,193 shares of Modex Therapeutics Ltd. ("Modex"). This Swiss biotechnology company made an initial public offering of shares on the Swiss Exchange on June 23, 2000. Accordingly, with an established market value, the investment is recorded as available-for-sale at an estimated fair market value . The market price of Modex shares was 372 Swiss Francs per share on September 30, 2000, which converts to $215.58 per share and results in an estimated fair value of $27,204,333 for the Company's holdings. The unrealized gain was reported in other comprehensive income. On October 31, 2000 the market price of Modex shares was 329.50 Swiss Francs per share, which converts to $183.28 per share and results in an estimated fair value of $23,128,598 for the Company's holdings.</w:t>
      </w:r>
    </w:p>
    <w:p>
      <w:pPr>
        <w:spacing w:after="0" w:line="200" w:lineRule="exact"/>
        <w:rPr>
          <w:sz w:val="20"/>
          <w:szCs w:val="20"/>
          <w:color w:val="auto"/>
        </w:rPr>
      </w:pPr>
    </w:p>
    <w:p>
      <w:pPr>
        <w:spacing w:after="0" w:line="230" w:lineRule="exact"/>
        <w:rPr>
          <w:sz w:val="20"/>
          <w:szCs w:val="20"/>
          <w:color w:val="auto"/>
        </w:rPr>
      </w:pPr>
    </w:p>
    <w:tbl>
      <w:tblPr>
        <w:tblLayout w:type="fixed"/>
        <w:tblInd w:w="2820" w:type="dxa"/>
        <w:tblCellMar>
          <w:top w:w="0" w:type="dxa"/>
          <w:left w:w="0" w:type="dxa"/>
          <w:bottom w:w="0" w:type="dxa"/>
          <w:right w:w="0" w:type="dxa"/>
        </w:tblCellMar>
      </w:tblPr>
      <w:tr>
        <w:trPr>
          <w:trHeight w:val="175"/>
        </w:trPr>
        <w:tc>
          <w:tcPr>
            <w:tcW w:w="54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COST</w:t>
            </w:r>
          </w:p>
        </w:tc>
        <w:tc>
          <w:tcPr>
            <w:tcW w:w="2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Gross Unrealized Gain</w:t>
            </w: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Fair Value September 30, 2000</w:t>
            </w:r>
          </w:p>
        </w:tc>
      </w:tr>
      <w:tr>
        <w:trPr>
          <w:trHeight w:val="256"/>
        </w:trPr>
        <w:tc>
          <w:tcPr>
            <w:tcW w:w="54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2940" w:type="dxa"/>
            <w:vAlign w:val="bottom"/>
          </w:tcPr>
          <w:p>
            <w:pPr>
              <w:spacing w:after="0"/>
              <w:rPr>
                <w:sz w:val="22"/>
                <w:szCs w:val="22"/>
                <w:color w:val="auto"/>
              </w:rPr>
            </w:pPr>
          </w:p>
        </w:tc>
        <w:tc>
          <w:tcPr>
            <w:tcW w:w="3140" w:type="dxa"/>
            <w:vAlign w:val="bottom"/>
          </w:tcPr>
          <w:p>
            <w:pPr>
              <w:spacing w:after="0"/>
              <w:rPr>
                <w:sz w:val="22"/>
                <w:szCs w:val="22"/>
                <w:color w:val="auto"/>
              </w:rPr>
            </w:pPr>
          </w:p>
        </w:tc>
      </w:tr>
      <w:tr>
        <w:trPr>
          <w:trHeight w:val="350"/>
        </w:trPr>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$0</w:t>
            </w:r>
          </w:p>
        </w:tc>
        <w:tc>
          <w:tcPr>
            <w:tcW w:w="2940" w:type="dxa"/>
            <w:vAlign w:val="bottom"/>
          </w:tcPr>
          <w:p>
            <w:pPr>
              <w:jc w:val="right"/>
              <w:ind w:right="1224"/>
              <w:spacing w:after="0"/>
              <w:rPr>
                <w:sz w:val="20"/>
                <w:szCs w:val="20"/>
                <w:color w:val="auto"/>
              </w:rPr>
            </w:pPr>
            <w:r>
              <w:rPr>
                <w:rFonts w:ascii="Courier New" w:cs="Courier New" w:eastAsia="Courier New" w:hAnsi="Courier New"/>
                <w:sz w:val="15"/>
                <w:szCs w:val="15"/>
                <w:color w:val="auto"/>
              </w:rPr>
              <w:t>$27,204,333</w:t>
            </w:r>
          </w:p>
        </w:tc>
        <w:tc>
          <w:tcPr>
            <w:tcW w:w="31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$27,204,333</w:t>
            </w:r>
          </w:p>
        </w:tc>
      </w:tr>
      <w:tr>
        <w:trPr>
          <w:trHeight w:val="524"/>
        </w:trPr>
        <w:tc>
          <w:tcPr>
            <w:tcW w:w="540" w:type="dxa"/>
            <w:vAlign w:val="bottom"/>
          </w:tcPr>
          <w:p>
            <w:pPr>
              <w:spacing w:after="0"/>
              <w:rPr>
                <w:sz w:val="24"/>
                <w:szCs w:val="24"/>
                <w:color w:val="auto"/>
              </w:rPr>
            </w:pPr>
          </w:p>
        </w:tc>
        <w:tc>
          <w:tcPr>
            <w:tcW w:w="2940" w:type="dxa"/>
            <w:vAlign w:val="bottom"/>
          </w:tcPr>
          <w:p>
            <w:pPr>
              <w:jc w:val="right"/>
              <w:ind w:right="2604"/>
              <w:spacing w:after="0"/>
              <w:rPr>
                <w:sz w:val="20"/>
                <w:szCs w:val="20"/>
                <w:color w:val="auto"/>
              </w:rPr>
            </w:pPr>
            <w:r>
              <w:rPr>
                <w:rFonts w:ascii="Courier New" w:cs="Courier New" w:eastAsia="Courier New" w:hAnsi="Courier New"/>
                <w:sz w:val="15"/>
                <w:szCs w:val="15"/>
                <w:color w:val="auto"/>
              </w:rPr>
              <w:t>6</w:t>
            </w:r>
          </w:p>
        </w:tc>
        <w:tc>
          <w:tcPr>
            <w:tcW w:w="3140" w:type="dxa"/>
            <w:vAlign w:val="bottom"/>
          </w:tcPr>
          <w:p>
            <w:pPr>
              <w:spacing w:after="0"/>
              <w:rPr>
                <w:sz w:val="24"/>
                <w:szCs w:val="24"/>
                <w:color w:val="auto"/>
              </w:rPr>
            </w:pPr>
          </w:p>
        </w:tc>
      </w:tr>
    </w:tbl>
    <w:p>
      <w:pPr>
        <w:sectPr>
          <w:pgSz w:w="11900" w:h="16838" w:orient="portrait"/>
          <w:cols w:equalWidth="0" w:num="1">
            <w:col w:w="10219"/>
          </w:cols>
          <w:pgMar w:left="240" w:top="6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NOTE 5. BENEFICIAL CONVERSION VALUE OF 6% CUMULATIVE CONVERTIBLE PREFERRED STOCK</w:t>
      </w:r>
    </w:p>
    <w:p>
      <w:pPr>
        <w:spacing w:after="0" w:line="180" w:lineRule="exact"/>
        <w:rPr>
          <w:sz w:val="20"/>
          <w:szCs w:val="20"/>
          <w:color w:val="auto"/>
        </w:rPr>
      </w:pPr>
    </w:p>
    <w:p>
      <w:pPr>
        <w:ind w:right="2959" w:firstLine="454"/>
        <w:spacing w:after="0" w:line="260" w:lineRule="auto"/>
        <w:rPr>
          <w:sz w:val="20"/>
          <w:szCs w:val="20"/>
          <w:color w:val="auto"/>
        </w:rPr>
      </w:pPr>
      <w:r>
        <w:rPr>
          <w:rFonts w:ascii="Courier New" w:cs="Courier New" w:eastAsia="Courier New" w:hAnsi="Courier New"/>
          <w:sz w:val="15"/>
          <w:szCs w:val="15"/>
          <w:color w:val="auto"/>
        </w:rPr>
        <w:t>As previously reported, the Company sold 1,500 shares of its 6% cumulative convertible preferred stock plus a warrant for 75,000 shares of the Company's common stock to two members of its Board of Directors for $1,500,000 on terms more favorable to the Company than it was then able to obtain from outside investors. The face value of the shares are convertible at the option of the holders into common stock at $3.77 per share. The Company has valued the beneficial conversion feature reflecting the April 13, 2000 commitment date and the most beneficial per share discount available to the preferred shareholders. Such value was $265,000 and is treated as a deemed dividend as of the commitment date.</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SALE OF SECURITIES</w:t>
      </w:r>
    </w:p>
    <w:p>
      <w:pPr>
        <w:spacing w:after="0" w:line="180" w:lineRule="exact"/>
        <w:rPr>
          <w:sz w:val="20"/>
          <w:szCs w:val="20"/>
          <w:color w:val="auto"/>
        </w:rPr>
      </w:pPr>
    </w:p>
    <w:p>
      <w:pPr>
        <w:ind w:right="2959" w:firstLine="454"/>
        <w:spacing w:after="0" w:line="251"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 closing and will receive the remaining $1 million upon effectiveness of a registration statement covering the shares owned by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The 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96" w:lineRule="exact"/>
        <w:rPr>
          <w:sz w:val="20"/>
          <w:szCs w:val="20"/>
          <w:color w:val="auto"/>
        </w:rPr>
      </w:pPr>
    </w:p>
    <w:p>
      <w:pPr>
        <w:ind w:right="2959" w:firstLine="454"/>
        <w:spacing w:after="0" w:line="252" w:lineRule="auto"/>
        <w:rPr>
          <w:sz w:val="20"/>
          <w:szCs w:val="20"/>
          <w:color w:val="auto"/>
        </w:rPr>
      </w:pPr>
      <w:r>
        <w:rPr>
          <w:rFonts w:ascii="Courier New" w:cs="Courier New" w:eastAsia="Courier New" w:hAnsi="Courier New"/>
          <w:sz w:val="15"/>
          <w:szCs w:val="15"/>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will pay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accounts for as stock issuance cost that has no impact on stockholders' equity.</w:t>
      </w:r>
    </w:p>
    <w:p>
      <w:pPr>
        <w:spacing w:after="0" w:line="9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SUBSEQUENT EVENTS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789" w:right="1440" w:bottom="1440" w:gutter="0" w:footer="0" w:header="0"/>
        </w:sectPr>
      </w:pPr>
    </w:p>
    <w:bookmarkStart w:id="7" w:name="page8"/>
    <w:bookmarkEnd w:id="7"/>
    <w:p>
      <w:pPr>
        <w:ind w:right="3219" w:firstLine="454"/>
        <w:spacing w:after="0" w:line="251" w:lineRule="auto"/>
        <w:rPr>
          <w:sz w:val="20"/>
          <w:szCs w:val="20"/>
          <w:color w:val="auto"/>
        </w:rPr>
      </w:pPr>
      <w:r>
        <w:rPr>
          <w:rFonts w:ascii="Courier New" w:cs="Courier New" w:eastAsia="Courier New" w:hAnsi="Courier New"/>
          <w:sz w:val="15"/>
          <w:szCs w:val="15"/>
          <w:color w:val="auto"/>
        </w:rPr>
        <w:t>As previously reported, in conjunction with the StemCells California merger, the Company adopted the 1997 CytoTherapeutics, Inc. StemCells California Research Stock Option Plan whereby an additional 2,000,000 shares of Common Stock have been reserved. During 1997, the Company awarded options under this plan to purchase 1.6 million shares of the Company's common stock to the Chief Executive Officer and scientific founders of StemCells California, Inc. at an exercise price of $5.25 per share. Under the original grants, approximately 100,000 of these options were exercisable immediately on the date of the grant, 1,031,000 of these options would vest and become exercisable only upon achievement of specified milestones and the remaining 469,000 options would vest over eight years. The Company agreed on October 27, 2000 with Irving Weissman, M.D. and Fred H. Gage, Ph.D., two of the grant recipients, to amend their options. In exchange for the revision of the options, Dr. Weissman and Dr. Gage agreed to rescind their Conduct of Research Agreement with the Company, in all respects, including their right under the Agreement to reacquire certain technology under certain circumstances. Instead of vesting based on performance milestones, Dr. Weissman's and Dr. Gage's options will vest over eight years from the date of the original grant, on the same schedule as the option granted to the third founder, Dr. David Anderson. 168,750 shares vested upon the revision and the remaining 300,000 shares will vest at 50,000 shares on each September 25 until September 25, 2005, when the final 100,000 shares will vest. The exercise price for the revised options remains $5.25 per share. We expect to incur a charge of approximately $1,700,000 during the fourth quarter of 2000 as a result of these amendments.</w:t>
      </w:r>
    </w:p>
    <w:p>
      <w:pPr>
        <w:spacing w:after="0" w:line="101"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Under a 1997 License Agreement with NeuroSpheres, Ltd., we obtained an exclusive patent license in the field of transplantation.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up-front payments to NeuroSpheres of 65,000 shares of our common stock and $50,000, and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RECENT ACCOUNTING PRONOUNCEMENTS</w:t>
      </w:r>
    </w:p>
    <w:p>
      <w:pPr>
        <w:spacing w:after="0" w:line="180" w:lineRule="exact"/>
        <w:rPr>
          <w:sz w:val="20"/>
          <w:szCs w:val="20"/>
          <w:color w:val="auto"/>
        </w:rPr>
      </w:pPr>
    </w:p>
    <w:p>
      <w:pPr>
        <w:ind w:right="3039" w:firstLine="454"/>
        <w:spacing w:after="0" w:line="262"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which provides a comprehensive and consistent standard for the recognition and measurement of derivatives and hedging activities. SFAS 133 is effective for fiscal years beginning after June 15, 2000 and is not anticipated to have an impact on results of operations or financial condition when adopted as we hold no derivative financial and instruments and do not currently engage in hedging activities.</w:t>
      </w:r>
    </w:p>
    <w:p>
      <w:pPr>
        <w:spacing w:after="0" w:line="78" w:lineRule="exact"/>
        <w:rPr>
          <w:sz w:val="20"/>
          <w:szCs w:val="20"/>
          <w:color w:val="auto"/>
        </w:rPr>
      </w:pPr>
    </w:p>
    <w:p>
      <w:pPr>
        <w:ind w:right="3039" w:firstLine="454"/>
        <w:spacing w:after="0" w:line="277"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("SAB101"). SAB 101 summarizes the SEC's views in applying generally accepted accounting principles to revenue recognition. The adoption of SAB 101 had no significant impact on our revenue recognition policy or results of operations.</w:t>
      </w:r>
    </w:p>
    <w:p>
      <w:pPr>
        <w:spacing w:after="0" w:line="68" w:lineRule="exact"/>
        <w:rPr>
          <w:sz w:val="20"/>
          <w:szCs w:val="20"/>
          <w:color w:val="auto"/>
        </w:rPr>
      </w:pPr>
    </w:p>
    <w:p>
      <w:pPr>
        <w:ind w:right="2959" w:firstLine="454"/>
        <w:spacing w:after="0" w:line="255" w:lineRule="auto"/>
        <w:rPr>
          <w:sz w:val="20"/>
          <w:szCs w:val="20"/>
          <w:color w:val="auto"/>
        </w:rPr>
      </w:pPr>
      <w:r>
        <w:rPr>
          <w:rFonts w:ascii="Courier New" w:cs="Courier New" w:eastAsia="Courier New" w:hAnsi="Courier New"/>
          <w:sz w:val="15"/>
          <w:szCs w:val="15"/>
          <w:color w:val="auto"/>
        </w:rPr>
        <w:t>In March 2000, the FASB issued interpretation No. 44, ("FIN44"), "Accounting for Certain Transactions Involving Stock Compensation - an Interpretation of APB 25. "This interpretation clarifies (a) the definition of employee for purposes of applying Opinion 25, (b) the criteria for determining whether a plan qualifies as a noncompensatory plan, (c) the accounting consequence of various modifications to the terms of a previously fixed stock option or award and (d)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 January 12, 2000, but before the effective date of July 1, 2000, the effects of applying this interpretation are recognized on a prospective basis from July 1, 2000. The adoption of FIN 44 does not have a material impact on our financial statements.</w:t>
      </w:r>
    </w:p>
    <w:p>
      <w:pPr>
        <w:spacing w:after="0" w:line="26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789" w:right="1440" w:bottom="1440" w:gutter="0" w:footer="0" w:header="0"/>
        </w:sectPr>
      </w:pPr>
    </w:p>
    <w:bookmarkStart w:id="8" w:name="page9"/>
    <w:bookmarkEnd w:id="8"/>
    <w:p>
      <w:pPr>
        <w:jc w:val="center"/>
        <w:ind w:right="2959"/>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spacing w:after="0" w:line="3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OF OPERATIONS</w:t>
      </w:r>
    </w:p>
    <w:p>
      <w:pPr>
        <w:spacing w:after="0" w:line="152"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the Company for the nine months ended September 30, 2000 and 1999 should be read in conjunction with the accompanying unaudited condensed consolidated financial statements and the related footnotes thereto.</w:t>
      </w:r>
    </w:p>
    <w:p>
      <w:pPr>
        <w:spacing w:after="0" w:line="61" w:lineRule="exact"/>
        <w:rPr>
          <w:sz w:val="20"/>
          <w:szCs w:val="20"/>
          <w:color w:val="auto"/>
        </w:rPr>
      </w:pPr>
    </w:p>
    <w:p>
      <w:pPr>
        <w:ind w:right="2959" w:firstLine="454"/>
        <w:spacing w:after="0" w:line="252" w:lineRule="auto"/>
        <w:rPr>
          <w:sz w:val="20"/>
          <w:szCs w:val="20"/>
          <w:color w:val="auto"/>
        </w:rPr>
      </w:pPr>
      <w:r>
        <w:rPr>
          <w:rFonts w:ascii="Courier New" w:cs="Courier New" w:eastAsia="Courier New" w:hAnsi="Courier New"/>
          <w:sz w:val="15"/>
          <w:szCs w:val="15"/>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amended, as of December 31, 1999 could harm our business, operating results and financial condition. All forward looking statements attributable to us or persons acting on our behalf are expressly qualified in their entirety by the cautionary statements and risk factors contained or referred to herein.</w:t>
      </w:r>
    </w:p>
    <w:p>
      <w:pPr>
        <w:spacing w:after="0" w:line="9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2959" w:firstLine="454"/>
        <w:spacing w:after="0" w:line="259"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80" w:lineRule="exact"/>
        <w:rPr>
          <w:sz w:val="20"/>
          <w:szCs w:val="20"/>
          <w:color w:val="auto"/>
        </w:rPr>
      </w:pPr>
    </w:p>
    <w:p>
      <w:pPr>
        <w:ind w:right="2959" w:firstLine="454"/>
        <w:spacing w:after="0" w:line="257"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89" w:lineRule="exact"/>
        <w:rPr>
          <w:sz w:val="20"/>
          <w:szCs w:val="20"/>
          <w:color w:val="auto"/>
        </w:rPr>
      </w:pPr>
    </w:p>
    <w:p>
      <w:pPr>
        <w:ind w:right="3139" w:firstLine="454"/>
        <w:spacing w:after="0" w:line="271"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2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78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2000 AND 1999</w:t>
      </w:r>
    </w:p>
    <w:p>
      <w:pPr>
        <w:spacing w:after="0" w:line="180" w:lineRule="exact"/>
        <w:rPr>
          <w:sz w:val="20"/>
          <w:szCs w:val="20"/>
          <w:color w:val="auto"/>
        </w:rPr>
      </w:pPr>
    </w:p>
    <w:p>
      <w:pPr>
        <w:ind w:right="3039" w:firstLine="454"/>
        <w:spacing w:after="0" w:line="271" w:lineRule="auto"/>
        <w:rPr>
          <w:sz w:val="20"/>
          <w:szCs w:val="20"/>
          <w:color w:val="auto"/>
        </w:rPr>
      </w:pPr>
      <w:r>
        <w:rPr>
          <w:rFonts w:ascii="Courier New" w:cs="Courier New" w:eastAsia="Courier New" w:hAnsi="Courier New"/>
          <w:sz w:val="15"/>
          <w:szCs w:val="15"/>
          <w:color w:val="auto"/>
        </w:rPr>
        <w:t>For the nine months ended September 30, 2000 and 1999, revenues from collaborative agreements totaled $0 and $5,021,707, respectively. The decrease in revenues resulted from the June 1999 termination of a Development, Marketing and License Agreement related to our former ECT. We have not entered into revenue-producing collaborations with respect to our platform of stem cell technologies.</w:t>
      </w:r>
    </w:p>
    <w:p>
      <w:pPr>
        <w:spacing w:after="0" w:line="72"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During the second quarter 2000 we realized a $1,427,686 gain in connection with our investment in Modex Therapeutics Ltd ("Modex"), a Swiss biotechnology company that completed an initial public offering on June 23, 2000. At September 30, 2000, we owned 126,193 shares with an estimated fair value of $27,204,333, based on the per share price of $ 215.58 which we converted from a market price of 372.00 Swiss francs on that date. On October 31, 2000 the market price was 329.50 Swiss Francs, which converts to $183.28 and results in an estimated fair value of $23,128,598 for the Company's holdings,</w:t>
      </w:r>
    </w:p>
    <w:p>
      <w:pPr>
        <w:spacing w:after="0" w:line="78"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Research and development expenses totaled $2,797,878 for the nine months ended September 30, 2000, compared with $8,432,262 for the same period in 1999. The decrease of $5,634,384, or 67% from 1999 to 2000 is primarily attributable to the wind-down of research activities relating to the ECT.</w:t>
      </w:r>
    </w:p>
    <w:p>
      <w:pPr>
        <w:spacing w:after="0" w:line="61"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General and administrative expenses were $2,918,776 for the nine months ended September 30, 2000, compared with $3,195,672 for the same period in 1999. The decrease of $276,896, or 9%, from 1999 to 2000 was primarily attributable to the establishment of a smaller corporate office in California.</w:t>
      </w:r>
    </w:p>
    <w:p>
      <w:pPr>
        <w:spacing w:after="0" w:line="61"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Wind-down expenses related to our ECT research, our Rhode Island operations and the transfer of our headquarters to Sunnyvale, California for the nine months ended September 2000 and 1999 was $574,317 and $4,078,034 respectively. In 1999 we had created a reserve of $1,934,569 for wind-down expenses related to the first half of 2000.</w:t>
      </w:r>
    </w:p>
    <w:p>
      <w:pPr>
        <w:spacing w:after="0" w:line="68" w:lineRule="exact"/>
        <w:rPr>
          <w:sz w:val="20"/>
          <w:szCs w:val="20"/>
          <w:color w:val="auto"/>
        </w:rPr>
      </w:pPr>
    </w:p>
    <w:p>
      <w:pPr>
        <w:ind w:right="3039" w:firstLine="454"/>
        <w:spacing w:after="0" w:line="267" w:lineRule="auto"/>
        <w:rPr>
          <w:sz w:val="20"/>
          <w:szCs w:val="20"/>
          <w:color w:val="auto"/>
        </w:rPr>
      </w:pPr>
      <w:r>
        <w:rPr>
          <w:rFonts w:ascii="Courier New" w:cs="Courier New" w:eastAsia="Courier New" w:hAnsi="Courier New"/>
          <w:sz w:val="15"/>
          <w:szCs w:val="15"/>
          <w:color w:val="auto"/>
        </w:rPr>
        <w:t>Interest income for the nine months ended September 30, 2000 and 1999 was $218,480 and $504,114 respectively. The decrease in interest income in 2000 was attributable to the lower average investment balances during such period. Interest expense was $209,287 for the nine months ended September 30, 2000, compared with $236,836 for the same period in 1999. The decrease in 2000 was attributable to lower outstanding debt and capital lease balances in 2000 compared to 1999.</w:t>
      </w:r>
    </w:p>
    <w:p>
      <w:pPr>
        <w:spacing w:after="0" w:line="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loss for the nine months ended September 30, 2000 was $4,865,190 or</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($0.25) per share, as compared to net loss of $10,483,760 or ($0.56)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comparable period in 1999. The decrease in net loss of $5,618,570 or 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same period in 1999 was primarily attributable to the wind-down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activities relating to the ECT and reflects a gain of $1,427,686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our investment in Modex. We (then known as CytoTherapeutics,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were one of the founders of Modex, a Swiss biotherapeutics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established in 1996 to pursue encapsulated cell technologies related to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programs. After Modex' Initial Public offering on the Swiss Neue Markt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and our sale of 23,807 shares, we own 126,193 shares of Modex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The IPO price was 168.00 Swiss Francs, and the share price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was 372.00 Swiss Francs. On October 31, 2000 the market price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329.50 Swiss Francs. The shares are subject to a lockup for 6 months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the IPO.</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SEPTEMBER 30, 2000 AND 1999</w:t>
      </w:r>
    </w:p>
    <w:p>
      <w:pPr>
        <w:spacing w:after="0" w:line="180"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For the three months ended September 30, 2000 and 1999, we had no revenues from collaborative agreements. We have not yet entered into revenue-producing collaborations with respect to our platform stem cell technology.</w:t>
      </w:r>
    </w:p>
    <w:p>
      <w:pPr>
        <w:spacing w:after="0" w:line="47" w:lineRule="exact"/>
        <w:rPr>
          <w:sz w:val="20"/>
          <w:szCs w:val="20"/>
          <w:color w:val="auto"/>
        </w:rPr>
      </w:pPr>
    </w:p>
    <w:p>
      <w:pPr>
        <w:ind w:right="3039" w:firstLine="454"/>
        <w:spacing w:after="0" w:line="287" w:lineRule="auto"/>
        <w:rPr>
          <w:sz w:val="20"/>
          <w:szCs w:val="20"/>
          <w:color w:val="auto"/>
        </w:rPr>
      </w:pPr>
      <w:r>
        <w:rPr>
          <w:rFonts w:ascii="Courier New" w:cs="Courier New" w:eastAsia="Courier New" w:hAnsi="Courier New"/>
          <w:sz w:val="15"/>
          <w:szCs w:val="15"/>
          <w:color w:val="auto"/>
        </w:rPr>
        <w:t>Research and development expenses totaled $1,137,947 for the three months ended September 30, 2000, compared with $1,584,879 for the same period in 1999. The decrease of $446,932, or 28%, from 1999 to 2000 was primarily attributable to the wind-down of research activities relating to the ECT.</w:t>
      </w:r>
    </w:p>
    <w:p>
      <w:pPr>
        <w:spacing w:after="0" w:line="61"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General and administrative expenses were $840,490 for the three months ended September 30, 2000, compared with $1,027,357 for the same period in 1999. The decrease of $186,867 or 18%, from 1999 to 2000 was primarily attributable to the establishment of a smaller corporate office in California.</w:t>
      </w:r>
    </w:p>
    <w:p>
      <w:pPr>
        <w:spacing w:after="0" w:line="61" w:lineRule="exact"/>
        <w:rPr>
          <w:sz w:val="20"/>
          <w:szCs w:val="20"/>
          <w:color w:val="auto"/>
        </w:rPr>
      </w:pPr>
    </w:p>
    <w:p>
      <w:pPr>
        <w:ind w:right="3039" w:firstLine="454"/>
        <w:spacing w:after="0" w:line="307" w:lineRule="auto"/>
        <w:rPr>
          <w:sz w:val="20"/>
          <w:szCs w:val="20"/>
          <w:color w:val="auto"/>
        </w:rPr>
      </w:pPr>
      <w:r>
        <w:rPr>
          <w:rFonts w:ascii="Courier New" w:cs="Courier New" w:eastAsia="Courier New" w:hAnsi="Courier New"/>
          <w:sz w:val="15"/>
          <w:szCs w:val="15"/>
          <w:color w:val="auto"/>
        </w:rPr>
        <w:t>Interest income for the three months ended September 30, 2000 and 1999 was $80,248 and $97,783, respectively. The decrease in interest income in 2000 was attributable to the lower average investment balances</w:t>
      </w:r>
    </w:p>
    <w:p>
      <w:pPr>
        <w:spacing w:after="0" w:line="4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15" w:right="1440" w:bottom="1440" w:gutter="0" w:footer="0" w:header="0"/>
        </w:sectPr>
      </w:pPr>
    </w:p>
    <w:bookmarkStart w:id="10" w:name="page11"/>
    <w:bookmarkEnd w:id="10"/>
    <w:p>
      <w:pPr>
        <w:ind w:right="3419"/>
        <w:spacing w:after="0" w:line="368" w:lineRule="auto"/>
        <w:rPr>
          <w:sz w:val="20"/>
          <w:szCs w:val="20"/>
          <w:color w:val="auto"/>
        </w:rPr>
      </w:pPr>
      <w:r>
        <w:rPr>
          <w:rFonts w:ascii="Courier New" w:cs="Courier New" w:eastAsia="Courier New" w:hAnsi="Courier New"/>
          <w:sz w:val="15"/>
          <w:szCs w:val="15"/>
          <w:color w:val="auto"/>
        </w:rPr>
        <w:t>during such period. Interest expense was $66,720 for the three months ended September 30, 2000, compared with $51,782 for the same period in 1999.</w:t>
      </w:r>
    </w:p>
    <w:p>
      <w:pPr>
        <w:spacing w:after="0" w:line="3" w:lineRule="exact"/>
        <w:rPr>
          <w:sz w:val="20"/>
          <w:szCs w:val="20"/>
          <w:color w:val="auto"/>
        </w:rPr>
      </w:pPr>
    </w:p>
    <w:p>
      <w:pPr>
        <w:ind w:right="3139" w:firstLine="454"/>
        <w:spacing w:after="0" w:line="277" w:lineRule="auto"/>
        <w:rPr>
          <w:sz w:val="20"/>
          <w:szCs w:val="20"/>
          <w:color w:val="auto"/>
        </w:rPr>
      </w:pPr>
      <w:r>
        <w:rPr>
          <w:rFonts w:ascii="Courier New" w:cs="Courier New" w:eastAsia="Courier New" w:hAnsi="Courier New"/>
          <w:sz w:val="15"/>
          <w:szCs w:val="15"/>
          <w:color w:val="auto"/>
        </w:rPr>
        <w:t>Net loss for the three months ended September 30, 2000 was $2,539,226, or ($0.13) per share, as compared to net loss of $6,711,046 or ($0.36) per share, for the comparable period in 1999. The decrease in net loss of $4,171,820 from the same period in 1999 was primarily attributable to a decrease in expenses related to the wind-down of research activities relating to the ECT.</w:t>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454"/>
        <w:spacing w:after="0" w:line="287"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61" w:lineRule="exact"/>
        <w:rPr>
          <w:sz w:val="20"/>
          <w:szCs w:val="20"/>
          <w:color w:val="auto"/>
        </w:rPr>
      </w:pPr>
    </w:p>
    <w:p>
      <w:pPr>
        <w:ind w:right="3599" w:firstLine="454"/>
        <w:spacing w:after="0" w:line="368" w:lineRule="auto"/>
        <w:rPr>
          <w:sz w:val="20"/>
          <w:szCs w:val="20"/>
          <w:color w:val="auto"/>
        </w:rPr>
      </w:pPr>
      <w:r>
        <w:rPr>
          <w:rFonts w:ascii="Courier New" w:cs="Courier New" w:eastAsia="Courier New" w:hAnsi="Courier New"/>
          <w:sz w:val="15"/>
          <w:szCs w:val="15"/>
          <w:color w:val="auto"/>
        </w:rPr>
        <w:t>We had unrestricted cash and cash equivalents totaling $7,247,077 at September 30, 2000. Cash equivalents are invested in money market funds.</w:t>
      </w:r>
    </w:p>
    <w:p>
      <w:pPr>
        <w:spacing w:after="0" w:line="3" w:lineRule="exact"/>
        <w:rPr>
          <w:sz w:val="20"/>
          <w:szCs w:val="20"/>
          <w:color w:val="auto"/>
        </w:rPr>
      </w:pPr>
    </w:p>
    <w:p>
      <w:pPr>
        <w:ind w:right="3219" w:firstLine="454"/>
        <w:spacing w:after="0" w:line="257" w:lineRule="auto"/>
        <w:rPr>
          <w:sz w:val="20"/>
          <w:szCs w:val="20"/>
          <w:color w:val="auto"/>
        </w:rPr>
      </w:pPr>
      <w:r>
        <w:rPr>
          <w:rFonts w:ascii="Courier New" w:cs="Courier New" w:eastAsia="Courier New" w:hAnsi="Courier New"/>
          <w:sz w:val="15"/>
          <w:szCs w:val="15"/>
          <w:color w:val="auto"/>
        </w:rPr>
        <w:t>We also hold 126,193 shares of Modex stock, which is publicly traded on the Swiss Neue Market exchange. While our Modex stock had an estimated fair market value of $27,204,333 on September 30, 2000 (and $23,128,598 on October 31, 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are prohibited under a lock-up agreement entered into at the time of Modex's public offering from selling any of our Modex shares until December 23, 2000. In addition, there is a limited trading market for Modex stock, and if we were to attempt to sell any significant portion of our Modex holdings, we would likely be able to do so only at a significant discount to the then market price, if at all.</w:t>
      </w:r>
    </w:p>
    <w:p>
      <w:pPr>
        <w:spacing w:after="0" w:line="81"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Encapsulated Cell Technology, or ECT. These relationships are now terminated, and we have not yet established corporate partnerships with respect to our stem cell technology.</w:t>
      </w:r>
    </w:p>
    <w:p>
      <w:pPr>
        <w:spacing w:after="0" w:line="68" w:lineRule="exact"/>
        <w:rPr>
          <w:sz w:val="20"/>
          <w:szCs w:val="20"/>
          <w:color w:val="auto"/>
        </w:rPr>
      </w:pPr>
    </w:p>
    <w:p>
      <w:pPr>
        <w:ind w:right="2959" w:firstLine="454"/>
        <w:spacing w:after="0" w:line="251"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w:t>
      </w:r>
    </w:p>
    <w:p>
      <w:pPr>
        <w:spacing w:after="0" w:line="9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of our platform of proprietary stem cell technologies.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of wind-down expenses including employee separation and relocation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152" w:lineRule="exact"/>
        <w:rPr>
          <w:sz w:val="20"/>
          <w:szCs w:val="20"/>
          <w:color w:val="auto"/>
        </w:rPr>
      </w:pPr>
    </w:p>
    <w:p>
      <w:pPr>
        <w:jc w:val="both"/>
        <w:ind w:right="2959" w:firstLine="454"/>
        <w:spacing w:after="0" w:line="260" w:lineRule="auto"/>
        <w:rPr>
          <w:sz w:val="20"/>
          <w:szCs w:val="20"/>
          <w:color w:val="auto"/>
        </w:rPr>
      </w:pPr>
      <w:r>
        <w:rPr>
          <w:rFonts w:ascii="Courier New" w:cs="Courier New" w:eastAsia="Courier New" w:hAnsi="Courier New"/>
          <w:sz w:val="15"/>
          <w:szCs w:val="15"/>
          <w:color w:val="auto"/>
        </w:rPr>
        <w:t>On December 30, 1999 we sold our ECT and assigned our intellectual property assets in it to Neurotech S.A. for a payment of $3,000,000, royalties on future product sales, and a portion of certain Neurotech revenues from third parties.</w:t>
      </w:r>
    </w:p>
    <w:p>
      <w:pPr>
        <w:ind w:right="3039"/>
        <w:spacing w:after="0" w:line="329" w:lineRule="auto"/>
        <w:rPr>
          <w:sz w:val="20"/>
          <w:szCs w:val="20"/>
          <w:color w:val="auto"/>
        </w:rPr>
      </w:pPr>
      <w:r>
        <w:rPr>
          <w:rFonts w:ascii="Courier New" w:cs="Courier New" w:eastAsia="Courier New" w:hAnsi="Courier New"/>
          <w:sz w:val="15"/>
          <w:szCs w:val="15"/>
          <w:color w:val="auto"/>
        </w:rPr>
        <w:t>In addition, we retained certain non-exclusive rights to use ECT in combination with our proprietary stem cell</w:t>
      </w:r>
    </w:p>
    <w:p>
      <w:pPr>
        <w:spacing w:after="0" w:line="3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14" w:right="1440" w:bottom="808" w:gutter="0" w:footer="0" w:header="0"/>
        </w:sectPr>
      </w:pPr>
    </w:p>
    <w:bookmarkStart w:id="11" w:name="page12"/>
    <w:bookmarkEnd w:id="11"/>
    <w:p>
      <w:pPr>
        <w:ind w:right="2959"/>
        <w:spacing w:after="0" w:line="277" w:lineRule="auto"/>
        <w:rPr>
          <w:sz w:val="20"/>
          <w:szCs w:val="20"/>
          <w:color w:val="auto"/>
        </w:rPr>
      </w:pPr>
      <w:r>
        <w:rPr>
          <w:rFonts w:ascii="Courier New" w:cs="Courier New" w:eastAsia="Courier New" w:hAnsi="Courier New"/>
          <w:sz w:val="15"/>
          <w:szCs w:val="15"/>
          <w:color w:val="auto"/>
        </w:rPr>
        <w:t>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68" w:lineRule="exact"/>
        <w:rPr>
          <w:sz w:val="20"/>
          <w:szCs w:val="20"/>
          <w:color w:val="auto"/>
        </w:rPr>
      </w:pPr>
    </w:p>
    <w:p>
      <w:pPr>
        <w:ind w:right="2959" w:firstLine="454"/>
        <w:spacing w:after="0" w:line="277"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Rhode Island Partnership for Science and Technology, or RIPSAT,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demanded payment of approximately $2.6 million. While we believe we were not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52" w:lineRule="exact"/>
        <w:rPr>
          <w:sz w:val="20"/>
          <w:szCs w:val="20"/>
          <w:color w:val="auto"/>
        </w:rPr>
      </w:pPr>
    </w:p>
    <w:p>
      <w:pPr>
        <w:ind w:right="2959" w:firstLine="454"/>
        <w:spacing w:after="0" w:line="253"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9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May 1996, we secured an equipment loan facility with a bank in the</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$2,000,000. On August 5, 1999 we made a payment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$752,000 of principal and interest to the lender to retire this loan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rather than seek a waiver by the lender of our violation of a loan covenant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requiring us to maintain unrestricted liquidity in an amount equal to or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$10 million.</w:t>
      </w:r>
    </w:p>
    <w:p>
      <w:pPr>
        <w:spacing w:after="0" w:line="152"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78"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w:t>
      </w:r>
    </w:p>
    <w:p>
      <w:pPr>
        <w:spacing w:after="0" w:line="9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15" w:right="1440" w:bottom="1158" w:gutter="0" w:footer="0" w:header="0"/>
        </w:sectPr>
      </w:pPr>
    </w:p>
    <w:bookmarkStart w:id="12" w:name="page13"/>
    <w:bookmarkEnd w:id="12"/>
    <w:p>
      <w:pPr>
        <w:ind w:right="3139"/>
        <w:spacing w:after="0" w:line="287" w:lineRule="auto"/>
        <w:rPr>
          <w:sz w:val="20"/>
          <w:szCs w:val="20"/>
          <w:color w:val="auto"/>
        </w:rPr>
      </w:pPr>
      <w:r>
        <w:rPr>
          <w:rFonts w:ascii="Courier New" w:cs="Courier New" w:eastAsia="Courier New" w:hAnsi="Courier New"/>
          <w:sz w:val="15"/>
          <w:szCs w:val="15"/>
          <w:color w:val="auto"/>
        </w:rPr>
        <w:t>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61"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will receive the remaining $1 million upon effectiveness of a registration statement covering the shares purchased by the Fund. The Fund purchased our common stock at $4.33 per share. The Fund may be entitled, pursuant to an adjustable warrant issued in connection to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8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the Fund has the option for twelve months to purchase up to $3</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additional common stock. On August 23, 2000 the Fund exercised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of its option to purchase additional common stock at $5.53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 paid $750,000 of the purchase price in connection with the closing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2000, and will pay the remaining $250,000 upon effectiveness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covering the shares owned by the Fund. At the closing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2000 we issued to the Fund an adjustable warrant similar to the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on August 3, 2000. This adjustable warrant was canceled by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fund and us on November 1, 2000. The Fund also received a warrant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up to 19,900 shares of common stock at $6.03 per share. This warrant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callable by us at $10.05 per underlying share.</w:t>
      </w:r>
    </w:p>
    <w:p>
      <w:pPr>
        <w:spacing w:after="0" w:line="152" w:lineRule="exact"/>
        <w:rPr>
          <w:sz w:val="20"/>
          <w:szCs w:val="20"/>
          <w:color w:val="auto"/>
        </w:rPr>
      </w:pPr>
    </w:p>
    <w:p>
      <w:pPr>
        <w:ind w:right="2959" w:firstLine="454"/>
        <w:spacing w:after="0" w:line="254"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84" w:lineRule="exact"/>
        <w:rPr>
          <w:sz w:val="20"/>
          <w:szCs w:val="20"/>
          <w:color w:val="auto"/>
        </w:rPr>
      </w:pPr>
    </w:p>
    <w:p>
      <w:pPr>
        <w:ind w:right="2959" w:firstLine="454"/>
        <w:spacing w:after="0" w:line="262"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78" w:lineRule="exact"/>
        <w:rPr>
          <w:sz w:val="20"/>
          <w:szCs w:val="20"/>
          <w:color w:val="auto"/>
        </w:rPr>
      </w:pPr>
    </w:p>
    <w:p>
      <w:pPr>
        <w:ind w:right="2959" w:firstLine="454"/>
        <w:spacing w:after="0" w:line="264"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15" w:right="1440" w:bottom="1440" w:gutter="0" w:footer="0" w:header="0"/>
        </w:sectPr>
      </w:pPr>
    </w:p>
    <w:bookmarkStart w:id="13" w:name="page14"/>
    <w:bookmarkEnd w:id="13"/>
    <w:p>
      <w:pPr>
        <w:ind w:left="7"/>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80" w:lineRule="exact"/>
        <w:rPr>
          <w:sz w:val="20"/>
          <w:szCs w:val="20"/>
          <w:color w:val="auto"/>
        </w:rPr>
      </w:pPr>
    </w:p>
    <w:p>
      <w:pPr>
        <w:ind w:left="7" w:right="3219" w:firstLine="454"/>
        <w:spacing w:after="0" w:line="252" w:lineRule="auto"/>
        <w:rPr>
          <w:sz w:val="20"/>
          <w:szCs w:val="20"/>
          <w:color w:val="auto"/>
        </w:rPr>
      </w:pPr>
      <w:r>
        <w:rPr>
          <w:rFonts w:ascii="Courier New" w:cs="Courier New" w:eastAsia="Courier New" w:hAnsi="Courier New"/>
          <w:sz w:val="15"/>
          <w:szCs w:val="15"/>
          <w:color w:val="auto"/>
        </w:rPr>
        <w:t>Our investment in 126,193 shares of Modex Therapeutics Ltd. Stock was valued at $27,204,333 on September 30, 2000 based on the per share price of $215.58 on that date, which we converted from a market price of 372.00 Swiss francs on September 30, 2000. Our value in this investment is subject to both equity price risk and foreign currency exchange risk. Modex shares were offered in an IPO on the Swiss Neue Markt on June 23, 2000 at a price of 168.00 Swiss francs. From the date of the IPO to the date of this report, the</w:t>
      </w:r>
    </w:p>
    <w:p>
      <w:pPr>
        <w:spacing w:after="0" w:line="2"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Modex closing share price has fluctuated from a low of 200.00 Swiss francs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 high of 390.00 Swiss francs on October 6, 2000. The market price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Modex stock on October 31, 2000 was 329.50 Swiss francs, which converts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$183.28 using exchange rates on that date, which represents an estimated fair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market value of $23,128,598 for our holdings. If we were to seek to liquidate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all or part of our investment in Modex, our proceeds would depend on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share price and foreign currency exchange rates at the time of conversion.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Additionally, if we sell a sizable portion of our holdings, we may have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sell these shares at a discount to market price. We are restricted from 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sale of our shares in Modex until December 23, 2000.</w:t>
      </w:r>
    </w:p>
    <w:p>
      <w:pPr>
        <w:spacing w:after="0" w:line="152"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Our sole market risk sensitive instrument is:</w:t>
      </w:r>
    </w:p>
    <w:p>
      <w:pPr>
        <w:sectPr>
          <w:pgSz w:w="11900" w:h="16838" w:orient="portrait"/>
          <w:cols w:equalWidth="0" w:num="1">
            <w:col w:w="10226"/>
          </w:cols>
          <w:pgMar w:left="233" w:top="964"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NO.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MARKET VALUE AT</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FUTURE</w:t>
      </w:r>
    </w:p>
    <w:p>
      <w:pPr>
        <w:spacing w:after="0" w:line="3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CASH FLOWS</w:t>
      </w:r>
    </w:p>
    <w:p>
      <w:pPr>
        <w:spacing w:after="0" w:line="152" w:lineRule="exact"/>
        <w:rPr>
          <w:sz w:val="20"/>
          <w:szCs w:val="20"/>
          <w:color w:val="auto"/>
        </w:rPr>
      </w:pPr>
    </w:p>
    <w:p>
      <w:pPr>
        <w:sectPr>
          <w:pgSz w:w="11900" w:h="16838" w:orient="portrait"/>
          <w:cols w:equalWidth="0" w:num="5">
            <w:col w:w="1907" w:space="720"/>
            <w:col w:w="1100" w:space="720"/>
            <w:col w:w="1460" w:space="540"/>
            <w:col w:w="1640" w:space="460"/>
            <w:col w:w="1679"/>
          </w:cols>
          <w:pgMar w:left="233" w:top="964"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126,193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Modex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Equity/Foreign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$27,204,333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86" w:lineRule="exact"/>
        <w:rPr>
          <w:sz w:val="20"/>
          <w:szCs w:val="20"/>
          <w:color w:val="auto"/>
        </w:rPr>
      </w:pPr>
    </w:p>
    <w:p>
      <w:pPr>
        <w:sectPr>
          <w:pgSz w:w="11900" w:h="16838" w:orient="portrait"/>
          <w:cols w:equalWidth="0" w:num="5">
            <w:col w:w="1547" w:space="720"/>
            <w:col w:w="1640" w:space="360"/>
            <w:col w:w="1740" w:space="720"/>
            <w:col w:w="1640" w:space="720"/>
            <w:col w:w="1139"/>
          </w:cols>
          <w:pgMar w:left="233" w:top="964" w:right="1440" w:bottom="1440" w:gutter="0" w:footer="0" w:header="0"/>
          <w:type w:val="continuous"/>
        </w:sectPr>
      </w:pPr>
    </w:p>
    <w:p>
      <w:pPr>
        <w:jc w:val="center"/>
        <w:ind w:right="-127"/>
        <w:spacing w:after="0"/>
        <w:rPr>
          <w:sz w:val="20"/>
          <w:szCs w:val="20"/>
          <w:color w:val="auto"/>
        </w:rPr>
      </w:pPr>
      <w:r>
        <w:rPr>
          <w:rFonts w:ascii="Courier New" w:cs="Courier New" w:eastAsia="Courier New" w:hAnsi="Courier New"/>
          <w:sz w:val="15"/>
          <w:szCs w:val="15"/>
          <w:color w:val="auto"/>
        </w:rPr>
        <w:t>Currency Translation</w:t>
      </w:r>
    </w:p>
    <w:p>
      <w:pPr>
        <w:spacing w:after="0" w:line="273"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964" w:right="1440" w:bottom="1440" w:gutter="0" w:footer="0" w:header="0"/>
          <w:type w:val="continuous"/>
        </w:sectPr>
      </w:pPr>
    </w:p>
    <w:p>
      <w:pPr>
        <w:spacing w:after="0" w:line="86" w:lineRule="exact"/>
        <w:rPr>
          <w:sz w:val="20"/>
          <w:szCs w:val="20"/>
          <w:color w:val="auto"/>
        </w:rPr>
      </w:pPr>
    </w:p>
    <w:p>
      <w:pPr>
        <w:ind w:left="827" w:right="3219" w:hanging="827"/>
        <w:spacing w:after="0" w:line="249" w:lineRule="auto"/>
        <w:tabs>
          <w:tab w:leader="none" w:pos="82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we have not formally adopted a liquidation plan for this investment, liquidation may be necessary to meet operating cash flow requirements. Under the agreement with Modex, we are restricted from selling our holdings through December 23, 2000.</w:t>
      </w:r>
    </w:p>
    <w:p>
      <w:pPr>
        <w:spacing w:after="0" w:line="26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964"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PART II - ITEM 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2</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4</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AND REPORTS ON FORM 8-K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 27 - Financial Data Schedule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180" w:lineRule="exact"/>
        <w:rPr>
          <w:sz w:val="20"/>
          <w:szCs w:val="20"/>
          <w:color w:val="auto"/>
        </w:rPr>
      </w:pPr>
    </w:p>
    <w:p>
      <w:pPr>
        <w:ind w:left="440" w:right="2959"/>
        <w:spacing w:after="0" w:line="277" w:lineRule="auto"/>
        <w:rPr>
          <w:sz w:val="20"/>
          <w:szCs w:val="20"/>
          <w:color w:val="auto"/>
        </w:rPr>
      </w:pPr>
      <w:r>
        <w:rPr>
          <w:rFonts w:ascii="Courier New" w:cs="Courier New" w:eastAsia="Courier New" w:hAnsi="Courier New"/>
          <w:sz w:val="15"/>
          <w:szCs w:val="15"/>
          <w:color w:val="auto"/>
        </w:rPr>
        <w:t>On September 8, 2000 the Company filed Form 8-K/A disclosing Pro-Forma Financial Information about its exit of its Encapsulated Cell Therapy activities and disposition of related intellectual property, facilities and equipment, and the relocation of its corporate headquarters to Sunnyvale, California.</w:t>
      </w:r>
    </w:p>
    <w:p>
      <w:pPr>
        <w:spacing w:after="0" w:line="6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89" w:right="1440" w:bottom="1440" w:gutter="0" w:footer="0" w:header="0"/>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479"/>
        <w:spacing w:after="0" w:line="287" w:lineRule="auto"/>
        <w:rPr>
          <w:sz w:val="20"/>
          <w:szCs w:val="20"/>
          <w:color w:val="auto"/>
        </w:rPr>
      </w:pPr>
      <w:r>
        <w:rPr>
          <w:rFonts w:ascii="Courier New" w:cs="Courier New" w:eastAsia="Courier New" w:hAnsi="Courier New"/>
          <w:sz w:val="15"/>
          <w:szCs w:val="15"/>
          <w:color w:val="auto"/>
        </w:rPr>
        <w:t>The schedule contains summary information extracted from the consolidated statement of earnings for the nine months ended September 30, 2000 and the consolidated balance sheet at September 30, 2000 and is qualified in its entirety by reference to such financial statements.</w:t>
      </w:r>
    </w:p>
    <w:p>
      <w:pPr>
        <w:spacing w:after="0" w:line="61"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0000883975</w:t>
      </w:r>
    </w:p>
    <w:p>
      <w:pPr>
        <w:spacing w:after="0" w:line="33"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STEMCELLS, INC.</w:t>
      </w:r>
    </w:p>
    <w:p>
      <w:pPr>
        <w:spacing w:after="0" w:line="32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9-MOS</w:t>
      </w:r>
    </w:p>
    <w:p>
      <w:pPr>
        <w:spacing w:after="0" w:line="3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DEC-31-2000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SEP-30-2000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7,247,077</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27,204,333</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1,450,004</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8,215,598</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4,721,055</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41,631,529</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1,135,794</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3,019,583</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1,500,000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208,818</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35,417,433</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41,631,529</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5"/>
          <w:szCs w:val="15"/>
          <w:color w:val="auto"/>
        </w:rPr>
        <w:t>6,290,971</w:t>
      </w:r>
    </w:p>
    <w:p>
      <w:pPr>
        <w:spacing w:after="0" w:line="5"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209,287</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(4,865,190)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(0.26)</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99"/>
      </w:cols>
      <w:pgMar w:left="26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2019-12-13T22:00:03Z</dcterms:created>
  <dcterms:modified xsi:type="dcterms:W3CDTF">2019-12-13T22:00:03Z</dcterms:modified>
</cp:coreProperties>
</file>