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740" w:right="1780" w:hanging="3634"/>
        <w:spacing w:after="0" w:line="501" w:lineRule="auto"/>
        <w:tabs>
          <w:tab w:leader="none" w:pos="44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ind w:left="3960" w:right="1760" w:hanging="3834"/>
        <w:spacing w:after="0" w:line="501" w:lineRule="auto"/>
        <w:tabs>
          <w:tab w:leader="none" w:pos="27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 to _____</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1-16525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of Registrant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2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220" w:space="720"/>
            <w:col w:w="348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747" w:right="239" w:bottom="1440" w:gutter="0" w:footer="0" w:header="0"/>
          <w:type w:val="continuous"/>
        </w:sect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(781) 875-3605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jc w:val="both"/>
        <w:ind w:firstLine="189"/>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firstLine="18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firstLine="189"/>
        <w:spacing w:after="0" w:line="264"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47" w:right="23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2720" w:space="720"/>
            <w:col w:w="7980"/>
          </w:cols>
          <w:pgMar w:left="240" w:top="74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3">
            <w:col w:w="2720" w:space="720"/>
            <w:col w:w="3840" w:space="720"/>
            <w:col w:w="3420"/>
          </w:cols>
          <w:pgMar w:left="240" w:top="747" w:right="239" w:bottom="1440" w:gutter="0" w:footer="0" w:header="0"/>
          <w:type w:val="continuous"/>
        </w:sectPr>
      </w:pPr>
    </w:p>
    <w:p>
      <w:pPr>
        <w:spacing w:after="0" w:line="37"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2,975,676 shares of Common Stock, $0.01 par value, at November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40" w:type="dxa"/>
            <w:vAlign w:val="bottom"/>
            <w:gridSpan w:val="8"/>
          </w:tcPr>
          <w:p>
            <w:pPr>
              <w:jc w:val="center"/>
              <w:ind w:right="3540"/>
              <w:spacing w:after="0"/>
              <w:rPr>
                <w:sz w:val="20"/>
                <w:szCs w:val="20"/>
                <w:color w:val="auto"/>
              </w:rPr>
            </w:pPr>
            <w:r>
              <w:rPr>
                <w:rFonts w:ascii="Arial" w:cs="Arial" w:eastAsia="Arial" w:hAnsi="Arial"/>
                <w:sz w:val="18"/>
                <w:szCs w:val="18"/>
                <w:b w:val="1"/>
                <w:bCs w:val="1"/>
                <w:color w:val="auto"/>
              </w:rPr>
              <w:t>MICROBOT MEDICAL INC.</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w w:val="93"/>
              </w:rPr>
              <w:t>Index</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19"/>
            <w:shd w:val="clear" w:color="auto" w:fill="CCEEFF"/>
          </w:tcPr>
          <w:p>
            <w:pPr>
              <w:ind w:left="160"/>
              <w:spacing w:after="0"/>
              <w:rPr>
                <w:sz w:val="20"/>
                <w:szCs w:val="20"/>
                <w:color w:val="auto"/>
              </w:rPr>
            </w:pPr>
            <w:r>
              <w:rPr>
                <w:rFonts w:ascii="Arial" w:cs="Arial" w:eastAsia="Arial" w:hAnsi="Arial"/>
                <w:sz w:val="18"/>
                <w:szCs w:val="18"/>
                <w:color w:val="auto"/>
              </w:rPr>
              <w:t>Item 1 - Financial Statements</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Balance Sheets as of September 30, 2018 (unaudited) and December 31, 2017 (audited)</w:t>
              </w:r>
            </w:hyperlink>
          </w:p>
        </w:tc>
        <w:tc>
          <w:tcPr>
            <w:tcW w:w="82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17"/>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Interim Consolidated Statements of Comprehensive Loss for the three and nine months ended September 30, 2018 and 2017 (unaudited)</w:t>
              </w:r>
            </w:hyperlink>
          </w:p>
        </w:tc>
        <w:tc>
          <w:tcPr>
            <w:tcW w:w="820" w:type="dxa"/>
            <w:vAlign w:val="bottom"/>
          </w:tcPr>
          <w:p>
            <w:pPr>
              <w:jc w:val="center"/>
              <w:ind w:left="9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Interim Statements of Shareholders’ Equity as of September 30, 2018 (unaudited) and December 31, 2017 (audited)</w:t>
              </w:r>
            </w:hyperlink>
          </w:p>
        </w:tc>
        <w:tc>
          <w:tcPr>
            <w:tcW w:w="1880" w:type="dxa"/>
            <w:vAlign w:val="bottom"/>
            <w:tcBorders>
              <w:bottom w:val="single" w:sz="8" w:color="CCEEFF"/>
            </w:tcBorders>
            <w:gridSpan w:val="3"/>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20" w:type="dxa"/>
            <w:vAlign w:val="bottom"/>
            <w:gridSpan w:val="18"/>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 for the nine months ended September 30, 2018 and 2017 (unaudited)</w:t>
              </w:r>
            </w:hyperlink>
          </w:p>
        </w:tc>
        <w:tc>
          <w:tcPr>
            <w:tcW w:w="820" w:type="dxa"/>
            <w:vAlign w:val="bottom"/>
          </w:tcPr>
          <w:p>
            <w:pPr>
              <w:jc w:val="center"/>
              <w:ind w:left="9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20" w:type="dxa"/>
            <w:vAlign w:val="bottom"/>
            <w:gridSpan w:val="18"/>
            <w:shd w:val="clear" w:color="auto" w:fill="CCEEFF"/>
          </w:tcPr>
          <w:p>
            <w:pPr>
              <w:ind w:left="1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Interim Consolidated Financial Statements</w:t>
              </w:r>
            </w:hyperlink>
          </w:p>
        </w:tc>
        <w:tc>
          <w:tcPr>
            <w:tcW w:w="82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2 - Management’s Discussion and Analysis of Financial Condition and Results of Operations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 Quantitative and Qualitative Disclosures About Market Risk</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 Controls and Procedures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8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1 - Legal Proceedings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 Risk Factors.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 – Unregistered Sales of Equity Securities and Use of Proceeds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 – Defaults Upon Senior Securities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 – Mine Safety Disclosures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5 - Other Information</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9"/>
            <w:shd w:val="clear" w:color="auto" w:fill="CCEEFF"/>
          </w:tcPr>
          <w:p>
            <w:pPr>
              <w:ind w:left="16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 – Exhibits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8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400" w:type="dxa"/>
            <w:vAlign w:val="bottom"/>
            <w:tcBorders>
              <w:top w:val="single" w:sz="8" w:color="CCEEFF"/>
              <w:bottom w:val="single" w:sz="8" w:color="auto"/>
            </w:tcBorders>
            <w:gridSpan w:val="6"/>
          </w:tcPr>
          <w:p>
            <w:pPr>
              <w:jc w:val="center"/>
              <w:ind w:right="4360"/>
              <w:spacing w:after="0"/>
              <w:rPr>
                <w:sz w:val="20"/>
                <w:szCs w:val="20"/>
                <w:color w:val="auto"/>
              </w:rPr>
            </w:pPr>
            <w:r>
              <w:rPr>
                <w:rFonts w:ascii="Arial" w:cs="Arial" w:eastAsia="Arial" w:hAnsi="Arial"/>
                <w:sz w:val="18"/>
                <w:szCs w:val="18"/>
                <w:color w:val="auto"/>
                <w:w w:val="98"/>
              </w:rPr>
              <w:t>i</w:t>
            </w:r>
          </w:p>
        </w:tc>
        <w:tc>
          <w:tcPr>
            <w:tcW w:w="8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center"/>
              <w:ind w:right="505"/>
              <w:spacing w:after="0"/>
              <w:rPr>
                <w:sz w:val="20"/>
                <w:szCs w:val="20"/>
                <w:color w:val="auto"/>
              </w:rPr>
            </w:pPr>
            <w:r>
              <w:rPr>
                <w:rFonts w:ascii="Arial" w:cs="Arial" w:eastAsia="Arial" w:hAnsi="Arial"/>
                <w:sz w:val="18"/>
                <w:szCs w:val="18"/>
                <w:b w:val="1"/>
                <w:bCs w:val="1"/>
                <w:color w:val="auto"/>
                <w:w w:val="89"/>
              </w:rPr>
              <w:t>Note</w:t>
            </w:r>
          </w:p>
        </w:tc>
        <w:tc>
          <w:tcPr>
            <w:tcW w:w="2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September 30, 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6,673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10,787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Fixed assets, net</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warrant liability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of $0.01 par value; issued and outstanding: 721,107</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September 30, 2018 and December 31, 2017</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tcPr>
          <w:p>
            <w:pPr>
              <w:spacing w:after="0" w:line="201" w:lineRule="exact"/>
              <w:rPr>
                <w:sz w:val="20"/>
                <w:szCs w:val="20"/>
                <w:color w:val="auto"/>
              </w:rPr>
            </w:pPr>
            <w:r>
              <w:rPr>
                <w:rFonts w:ascii="Arial" w:cs="Arial" w:eastAsia="Arial" w:hAnsi="Arial"/>
                <w:sz w:val="18"/>
                <w:szCs w:val="18"/>
                <w:color w:val="auto"/>
                <w:w w:val="94"/>
              </w:rPr>
              <w:t>Preferred stock of $0.01 par value; Authorized: 1,000,000 shares as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of September 30, 2018 and December 31, 2017; issued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w w:val="98"/>
              </w:rPr>
              <w:t>outstanding: 550 and 4,001 shares as of September 30, 2018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December 31, 2017, respectively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of $0.01 par value; Authorized: 220,000,000 as of</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and December 31, 2017; issued and</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outstanding (**): 2,254,569 and 2,013,193 shares as of September</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2018, and December 31, 2017, respectively</w:t>
            </w: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31,771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30,561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(25,735)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6,066</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7,128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11,020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December 31, 2017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basic and diluted (*)</w:t>
            </w: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2,947,633</w:t>
            </w: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2,383,327</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2,876,020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September 30, 2017 share data represents the number of shares adjusted to retroactively reflect the 1:15 reverse stock split effected on September 4,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Preferred A Shares</w:t>
            </w:r>
          </w:p>
        </w:tc>
        <w:tc>
          <w:tcPr>
            <w:tcW w:w="2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9,736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**1,788,884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18</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14,713</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(13,035)</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1,696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299,815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12,702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Extinguishment of convertible notes and issuance of</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preferred A shares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(7,589)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2,734,300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30,561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(20,624)</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9,964</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1,139</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as consideration-vendor</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232,151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(5,111)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Balances, September 30, 2018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550</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60"/>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5"/>
                <w:szCs w:val="25"/>
                <w:b w:val="1"/>
                <w:bCs w:val="1"/>
                <w:color w:val="auto"/>
                <w:vertAlign w:val="superscript"/>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2,975,676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30</w:t>
            </w:r>
          </w:p>
        </w:tc>
        <w:tc>
          <w:tcPr>
            <w:tcW w:w="1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31,771</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80"/>
              <w:spacing w:after="0" w:line="216" w:lineRule="exact"/>
              <w:rPr>
                <w:sz w:val="20"/>
                <w:szCs w:val="20"/>
                <w:color w:val="auto"/>
              </w:rPr>
            </w:pPr>
            <w:r>
              <w:rPr>
                <w:rFonts w:ascii="Arial" w:cs="Arial" w:eastAsia="Arial" w:hAnsi="Arial"/>
                <w:sz w:val="13"/>
                <w:szCs w:val="13"/>
                <w:b w:val="1"/>
                <w:bCs w:val="1"/>
                <w:color w:val="auto"/>
              </w:rPr>
              <w:t>(25,735</w:t>
            </w:r>
            <w:r>
              <w:rPr>
                <w:rFonts w:ascii="Arial" w:cs="Arial" w:eastAsia="Arial" w:hAnsi="Arial"/>
                <w:sz w:val="25"/>
                <w:szCs w:val="25"/>
                <w:b w:val="1"/>
                <w:bCs w:val="1"/>
                <w:color w:val="auto"/>
                <w:vertAlign w:val="superscript"/>
              </w:rPr>
              <w:t>)</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6,066</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721,107 common stock classified as temporary equity.</w:t>
      </w:r>
    </w:p>
    <w:p>
      <w:pPr>
        <w:spacing w:after="0" w:line="9" w:lineRule="exact"/>
        <w:rPr>
          <w:sz w:val="20"/>
          <w:szCs w:val="20"/>
          <w:color w:val="auto"/>
        </w:rPr>
      </w:pPr>
    </w:p>
    <w:p>
      <w:pPr>
        <w:ind w:left="660" w:hanging="652"/>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3"/>
              </w:rPr>
              <w:t>Nine months ended 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ind w:left="80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(5,111)</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Interest and revaluation of convertible notes, net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Financing loss on debt extinguishment</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Shares issued as consideration-vendor</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Changes in assets and liabilities: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8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gridSpan w:val="6"/>
          </w:tcPr>
          <w:p>
            <w:pPr>
              <w:ind w:left="60"/>
              <w:spacing w:after="0"/>
              <w:rPr>
                <w:sz w:val="20"/>
                <w:szCs w:val="20"/>
                <w:color w:val="auto"/>
              </w:rPr>
            </w:pPr>
            <w:r>
              <w:rPr>
                <w:rFonts w:ascii="Arial" w:cs="Arial" w:eastAsia="Arial" w:hAnsi="Arial"/>
                <w:sz w:val="18"/>
                <w:szCs w:val="18"/>
                <w:color w:val="auto"/>
              </w:rPr>
              <w:t>Other payables and accrued liabilities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gridSpan w:val="7"/>
          </w:tcPr>
          <w:p>
            <w:pPr>
              <w:spacing w:after="0" w:line="201" w:lineRule="exact"/>
              <w:rPr>
                <w:sz w:val="20"/>
                <w:szCs w:val="20"/>
                <w:color w:val="auto"/>
              </w:rPr>
            </w:pPr>
            <w:r>
              <w:rPr>
                <w:rFonts w:ascii="Arial" w:cs="Arial" w:eastAsia="Arial" w:hAnsi="Arial"/>
                <w:sz w:val="18"/>
                <w:szCs w:val="18"/>
                <w:color w:val="auto"/>
                <w:w w:val="99"/>
              </w:rPr>
              <w:t>Outflow (inflow) in connection with current assets and liabilities acquired in reverse</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8"/>
          </w:tcPr>
          <w:p>
            <w:pPr>
              <w:spacing w:after="0"/>
              <w:rPr>
                <w:sz w:val="20"/>
                <w:szCs w:val="20"/>
                <w:color w:val="auto"/>
              </w:rPr>
            </w:pPr>
            <w:r>
              <w:rPr>
                <w:rFonts w:ascii="Arial" w:cs="Arial" w:eastAsia="Arial" w:hAnsi="Arial"/>
                <w:sz w:val="18"/>
                <w:szCs w:val="18"/>
                <w:color w:val="auto"/>
              </w:rPr>
              <w:t>recapitalization, net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9"/>
              </w:rPr>
              <w:t>Cash and cash equivalents and restricted cash at the beginning of the period</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4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Supplemental disclosure of cash flow information:</w:t>
            </w:r>
          </w:p>
        </w:tc>
        <w:tc>
          <w:tcPr>
            <w:tcW w:w="27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Non-cash financing transactions: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Cashless exercise of warrants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rPr>
              <w:t>Conversion of preferred A shares into common shares</w:t>
            </w:r>
          </w:p>
        </w:tc>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gridSpan w:val="7"/>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tcBorders>
              <w:bottom w:val="single" w:sz="8" w:color="CCEEFF"/>
            </w:tcBorders>
            <w:gridSpan w:val="7"/>
            <w:shd w:val="clear" w:color="auto" w:fill="CCEEFF"/>
          </w:tcPr>
          <w:p>
            <w:pPr>
              <w:spacing w:after="0" w:line="190" w:lineRule="exact"/>
              <w:rPr>
                <w:sz w:val="20"/>
                <w:szCs w:val="20"/>
                <w:color w:val="auto"/>
              </w:rPr>
            </w:pPr>
            <w:r>
              <w:rPr>
                <w:rFonts w:ascii="Arial" w:cs="Arial" w:eastAsia="Arial" w:hAnsi="Arial"/>
                <w:sz w:val="18"/>
                <w:szCs w:val="18"/>
                <w:color w:val="auto"/>
              </w:rPr>
              <w:t>Extinguishment of convertible notes in exchange for preferred A shares</w:t>
            </w: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280" w:type="dxa"/>
            <w:vAlign w:val="bottom"/>
            <w:gridSpan w:val="6"/>
            <w:vMerge w:val="restart"/>
          </w:tcPr>
          <w:p>
            <w:pPr>
              <w:ind w:left="200"/>
              <w:spacing w:after="0"/>
              <w:rPr>
                <w:sz w:val="20"/>
                <w:szCs w:val="20"/>
                <w:color w:val="auto"/>
              </w:rPr>
            </w:pPr>
            <w:r>
              <w:rPr>
                <w:rFonts w:ascii="Arial" w:cs="Arial" w:eastAsia="Arial" w:hAnsi="Arial"/>
                <w:sz w:val="18"/>
                <w:szCs w:val="18"/>
                <w:color w:val="auto"/>
              </w:rPr>
              <w:t>Less than 1</w:t>
            </w:r>
          </w:p>
        </w:tc>
        <w:tc>
          <w:tcPr>
            <w:tcW w:w="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6280" w:type="dxa"/>
            <w:vAlign w:val="bottom"/>
            <w:gridSpan w:val="6"/>
            <w:vMerge w:val="continue"/>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To date, the Company has not generated revenues from its operations. As of September 30, 2018, the Company had cash and cash equivalent balance of approximately $6,673,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rFonts w:ascii="Arial" w:cs="Arial" w:eastAsia="Arial" w:hAnsi="Arial"/>
          <w:sz w:val="18"/>
          <w:szCs w:val="18"/>
          <w:b w:val="1"/>
          <w:bCs w:val="1"/>
          <w:color w:val="auto"/>
        </w:rPr>
      </w:pPr>
    </w:p>
    <w:p>
      <w:pPr>
        <w:jc w:val="both"/>
        <w:ind w:left="6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was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Operating results for the nine-month period ended September 30, 2018, are not necessarily indicative of the results that may be expected for the year ended December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adoption of this standard did not have a material impact on our interim consolidated statements of comprehensive loss since the Company has not yet generated revenues to date.</w:t>
      </w:r>
    </w:p>
    <w:p>
      <w:pPr>
        <w:spacing w:after="0" w:line="17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These amendments expand the scope of Topic 718, 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 - Equity-Based Payments to Non-Employees. The guidance is effective for the Company during the first quarter of 2019. The Company is assessing ASU 2018-07 and does not expect it to have a material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ind w:left="660"/>
        <w:spacing w:after="0" w:line="257" w:lineRule="auto"/>
        <w:rPr>
          <w:sz w:val="20"/>
          <w:szCs w:val="20"/>
          <w:color w:val="auto"/>
        </w:rPr>
      </w:pPr>
      <w:r>
        <w:rPr>
          <w:rFonts w:ascii="Arial" w:cs="Arial" w:eastAsia="Arial" w:hAnsi="Arial"/>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July 2018, the FASB issued ASU No.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4) and will likely have an insignificant impact on the consolidated statements of comprehensive loss.</w:t>
      </w:r>
    </w:p>
    <w:p>
      <w:pPr>
        <w:spacing w:after="0" w:line="178"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4 which upon adoption of the new standard are expected to be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WARRANT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outstanding warrants and terms as of September 30, 2018 and December 31, 2017 after the split is as follows: (*)</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Exercisable as of</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Outstanding as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Exercisable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Issuance date</w:t>
            </w: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Pr>
          <w:p>
            <w:pPr>
              <w:spacing w:after="0"/>
              <w:rPr>
                <w:sz w:val="20"/>
                <w:szCs w:val="20"/>
                <w:color w:val="auto"/>
              </w:rPr>
            </w:pPr>
          </w:p>
        </w:tc>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3,895</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2,885</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2,725</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(2015)</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(2016) (a)</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2,770</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19"/>
        <w:spacing w:after="0" w:line="258" w:lineRule="auto"/>
        <w:tabs>
          <w:tab w:leader="none" w:pos="960" w:val="left"/>
        </w:tabs>
        <w:rPr>
          <w:sz w:val="20"/>
          <w:szCs w:val="20"/>
          <w:color w:val="auto"/>
        </w:rPr>
      </w:pPr>
      <w:r>
        <w:rPr>
          <w:rFonts w:ascii="Arial" w:cs="Arial" w:eastAsia="Arial" w:hAnsi="Arial"/>
          <w:sz w:val="18"/>
          <w:szCs w:val="18"/>
          <w:color w:val="auto"/>
        </w:rPr>
        <w:t>(*)</w:t>
        <w:tab/>
        <w:t>December 31, 2017 warrants data represents the number of shares adjusted to retroactively reflect the 1:15 Reverse Split effected on September 4, 2018</w:t>
      </w:r>
    </w:p>
    <w:p>
      <w:pPr>
        <w:spacing w:after="0" w:line="1" w:lineRule="exact"/>
        <w:rPr>
          <w:sz w:val="20"/>
          <w:szCs w:val="20"/>
          <w:color w:val="auto"/>
        </w:rPr>
      </w:pPr>
    </w:p>
    <w:p>
      <w:pPr>
        <w:jc w:val="both"/>
        <w:ind w:left="980" w:hanging="324"/>
        <w:spacing w:after="0" w:line="25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September 30, 2018 and December 31, 2017, was approximately $5 and $28,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ind w:left="660"/>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3 measurement).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2017, an institutional holder executed a cashless exercise of 51 warrants and 24 shares of Common Stock were issued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Series A</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(2016)</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Borders>
              <w:bottom w:val="single" w:sz="8" w:color="CCEEFF"/>
            </w:tcBorders>
          </w:tcPr>
          <w:p>
            <w:pPr>
              <w:spacing w:after="0"/>
              <w:rPr>
                <w:sz w:val="20"/>
                <w:szCs w:val="20"/>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7"/>
        </w:trPr>
        <w:tc>
          <w:tcPr>
            <w:tcW w:w="3300" w:type="dxa"/>
            <w:vAlign w:val="bottom"/>
            <w:gridSpan w:val="2"/>
          </w:tcPr>
          <w:p>
            <w:pPr>
              <w:spacing w:after="0"/>
              <w:rPr>
                <w:sz w:val="20"/>
                <w:szCs w:val="20"/>
                <w:color w:val="auto"/>
              </w:rPr>
            </w:pPr>
            <w:r>
              <w:rPr>
                <w:rFonts w:ascii="Arial" w:cs="Arial" w:eastAsia="Arial" w:hAnsi="Arial"/>
                <w:sz w:val="18"/>
                <w:szCs w:val="18"/>
                <w:color w:val="auto"/>
              </w:rPr>
              <w:t>Changes in fair value</w:t>
            </w: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September 30, 2018</w:t>
            </w: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31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As of September 30, 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December 31, 2017</w:t>
            </w:r>
          </w:p>
        </w:tc>
      </w:tr>
      <w:tr>
        <w:trPr>
          <w:trHeight w:val="237"/>
        </w:trPr>
        <w:tc>
          <w:tcPr>
            <w:tcW w:w="4040" w:type="dxa"/>
            <w:vAlign w:val="bottom"/>
          </w:tcPr>
          <w:p>
            <w:pPr>
              <w:spacing w:after="0"/>
              <w:rPr>
                <w:sz w:val="20"/>
                <w:szCs w:val="20"/>
                <w:color w:val="auto"/>
              </w:rPr>
            </w:pPr>
          </w:p>
        </w:tc>
        <w:tc>
          <w:tcPr>
            <w:tcW w:w="17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Series A (2016)</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Series B (2016)</w:t>
            </w: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Series A (2016)</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Series B (2016)</w:t>
            </w:r>
          </w:p>
        </w:tc>
        <w:tc>
          <w:tcPr>
            <w:tcW w:w="100" w:type="dxa"/>
            <w:vAlign w:val="bottom"/>
          </w:tcPr>
          <w:p>
            <w:pPr>
              <w:spacing w:after="0"/>
              <w:rPr>
                <w:sz w:val="20"/>
                <w:szCs w:val="20"/>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13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7.52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such liabilities measured on a recurring basis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Derivative Warrant</w:t>
            </w:r>
          </w:p>
        </w:tc>
        <w:tc>
          <w:tcPr>
            <w:tcW w:w="392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jc w:val="right"/>
              <w:ind w:right="530"/>
              <w:spacing w:after="0"/>
              <w:rPr>
                <w:sz w:val="20"/>
                <w:szCs w:val="20"/>
                <w:color w:val="auto"/>
              </w:rPr>
            </w:pPr>
            <w:r>
              <w:rPr>
                <w:rFonts w:ascii="Arial" w:cs="Arial" w:eastAsia="Arial" w:hAnsi="Arial"/>
                <w:sz w:val="18"/>
                <w:szCs w:val="18"/>
                <w:b w:val="1"/>
                <w:bCs w:val="1"/>
                <w:color w:val="auto"/>
              </w:rPr>
              <w:t>Liabilities</w:t>
            </w:r>
          </w:p>
        </w:tc>
        <w:tc>
          <w:tcPr>
            <w:tcW w:w="392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39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Revaluation of warrants</w:t>
            </w: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(23)</w:t>
            </w:r>
          </w:p>
        </w:tc>
        <w:tc>
          <w:tcPr>
            <w:tcW w:w="392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September 30, 2018</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39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79"/>
              </w:rPr>
              <w:t>8</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0" w:name="page11"/>
    <w:bookmarkEnd w:id="10"/>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Revaluation of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209550</wp:posOffset>
            </wp:positionV>
            <wp:extent cx="17068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160" w:hanging="50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jc w:val="center"/>
        <w:ind w:right="3992"/>
        <w:spacing w:after="0"/>
        <w:rPr>
          <w:sz w:val="20"/>
          <w:szCs w:val="20"/>
          <w:color w:val="auto"/>
        </w:rPr>
      </w:pPr>
      <w:r>
        <w:rPr>
          <w:rFonts w:ascii="Arial" w:cs="Arial" w:eastAsia="Arial" w:hAnsi="Arial"/>
          <w:sz w:val="17"/>
          <w:szCs w:val="17"/>
          <w:b w:val="1"/>
          <w:bCs w:val="1"/>
          <w:color w:val="auto"/>
        </w:rPr>
        <w:t>Derivative Warrant</w:t>
      </w:r>
    </w:p>
    <w:p>
      <w:pPr>
        <w:spacing w:after="0" w:line="39" w:lineRule="exact"/>
        <w:rPr>
          <w:sz w:val="20"/>
          <w:szCs w:val="20"/>
          <w:color w:val="auto"/>
        </w:rPr>
      </w:pPr>
    </w:p>
    <w:p>
      <w:pPr>
        <w:jc w:val="center"/>
        <w:ind w:right="3992"/>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5715</wp:posOffset>
            </wp:positionV>
            <wp:extent cx="43478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 w:lineRule="exact"/>
        <w:rPr>
          <w:sz w:val="20"/>
          <w:szCs w:val="20"/>
          <w:color w:val="auto"/>
        </w:rPr>
      </w:pPr>
    </w:p>
    <w:p>
      <w:pPr>
        <w:ind w:left="1068" w:hanging="1068"/>
        <w:spacing w:after="0"/>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313</w:t>
      </w:r>
    </w:p>
    <w:p>
      <w:pPr>
        <w:spacing w:after="0" w:line="50" w:lineRule="exact"/>
        <w:rPr>
          <w:rFonts w:ascii="Arial" w:cs="Arial" w:eastAsia="Arial" w:hAnsi="Arial"/>
          <w:sz w:val="18"/>
          <w:szCs w:val="18"/>
          <w:color w:val="auto"/>
        </w:rPr>
      </w:pPr>
    </w:p>
    <w:p>
      <w:pPr>
        <w:ind w:left="948"/>
        <w:spacing w:after="0"/>
        <w:rPr>
          <w:rFonts w:ascii="Arial" w:cs="Arial" w:eastAsia="Arial" w:hAnsi="Arial"/>
          <w:sz w:val="18"/>
          <w:szCs w:val="18"/>
          <w:color w:val="auto"/>
        </w:rPr>
      </w:pPr>
      <w:r>
        <w:rPr>
          <w:rFonts w:ascii="Arial" w:cs="Arial" w:eastAsia="Arial" w:hAnsi="Arial"/>
          <w:sz w:val="18"/>
          <w:szCs w:val="18"/>
          <w:color w:val="auto"/>
        </w:rPr>
        <w:t>(285)</w:t>
      </w:r>
    </w:p>
    <w:p>
      <w:pPr>
        <w:spacing w:after="0" w:line="21"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-121920</wp:posOffset>
            </wp:positionV>
            <wp:extent cx="434784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83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183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4852" w:space="720"/>
            <w:col w:w="5848"/>
          </w:cols>
          <w:pgMar w:left="240" w:top="661" w:right="239" w:bottom="1440" w:gutter="0" w:footer="0" w:header="0"/>
        </w:sectPr>
      </w:pPr>
    </w:p>
    <w:p>
      <w:pPr>
        <w:spacing w:after="0" w:line="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or ‘increase in volatility would not have materially changed the value of the warrants. A 5.0% decrease or increase in the risk-free rate would not have materially changed the value of the warrants; the value of the warrants is not strongly correlated with small changes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September 30, 2018 in the total amount of approximately $1,310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December 2016, the Company entered into car lease agreements, which will end on December 31, 2019. According to the lease agreement, the monthly car lease payment is approximately $2.5.</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January 2018, the Company entered into an office lease agreement in the U.S., with a term ending on December 31, 2021. According to the lease agreement, the monthly office lease payment is approximately $4.</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May 2017, the Company entered into an office lease agreement IN Israel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study in Washington U. includes several phases. The first phase (initial research) was completed. The parties are in the final stage of planning the next phase, including the related various costs.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On August 3, 2018, both Plaintiffs and the Company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the Company’s motion for summary judgment regarding Plaintiffs’ claim for monetary damages and denying the Company’s motion for summary judgment on Plaintiffs’ claim for rescission, finding that there were material questions of fact that would need to be resolved at trial. A trial date has not been set.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has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(100,000 common shares before the Reverse Split) common shares estimated of $74. (see note 5).</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with Simon Sharon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Effective as of April 1, 2018, the Company hired Simon Sharon to replace its former Vice President of R&amp;D. Pursuant to the terms thereof, among other things, Mr. Sharon is entitled to options to purchase 10,000 shares (150,000 shares before the Reverse Split) of the Company’s common stock, subject and pursuant to the Company’s 2017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of Common Stock (1,000 shares of Common Stock before the Reverse Split), and confer upon the holder dividend rights on an as converted basis.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52 warrants (768 warrants before the Reverse Split) and 24 shares (359 shares before the Reverse Split) of Common Stock were issued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March 31, 2018, the Company had 2,837,863 shares (42,120,127 shares before the Reverse Split) of Common Stock issued and outstanding, and 2,464 shares of Series A Convertible Preferred Stock issued and outstanding.</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per share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before the Reverse Split). The gross proceeds to the Company was $10,125 before deducting placement agent fees and offering expenses of $922.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 ($0.8 before the Reverse Split) ($4.2 as retroactively adjusted to reflect the Merger). The stock options were fully vested at the date of grant.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$460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$329 and $0 included in general and administrative expenses for the nine months ended September 30, 2018 and 2017 respectively.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in the amount of $55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in the amount of $273 and $0 included in general and administrative expenses and research and development expenses for the nine months ended September 30, 2018 and 2017 respectively.</w:t>
      </w:r>
    </w:p>
    <w:p>
      <w:pPr>
        <w:spacing w:after="0" w:line="18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4" w:name="page15"/>
    <w:bookmarkEnd w:id="14"/>
    <w:p>
      <w:pPr>
        <w:jc w:val="both"/>
        <w:ind w:left="660"/>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of common stock before the Reverse Split) at an exercise price of $0.001 per share</w:t>
      </w:r>
    </w:p>
    <w:p>
      <w:pPr>
        <w:spacing w:after="0" w:line="17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On August 13, 2018, the board of directors approved a grant of stock options to purchase an aggregate of up to 10,000 shares (150,000 shares before the Reverse Split) of Common Stock to Mr. Simon Sharon, the company’s CTO,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$22 and $0 included in general and administrative expenses for the nine months ended September 30, 2018 and 2017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9"/>
          </w:tcPr>
          <w:p>
            <w:pPr>
              <w:ind w:left="1320"/>
              <w:spacing w:after="0"/>
              <w:rPr>
                <w:sz w:val="20"/>
                <w:szCs w:val="20"/>
                <w:color w:val="auto"/>
              </w:rPr>
            </w:pPr>
            <w:r>
              <w:rPr>
                <w:rFonts w:ascii="Arial" w:cs="Arial" w:eastAsia="Arial" w:hAnsi="Arial"/>
                <w:sz w:val="18"/>
                <w:szCs w:val="18"/>
                <w:b w:val="1"/>
                <w:bCs w:val="1"/>
                <w:color w:val="auto"/>
              </w:rPr>
              <w:t>For the nine months ended September 30, 2018</w:t>
            </w: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470"/>
              <w:spacing w:after="0" w:line="198" w:lineRule="exact"/>
              <w:rPr>
                <w:sz w:val="20"/>
                <w:szCs w:val="20"/>
                <w:color w:val="auto"/>
              </w:rPr>
            </w:pPr>
            <w:r>
              <w:rPr>
                <w:rFonts w:ascii="Arial" w:cs="Arial" w:eastAsia="Arial" w:hAnsi="Arial"/>
                <w:sz w:val="18"/>
                <w:szCs w:val="18"/>
                <w:b w:val="1"/>
                <w:bCs w:val="1"/>
                <w:color w:val="auto"/>
              </w:rPr>
              <w:t>Number of</w:t>
            </w: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 options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 price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414,965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(2,487)</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422,478</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228,758</w:t>
            </w: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7.80</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Weighted average</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9"/>
              </w:rPr>
              <w:t>Number of stock options</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exercise price</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Aggregate intrinsic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272,090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142,875</w:t>
            </w:r>
          </w:p>
        </w:tc>
        <w:tc>
          <w:tcPr>
            <w:tcW w:w="340" w:type="dxa"/>
            <w:vAlign w:val="bottom"/>
            <w:tcBorders>
              <w:bottom w:val="single" w:sz="8" w:color="auto"/>
            </w:tcBorders>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1.95</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December 31, 2017 options data represents the number of shares adjusted to retroactively reflect the 1:15 Reverse Split effected on September 4, 2018.</w:t>
      </w:r>
    </w:p>
    <w:p>
      <w:pPr>
        <w:spacing w:after="0" w:line="24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September 30, 2018 and December 31, 2017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t>The stock options outstanding as of September 30, 2018 and December 31, 2017, separated by exercise prices, are as follows: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remaining</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Stock options</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 options</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 life</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contractual life</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 options</w:t>
            </w:r>
          </w:p>
        </w:tc>
        <w:tc>
          <w:tcPr>
            <w:tcW w:w="0" w:type="dxa"/>
            <w:vAlign w:val="bottom"/>
          </w:tcPr>
          <w:p>
            <w:pPr>
              <w:spacing w:after="0"/>
              <w:rPr>
                <w:sz w:val="1"/>
                <w:szCs w:val="1"/>
                <w:color w:val="auto"/>
              </w:rPr>
            </w:pPr>
          </w:p>
        </w:tc>
      </w:tr>
      <w:tr>
        <w:trPr>
          <w:trHeight w:val="203"/>
        </w:trPr>
        <w:tc>
          <w:tcPr>
            <w:tcW w:w="1720" w:type="dxa"/>
            <w:vAlign w:val="bottom"/>
            <w:gridSpan w:val="2"/>
            <w:vMerge w:val="continue"/>
          </w:tcPr>
          <w:p>
            <w:pPr>
              <w:spacing w:after="0"/>
              <w:rPr>
                <w:sz w:val="17"/>
                <w:szCs w:val="17"/>
                <w:color w:val="auto"/>
              </w:rPr>
            </w:pPr>
          </w:p>
        </w:tc>
        <w:tc>
          <w:tcPr>
            <w:tcW w:w="15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87"/>
              </w:rPr>
              <w:t>outstanding as</w:t>
            </w:r>
          </w:p>
        </w:tc>
        <w:tc>
          <w:tcPr>
            <w:tcW w:w="16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85"/>
              </w:rPr>
              <w:t>outstanding as</w:t>
            </w: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7"/>
              </w:rPr>
              <w:t>– years as of</w:t>
            </w:r>
          </w:p>
        </w:tc>
        <w:tc>
          <w:tcPr>
            <w:tcW w:w="15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6"/>
              </w:rPr>
              <w:t>– years as of</w:t>
            </w:r>
          </w:p>
        </w:tc>
        <w:tc>
          <w:tcPr>
            <w:tcW w:w="14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exercisable as</w:t>
            </w: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6"/>
              </w:rPr>
              <w:t>exercisable as</w:t>
            </w:r>
          </w:p>
        </w:tc>
        <w:tc>
          <w:tcPr>
            <w:tcW w:w="0" w:type="dxa"/>
            <w:vAlign w:val="bottom"/>
          </w:tcPr>
          <w:p>
            <w:pPr>
              <w:spacing w:after="0"/>
              <w:rPr>
                <w:sz w:val="1"/>
                <w:szCs w:val="1"/>
                <w:color w:val="auto"/>
              </w:rPr>
            </w:pPr>
          </w:p>
        </w:tc>
      </w:tr>
      <w:tr>
        <w:trPr>
          <w:trHeight w:val="216"/>
        </w:trPr>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of September</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December 31,</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of September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December</w:t>
            </w:r>
          </w:p>
        </w:tc>
        <w:tc>
          <w:tcPr>
            <w:tcW w:w="0" w:type="dxa"/>
            <w:vAlign w:val="bottom"/>
          </w:tcPr>
          <w:p>
            <w:pPr>
              <w:spacing w:after="0"/>
              <w:rPr>
                <w:sz w:val="1"/>
                <w:szCs w:val="1"/>
                <w:color w:val="auto"/>
              </w:rPr>
            </w:pPr>
          </w:p>
        </w:tc>
      </w:tr>
      <w:tr>
        <w:trPr>
          <w:trHeight w:val="255"/>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30, 2018</w:t>
            </w:r>
          </w:p>
        </w:tc>
        <w:tc>
          <w:tcPr>
            <w:tcW w:w="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3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30, 2018</w:t>
            </w:r>
          </w:p>
        </w:tc>
        <w:tc>
          <w:tcPr>
            <w:tcW w:w="3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 2017(**)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46,117</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19.35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72,508</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23,565</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15.30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66,036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18,688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62,542</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8.75</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62,542</w:t>
            </w: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422,478</w:t>
            </w: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414,965</w:t>
            </w: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8.55</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228,758</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142,875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 Less than $0.01.</w:t>
      </w:r>
    </w:p>
    <w:p>
      <w:pPr>
        <w:spacing w:after="0" w:line="23" w:lineRule="exact"/>
        <w:rPr>
          <w:sz w:val="20"/>
          <w:szCs w:val="20"/>
          <w:color w:val="auto"/>
        </w:rPr>
      </w:pPr>
    </w:p>
    <w:p>
      <w:pPr>
        <w:ind w:left="324" w:right="20" w:hanging="324"/>
        <w:spacing w:after="0" w:line="261"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December 31, 2017 options data represents the number of shares adjusted to retroactively reflect the 1:15 Reverse Split effected on September 4, 2018.</w:t>
      </w:r>
    </w:p>
    <w:p>
      <w:pPr>
        <w:spacing w:after="0" w:line="18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nine-month ended September 30, 2018 and 2017 was $ 1,139 and $196, respectively.</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Nine months ended</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 ended</w:t>
            </w:r>
          </w:p>
        </w:tc>
      </w:tr>
      <w:tr>
        <w:trPr>
          <w:trHeight w:val="241"/>
        </w:trPr>
        <w:tc>
          <w:tcPr>
            <w:tcW w:w="5560" w:type="dxa"/>
            <w:vAlign w:val="bottom"/>
          </w:tcPr>
          <w:p>
            <w:pPr>
              <w:spacing w:after="0"/>
              <w:rPr>
                <w:sz w:val="20"/>
                <w:szCs w:val="20"/>
                <w:color w:val="auto"/>
              </w:rPr>
            </w:pPr>
          </w:p>
        </w:tc>
        <w:tc>
          <w:tcPr>
            <w:tcW w:w="246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2018</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99.4%</w:t>
            </w:r>
          </w:p>
        </w:tc>
        <w:tc>
          <w:tcPr>
            <w:tcW w:w="3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Risk-free interest</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During 2017, the Company issued an aggregate of 8,085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8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8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8"/>
          <w:szCs w:val="18"/>
          <w:b w:val="1"/>
          <w:bCs w:val="1"/>
          <w:color w:val="auto"/>
        </w:rPr>
        <w:t>.</w:t>
      </w:r>
    </w:p>
    <w:p>
      <w:pPr>
        <w:spacing w:after="0" w:line="193"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For the nine-month ended September 30, 2018, the holder of the Series A Convertible Preferred Stock converted 3,451 shares of the Series A Convertible Preferred Stock for 232,151 shares (3,445,266 shares before the Reverse Split) of Common Stock, pursuant to the terms of conversion of the Series A Convertible Preferred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intends to enter into a definitive agreement with up to three Israeli shareholders, one of which is a director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5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BASIC AND DILUTED NET LOSS PER SHARE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(5,111)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4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(1,442)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Net loss used in the calculation of basic net loss per share</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(4,885)</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4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gridSpan w:val="2"/>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2,876,020</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2,061,331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September 30, 2017 shares data represents the number of shares adjusted to retroactively reflect the 1:15 Reverse Split effected on September 4, 2018.</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2017.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2017.</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TipCAT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CardioSert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25 issued/allowed patents and 15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combination of a guidewire and microcatheter, technologies that are broadly used for surgery within a tubular organ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or structure such as a blood vessel or duct.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a unique guidewire delivery system with steering and stiffness control capabilities which when developed is expected to give the physician the ability to control the tip curvature, to adjust tip load to varying degrees of stiffness in</w:t>
      </w:r>
    </w:p>
    <w:p>
      <w:pPr>
        <w:jc w:val="both"/>
        <w:spacing w:after="0" w:line="234" w:lineRule="auto"/>
        <w:rPr>
          <w:sz w:val="20"/>
          <w:szCs w:val="20"/>
          <w:color w:val="auto"/>
        </w:rPr>
      </w:pPr>
      <w:r>
        <w:rPr>
          <w:rFonts w:ascii="Arial" w:cs="Arial" w:eastAsia="Arial" w:hAnsi="Arial"/>
          <w:sz w:val="16"/>
          <w:szCs w:val="16"/>
          <w:color w:val="auto"/>
        </w:rPr>
        <w:t>a gradually continuous manner.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was originally developed to support interventional cardiologists in crossing chronic total occlusions (CTO) during percutaneous coronary intervention (PCI) procedures and has the potential to be used in other spaces and applications, such as</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peripheral intervention, and neurosurgery. CardioSert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was part of a technological incubator supported by the Israel Innovation Authorities (formerly known as the Office of the Chief Scientist, or OCS), and a device based on the technology has successfully completed pre-clinical testing.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Minimally Invasive Endovascular Neurosurgery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Mechanical thrombectomy has only been approved as a first-line treatment for ischemic stroke since 2016. Prior to such approval,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Microbot believes that with its portfolio of technologies specifically CardioSert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TipCAT</w:t>
      </w:r>
      <w:r>
        <w:rPr>
          <w:rFonts w:ascii="Arial" w:cs="Arial" w:eastAsia="Arial" w:hAnsi="Arial"/>
          <w:sz w:val="28"/>
          <w:szCs w:val="28"/>
          <w:color w:val="auto"/>
          <w:vertAlign w:val="superscript"/>
        </w:rPr>
        <w:t>TM</w:t>
      </w:r>
      <w:r>
        <w:rPr>
          <w:rFonts w:ascii="Arial" w:cs="Arial" w:eastAsia="Arial" w:hAnsi="Arial"/>
          <w:sz w:val="17"/>
          <w:szCs w:val="17"/>
          <w:color w:val="auto"/>
        </w:rPr>
        <w:t>, it is well-positioned to explore and develop such technologies as neurovascular access devices, with a focus on improving the ease and access and enhancing the safety of endovascular neurosurgery.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in-vitro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in-vitro (lab) and in-vivo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 Microbot believes that the animal study results of its first generation SCS device should be available during the second half of 2019 and we expect to submit that data to the FDA either in a regulatory submission or as part of a pre-submission meeting request, depending on the final results of this ongoing studies.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submitted as part of a 510(k) notification to authorize marketing of the medical device in the U.S.</w:t>
      </w:r>
    </w:p>
    <w:p>
      <w:pPr>
        <w:spacing w:after="0" w:line="3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no products approved for commercial sale and has not generated any revenues from product sales since its inception in 2010. From inception to September 30, 2018, Microbot has raised cash proceeds of approximately $18,000,000 to fund operations, primarily from government grants, loans, and private placement offerings of debt and equity securities.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has never been profitable and has incurred significant operating losses in each year since inception. Net losses for the three and nine months ended September 30, 2018 were approximately $1,749,000 and $5,111,000, respectively, compare to the three and nine months ended September 30, 2017 of $1,187,000 and $6,002,000, respectively. Substantially all of Microbot’s operating losses resulted from expenses incurred in connection with its research and development programs and from general and administrative costs associated with its operations. As of September 30, 2018, Microbot had a net working capital of approximately $6,291,000, consisting primarily of cash and cash equivalents. Microbot expects to continue to incur significant expenses and increasing operating losses for at least the next several years as it continues the clinical development of and seeks regulatory approval for its product candidates. Accordingly, Microbot will continue to require substantial additional capital to continue its clinical development and potential commercialization activities, which it hopes to raise within the next four months to meet its anticipated cash requirements for approximately the 36 months thereafter. Sales of additional equity or equity-linked securities by the Company would result in the dilution of the interests of existing stockholders. There can be no assurance that financing will be available when required. If the Company is unable to so successfully raise capital, this will raise significant doubt about the Company’s ability to continue as a going concern. The amount and timing of Microbot’s future funding requirements will depend on many factors, including the timing and results of its clinical development efforts.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Estimated completion dates and costs for Microbot’s clinical development and research programs can vary significantly for each current and future product candidate and are difficult to predict. As a result, Microbot cannot estimate with any degree of certainty the costs it will incur in connection with development of its product candidates at this point in time. Microbot anticipates it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its ability to enter into collaborative agreements with respect to programs or potential product candidates, as well as ongoing assessments as to each current or future product candidate’s commercial potential.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and obtaining and maintaining Microbot’s patent portfolio. Microbot expenses its research and development costs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salaries, professional fees for accounting, auditing, consulting and legal services, and allocated overhead expenses.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the cost of being a public company and maintaining compliance with exchange listing and SEC requirements. These additional costs include management costs, legal fees, accounting fees, directors’ and officers’ liability insurance premiums and expenses associated with investor relations.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utilized in the future.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Microbot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also been awarded a non-dilutive grant to continue developing the SCS, from the European Commission.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 Microbot may be awarded additional non-dilutive grants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2018 and 2017</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nine-month periods ended September 30, 2018 and 2017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Three months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ended September 30,</w:t>
            </w: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Increase/</w:t>
            </w:r>
          </w:p>
        </w:tc>
        <w:tc>
          <w:tcPr>
            <w:tcW w:w="340" w:type="dxa"/>
            <w:vAlign w:val="bottom"/>
          </w:tcPr>
          <w:p>
            <w:pPr>
              <w:spacing w:after="0"/>
              <w:rPr>
                <w:sz w:val="20"/>
                <w:szCs w:val="20"/>
                <w:color w:val="auto"/>
              </w:rPr>
            </w:pPr>
          </w:p>
        </w:tc>
        <w:tc>
          <w:tcPr>
            <w:tcW w:w="21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w:t>
            </w:r>
          </w:p>
        </w:tc>
      </w:tr>
      <w:tr>
        <w:trPr>
          <w:trHeight w:val="237"/>
        </w:trPr>
        <w:tc>
          <w:tcPr>
            <w:tcW w:w="3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340" w:type="dxa"/>
            <w:vAlign w:val="bottom"/>
          </w:tcPr>
          <w:p>
            <w:pPr>
              <w:spacing w:after="0"/>
              <w:rPr>
                <w:sz w:val="20"/>
                <w:szCs w:val="20"/>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623</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284</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   1,753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1,130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896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234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3,407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2,830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(2,272)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$623,000 and $1,753,000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2018, respectively, compared to approximately $339,000 and $900,000 for the corresponding periods in 2017, respectively. The increase in research and development expenses for the three and nine months in 2018 of approximately $284,000 and $853,000, respectively, was primarily due to an increase in share-based compensation and purchase of intellectual property. Microbot expects its research and development expenses to increase over time as it advances its development programs and begins pre-clinical and clinical trials for SCS, TipCAT and CardioSert platforms.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approximately $1,130,000 and $3,407,000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2018, respectively, compared to approximately $896,000 and $2,830,000 for the corresponding periods in 2017, respectively. The increase in general and administrative expenses for the three and nine months in 2018 of approximately $234,000 and $577,000 respectively, was primarily due to an increase of $907,000 in share-based compensation deducted by decrease in public company expenses and professional services in total amount of $325,000. Microbot believes its general and administrative expenses may increase over time as it advances its programs, increases its headcount and operating activities and incurs expenses associated with being a public company.</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Financing Expenses</w:t>
      </w:r>
      <w:r>
        <w:rPr>
          <w:rFonts w:ascii="Arial" w:cs="Arial" w:eastAsia="Arial" w:hAnsi="Arial"/>
          <w:sz w:val="16"/>
          <w:szCs w:val="16"/>
          <w:color w:val="auto"/>
        </w:rPr>
        <w:t>. Financing income (expenses) were approximately $4,000 and $49,000 for the three and nine months ended September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finance income of approximately $48,000 and finances expenses of $2,272,000 for the corresponding periods in 2017, respectively. The decrease in financial expenses for the three and nine months in 2018 was primarily due to change in fair value of derivative warrant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the three and nine months ended September 30, 2018 and the fiscal year ended December 31, 2017. As of September 30, 2018, Microbot had a net working capital of approximately $6,291,000 consisting primarily of cash and cash equivalents.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other government agencies, and convertible debt. As of September 30, 2018, Microbot raised total cash proceeds of approximately $18,000,000 and incurred a total cumulative loss of approximately $25,735,000 from inception (November 2010) to September 30,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sale of certain of the assets of StemCells, Inc., Microbot’s predecessor company, on November 29, 2016, Microbot received aggregate net cash consideration of approximately $3.1 million. Additionally, in January 2017, we sold an aggregate of 47,163 shares (700,000 shares before the reverse split) of our common stock for net proceeds, after deducting placement agent fees and expenses, of approximately $3.25 million, and in June 2017, we sold an aggregate of 252,658 shares (3,750,000 shares before the reverse split) of our common stock for net proceeds, after deducting placement agent fees and expenses, of approximately $9,300,000.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In November 2017, Microbot was awarded an additional non-dilutive grant of up to 2,610,000 Israeli New Shekels (approximately $735,000) from the Israel Innovation Authority. The grant provides additional sources to be utilized by Microbot for the continued development of the Self-Cleaning Shunt for the treatment of hydrocephalus and Normal Pressure Hydrocephalus. The grant funds may be used for or applied towards a number of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was also awarded a non-dilutive grant of 50,000€ to continue developing the SCS, from the European Commission, of which 17,000€ were advanced and 33,000€ are expected to be paid after we submit a final report in four months. We can submit an additional request in four months for a higher grant up to 2,000,000€, which, if granted, would be used for the continued development of the SCS. We can give no assurance that we will receive such additional grant.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believes that its net cash as of September 30, 2018 will be sufficient to fund its operations for at least 12 months and fund operations necessary to continue its development activities during that period.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Microbot plans to continue to fund its research and development and other operating expenses, other development activities relating to additional product candidates, and the associated losses from operations, through future issuances of debt and/or equity securities and possibly additional grants from the Israeli Innovation Authority. Additionally, the Company will require additional capital relating to the acquisition of certain intellectual property assets from CardioSert Ltd., and the planned development and commercialization of such assets.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period set forth below (in thousands):</w:t>
      </w:r>
    </w:p>
    <w:p>
      <w:pPr>
        <w:spacing w:after="0" w:line="221"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1"/>
                <w:szCs w:val="2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(3,875)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(3,457)</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12,622</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used in operating activities for the nine months ended September 30, 2018 was approximately $3,875,000, calculated by adjusting net loss from operations by approximately $1,236,000 to eliminate non-cash and expense items not involving cash flows such as depreciation and accumulated interest on convertible loans, as well as other changes in assets and liabilities resulting in non-cash adjustments in the income statement. Cash used in operating activities for nine months ended September 30, 2017 was approximately $3,547,000, calculated by adjusting net loss from operations by approximately $2,455,000.</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for the nine months ended September 30, 2018 was approximately $239,000, consisting of purchase of property and equipment and restricted cash which was deposited for the benefit of lease agreements, compared to approximately $28,000 for the nine months ended September 30, 2017.</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financing activities for the nine months ended September 30, 2018 was $0, compared to approximately $12,622,000 for the nine months ended September 30, 2017. The decrease for all periods presented was due to 2017 capital raising activities that were not repeated thus far in 2018.</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September 30, 2018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2018. Based on that review and evaluation, the Chief Executive Officer and Chief Financial Officer, along with the management of the Company, have determined that as of September 30, 2018,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September 30, 2018, and have concluded that, as of September 30, 2018, our internal control over financial reporting was effective.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This quarterly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named as the defendant in a lawsuit, captioned Sabby Healthcare Master Fund Ltd. and Sabby Volatility Warrant Master Fund Ltd., Plaintiffs, against Microbot Medical Inc., Defendant, pending in the Supreme Court of the State of New York, County of New York (Index No. 654581/2017) (the “Matter”). The suit was initiated on or about June 29, 2017. The complaint alleges, among other things, that Microbot Medical Inc.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the Company’s motion for summary judgment regarding Plaintiffs’ claim for monetary damages and denying the Company’s motion for summary judgment on Plaintiffs’ claim for rescission, finding that there were material questions of fact that would need to be resolved at trial. A trial date has not been set.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4, 2018, we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 claims are without merit and intend to continue to defend the action vigorously. However, due to the stage in the ligation process, management is unable to assess the likelihood of the remaining claim and the amount of potential damages, if any, to be awarded. Accordingly, no assurance can be given that any adverse outcome would not be material to our consolidated financial position. Additionally, in the event the court hold for the Plaintiffs in the Matter and we lose our appeals, we will likely be required to use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generating commercial sales of SCS,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SCS,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following clearance or approval.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Microbot’s ability to expand its technology platforms for other uses, including endovascular neurosurgery other than for the treatment of hydrocephalus, may be limited.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707" w:gutter="0" w:footer="0" w:header="0"/>
        </w:sectPr>
      </w:pPr>
    </w:p>
    <w:bookmarkStart w:id="28" w:name="page29"/>
    <w:bookmarkEnd w:id="28"/>
    <w:p>
      <w:pPr>
        <w:jc w:val="both"/>
        <w:spacing w:after="0" w:line="312"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24, 2018, the holder of the Series A Convertible Preferred Stock, par value $0.01 per share (the “Preferred Stock”), of the Company, converted 450 shares of the Preferred Stock for 30,000 shares of the Company’s common stock. Pursuant to the terms of conversion of the Preferred Stock, each such share is convertible, upon request and for no additional consideration, into 67 shares (1,000 shares before the reverse split) of the common stock of the Company. The issuances of the 30,000 shares of common stock were exempt from registration under Section 4(a)(2) under the Securities Act of 1933, as amended and the rules promulgated thereunder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56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Harel Gadot, Chairman, President and Chief Executive Officer</w:t>
              </w:r>
            </w:hyperlink>
          </w:p>
        </w:tc>
        <w:tc>
          <w:tcPr>
            <w:tcW w:w="4640" w:type="dxa"/>
            <w:vAlign w:val="bottom"/>
            <w:gridSpan w:val="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1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David Ben Naim, Chief Financial Officer</w:t>
              </w:r>
            </w:hyperlink>
          </w:p>
        </w:tc>
        <w:tc>
          <w:tcPr>
            <w:tcW w:w="6180" w:type="dxa"/>
            <w:vAlign w:val="bottom"/>
            <w:gridSpan w:val="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3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Certification of Harel Gadot, Chairman, President and Chief Executive Officer, pursuant to 18 U.S.C. Section 1350, as adopted pursuant to</w:t>
              </w:r>
            </w:hyperlink>
          </w:p>
        </w:tc>
      </w:tr>
      <w:tr>
        <w:trPr>
          <w:trHeight w:val="196"/>
        </w:trPr>
        <w:tc>
          <w:tcPr>
            <w:tcW w:w="11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Section 906 of the Sarbanes-Oxley Act of 2002</w:t>
              </w:r>
            </w:hyperlink>
          </w:p>
        </w:tc>
        <w:tc>
          <w:tcPr>
            <w:tcW w:w="6900" w:type="dxa"/>
            <w:vAlign w:val="bottom"/>
            <w:gridSpan w:val="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20" w:type="dxa"/>
            <w:vAlign w:val="bottom"/>
            <w:gridSpan w:val="6"/>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Certification of David Ben Naim, Chief Financial Officer, pursuant to 18 U.S.C. Section 1350, as adopted pursuant to Section 906 of the</w:t>
              </w:r>
            </w:hyperlink>
          </w:p>
        </w:tc>
      </w:tr>
      <w:tr>
        <w:trPr>
          <w:trHeight w:val="196"/>
        </w:trPr>
        <w:tc>
          <w:tcPr>
            <w:tcW w:w="110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Sarbanes-Oxley Act of 2002</w:t>
              </w:r>
            </w:hyperlink>
          </w:p>
        </w:tc>
        <w:tc>
          <w:tcPr>
            <w:tcW w:w="82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Instance.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w:t>
            </w:r>
          </w:p>
        </w:tc>
      </w:tr>
      <w:tr>
        <w:trPr>
          <w:trHeight w:val="439"/>
        </w:trPr>
        <w:tc>
          <w:tcPr>
            <w:tcW w:w="110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4"/>
          </w:tcPr>
          <w:p>
            <w:pPr>
              <w:ind w:left="4540"/>
              <w:spacing w:after="0"/>
              <w:rPr>
                <w:sz w:val="20"/>
                <w:szCs w:val="20"/>
                <w:color w:val="auto"/>
              </w:rPr>
            </w:pPr>
            <w:r>
              <w:rPr>
                <w:rFonts w:ascii="Arial" w:cs="Arial" w:eastAsia="Arial" w:hAnsi="Arial"/>
                <w:sz w:val="18"/>
                <w:szCs w:val="18"/>
                <w:color w:val="auto"/>
              </w:rPr>
              <w:t>28</w:t>
            </w: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0" w:name="page31"/>
    <w:bookmarkEnd w:id="30"/>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2018.</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460" w:hanging="33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330"/>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460" w:hanging="33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330"/>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2018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14, 2018</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10540"/>
        <w:spacing w:after="0"/>
        <w:rPr>
          <w:sz w:val="20"/>
          <w:szCs w:val="20"/>
          <w:color w:val="auto"/>
        </w:rPr>
      </w:pPr>
      <w:r>
        <w:rPr>
          <w:rFonts w:ascii="Arial" w:cs="Arial" w:eastAsia="Arial" w:hAnsi="Arial"/>
          <w:sz w:val="16"/>
          <w:szCs w:val="16"/>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September 30, 2018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14, 2018</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upperLetter"/>
      <w:start w:val="1"/>
    </w:lvl>
  </w:abstractNum>
  <w:abstractNum w:abstractNumId="8">
    <w:nsid w:val="DED7263"/>
    <w:multiLevelType w:val="hybridMultilevel"/>
    <w:lvl w:ilvl="0">
      <w:lvlJc w:val="left"/>
      <w:lvlText w:val="%1."/>
      <w:numFmt w:val="upperLetter"/>
      <w:start w:val="4"/>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2019-12-28T17:44:27Z</dcterms:created>
  <dcterms:modified xsi:type="dcterms:W3CDTF">2019-12-28T17:44:27Z</dcterms:modified>
</cp:coreProperties>
</file>