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12, 2024</w:t>
      </w:r>
    </w:p>
    <w:p>
      <w:pPr>
        <w:spacing w:after="0" w:line="225"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281"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281"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1" w:right="339" w:bottom="28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January 12,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1,769,966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52.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January 11, 2024, the last reported closing price of our common stock on the Nasdaq Capital Market was $1.40.</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176"/>
        </w:trPr>
        <w:tc>
          <w:tcPr>
            <w:tcW w:w="26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9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or incorporated by reference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and that any information we have incorporated by reference is accurate only as of the date of the document incorporated by reference, regardless of the time of delivery of this prospectus or any prospectus supplement or any sale of a security. Our business, financial condition, results of operations and prospects may have changed since those dates.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incorporated herein by reference as described under the heading “Where You Can Find More Information” and “Incorporation of Documents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on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which may divert management’s attention and, in the event of an adverse judgment or settlement for some or all of the $6,750,000 being litigated, will have a material adverse effect on our financial condition and our ability to continue our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the clinical trial that the FDA will require it to submit in support of its future marketing applications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product candidate, which creates uncertainty for Microbot as well as the possibility of increased product development costs and time to market.</w:t>
      </w:r>
    </w:p>
    <w:p>
      <w:pPr>
        <w:spacing w:after="0" w:line="204"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feature is subject to a buy-back clause which, if triggered, could cause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ability to submit our IDE application with the U.S. FDA in the timeframe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5580" w:right="1740" w:hanging="5248"/>
        <w:spacing w:after="0" w:line="532"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product candidates’ development and commercialization objectives in a timely manner or at all.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or incorporated by reference into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5.5 years following the date of issuance. No other changes to the Existing Investment Options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Dr. Juan Diaz-Cartelle as CMO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 2023, Dr. Juan Diaz-Cartelle commenced as our new Chief Medical Officer. As CMO, Dr. Diaz-Cartelle will lead the development and execution of the clinical strategy of the Company, including its planned clinical trials for the LIBERTY Endovascular Robotic Surgical System in the U.S., our medical affairs activity, and will be an integral part of the team leading our regulatory process with the FDA and commercial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 Endovascular Robotic Surgical System.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completion of the V&amp;V process, of which certain phases have been completed but others are ongoing and may be subject to delays indirectly caused by the Israel-Hamas war described below, we plan on submitting the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w:t>
      </w:r>
    </w:p>
    <w:p>
      <w:pPr>
        <w:spacing w:after="0" w:line="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Human Cases. However, although we believe Brazil and Greece remain strategically important for commercialization of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The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w:t>
      </w:r>
    </w:p>
    <w:p>
      <w:pPr>
        <w:jc w:val="both"/>
        <w:spacing w:after="0" w:line="221" w:lineRule="auto"/>
        <w:rPr>
          <w:sz w:val="20"/>
          <w:szCs w:val="20"/>
          <w:color w:val="auto"/>
        </w:rPr>
      </w:pPr>
      <w:r>
        <w:rPr>
          <w:rFonts w:ascii="Times New Roman" w:cs="Times New Roman" w:eastAsia="Times New Roman" w:hAnsi="Times New Roman"/>
          <w:sz w:val="18"/>
          <w:szCs w:val="18"/>
          <w:color w:val="auto"/>
        </w:rPr>
        <w:t>instruments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first quarter of 2022, we filed our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the FDA, addressing the regulatory pathway for the LIBERTY Endovascular Robotic Surgical System. On July 22, 2022, the Company completed a pre-submission process with the FDA regarding the LIBERTY device. Formal feedback from the FDA included a recommendation to perform a clinical study and a human factors validation study, to support clearance through the 510(k) notification process.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pivotal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4" w:lineRule="auto"/>
        <w:rPr>
          <w:sz w:val="20"/>
          <w:szCs w:val="20"/>
          <w:color w:val="auto"/>
        </w:rPr>
      </w:pPr>
      <w:r>
        <w:rPr>
          <w:rFonts w:ascii="Times New Roman" w:cs="Times New Roman" w:eastAsia="Times New Roman" w:hAnsi="Times New Roman"/>
          <w:sz w:val="18"/>
          <w:szCs w:val="18"/>
          <w:color w:val="auto"/>
        </w:rPr>
        <w:t>reach a total of 48 animal targets. A total of 6 LIBERTY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Subject to the completion of the verification and validation process which is ongoing but subject to delays indirectly caused by the Israel-Hamas war described above, we plan on submitting the Investigational Device Exemption application to the FDA in the first quarter of 2024, in order to commence our pivotal clinical trial in humans.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2022 and our Quarterly Reports on Form 10-Q for the three months ended March 31, 2023, June 30, 2023 and September 30, 2023, as described under the caption “Incorporation of Certain Information by Reference” on page 57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288 Grove Street, Suite 388, Braintree, MA 02184.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1,769,966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preferred investment options expiring in July 2029, at an exercise price per share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1,769,966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13,392,999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15,162,965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January 11,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 and in any subsequent report incorporated by reference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This prospectus and the documents incorporated in this prospectus by reference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or in the documents incorporated in this prospectus by reference. Forward-looking statements speak only as of the date of this report. We do not undertake any obligation to publicly update any forward-looking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stated elsewhere in this prospectus or in the documents incorporated by reference into this prospectus, including in our Annual report on Form 10-K for the fiscal year ended December 31, 2022 and our Quarterly Report on Form 10-Q for the fiscal quarter ended September 30, 2023, we have not generated any revenues, have sustained losses and have accumulated a significant deficit since our inception. Also, we estimate that our cash resources are only sufficient to fund our operations for approximately six months from the date of this prospectus, or through approximately June 2024, as a result of our recently enacted cost reduction plan. As a result, our continued existence is dependent upon our ability to obtain additional debt or equity financing and to ultimately become a commercially viable organization. As of September 30, 2023, the Company had unrestricted cash, cash equivalents and marketable securities of approximately $8,153,000, excluding restricted cash. This does not include the approximately $2.43 million in net proceeds we received in our warrant reset transaction that closed on January 3, 2024.</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this offering, 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beyond such six month period.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beyond approximately the next six months, which could adversely affect our ability to raise capital, expand our business and develop our planned products.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litigation, which may divert management’s attention and, in the event of an adverse judgment or settlement for some or all of the $6,750,000 being litigated, have a material adverse effect on our financial condition and our ability to continue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 programs relating to the SCS device, One &amp; Done and other programs.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prospectus and in the documents incorporated by reference into this prospectus.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outcome of the Company’s existing lawsuit with Empery and Hudson Bay;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if necessary,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25"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 device. If Microbot does not achieve one or more of these factors in a timely manner or at all, it could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the clinical trial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8"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29"/>
          <w:szCs w:val="29"/>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feature is subject to a buy-back clause which, if triggered, could cause us to lose rights to the technology.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are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failure to meet the applicable commercialization deadline could therefore result in the sale back of the technology to CardioSert. In addition, as a result of our recently enacted core-business focus program and cost reduction plan, we terminated the January 2018 agreement with CardioSert effective as of August 17, 2023, which could result in the technology being re-acquired by Cardiosert Ltd. for nominal consideration. Although we have not yet been notified of any such election, and any such sale would materially adversely affect our ability to develop and commercialize, or materially delay the development and commercialization of, our One &amp; Done feature, as, if and when we restart that feature with our Nitiloop technology.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ability to submit our IDE application with the U.S. FDA in the timeframe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that are important to complete our V&amp;V process.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submit our IDE application with the U.S. FDA.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and our other product candidates rely on new technologies, and Microbot’s success will depend on acceptance of these technologies by the medical community as safe, clinically effective, cost effective and a preferred device as compared to products of its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competitors. Microbot does not have long-term data regarding efficacy, safety and clinical outcomes 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our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candidates the standard of care.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products for their respective planned applications.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Clinical studies may not show an advantage in LIBERTY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cost reduction program, we reduced all executive officers’ salaries by between 30-50%. Although the salaries of all executives have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product candidates’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$1,656,000 through September 30, 2023. This amount includes payment of approximately $156,000 which is a portion of additional grant approved from the Israeli Innovation Authority in the amount of approximately NIS 1.62 million, to further finance the development of the Company’s manufacturing process of the LIBERTY Endovascular Robotic Surgical System. Furthermore the Company received approval for a grant from the Ministry of Economy of the State of Israel in the amount of approximately NIS 300,000, to further finance the marketing activities of the LIBERTY Endovascular Robotic Surgical System in the US market. In addition, as a result of our 2018 agreement with CardioSert and our 2022 agreement with Nitiloop, we took over the liability to repay CardioSert’s and Nitiloop’s IIA grants in the aggregate amount of approximately $530,000 and $925,000,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and officers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other products that it is seeking to develop or commercialize with respect to its other product candidates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11, 2024, there were approximately 97 holders of record of our common stock, and the closing price of our common stock as reported on the NASDAQ Capital Market was $1.40.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Part II, Item 8 in our Annual Report on Form 10-K for the fiscal year ended December 31, 2022, filed with the SEC on March 31, 2023, which is incorporated herein by reference, for the following financial statements:</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No. 1197)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2022, and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for the years ended December 31, 2022 and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for the years ended December 31, 2022 and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and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also Part I, Item 1 in our Quarterly Report on Form 10-Q for the quarter ended September 30, 2023, filed with the SEC on November 14, 2023, which is incorporated herein by reference, for the following financial statements: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Balance Sheets as of September 30, 2023 (Unaudited) and December 31, 2022 (Audited)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Statements of Comprehensive Loss for the Three and Nine Months Ended September 30, 2023 and 2022 (Unaudited)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Statements of Shareholders’ Equity for the Three and Nine Months Ended September 30, 2023 and 2022 (Unaudited)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Statements of Cash Flows for the Nine Months Ended September 30, 2023 and 2022 (Unaudited)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Interim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Item 7 in our Annual Report on Form 10-K for the fiscal year ended December 31, 2022, filed with the SEC on March 31, 2023, and Item 2 in our Quarterly Report on Form 10-Q for the quarter ended September 30, 2023, filed with the SEC on November 14, 2023, both of which are incorporated herein by reference, for our management’s discussion and analysis of financial condition and results of operations for the respective periods.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Item 1 in our Annual Report on Form 10-K for the fiscal year ended December 31, 2022 filed with the SEC on March 31, 2023, which is incorporated herein by reference, for a discussion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and only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rotational and tip control of its guidewire, as well as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Endovascular Robotic Surgical System to address certain neurovascular procedures. The activities contemplated by the Agreement shall be specified in one or more development plans derived from the terms and conditions set forth in the Agreement. We are still determining scheduling to move the collaboration forward.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2021, we achieved design freeze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the first quarter of 2022, we filed our pre-submission package for the LIBERTY Endovascular Robotic Surgical System with the FDA, addressing the regulatory pathway for the LIBERTY Endovascular Robotic Surgical System. On July 22, 2022, the Company completed a pre-submission process with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FDA regarding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Formal feedback from the FDA included a recommendation to perform a clinical study and a human factors validation study, to support clearance through the 510(k) notification process.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and October 2022, the Company conducted an animal study at an FDA accredited European-based MedTech research laboratory, which was performed by a team of seasoned Key Opinion Leaders (KOLs) in the endovascular space, using porcine model. During the animal study, the physicians conducted 63 navigations to the targeted sites using the investigational LIBERTY Endovascular Robotic Surgical System and performed an equal number of procedures manually. The LIBERTY Endovascular Robotic Surgical System received positive feedback from participating physicians, and there were no observable immediate intraoperative adverse events, or harm, to the test subjects. The report from the animal study, which included histopathology data (the microscopic examination of tissue to study the manifestations of disease), exhibited equivocal results which were identified as related to unusual physiological animal responses in both manual and robotic test groups. The Company believes the results of the study allow it to move forward and focus on the next phases to ultimately include a U.S.-based pivotal pre-clinical study. The Company, together with its regulatory experts and consultants, believe a larger sample size and robust data generated by this study will advance the company’s efforts towards the submission of an Investigational Device Exemption (IDE) with the U.S. Food and Drug Administration (FDA).</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 Endovascular Robotic Surgical System’s remote operation capabilities, to pre-determined vascular targets, with a 100% success rate of reaching the intended target with no observable on-site complications.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 to</w:t>
      </w:r>
    </w:p>
    <w:p>
      <w:pPr>
        <w:jc w:val="both"/>
        <w:spacing w:after="0" w:line="236"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Subject to the completion of the verification and validation process which is ongoing but subject to delays indirectly caused by the Israel-Hamas war described elsewhere in this prospectus, we plan on submitting the Investigational Device Exemption application to the FDA in the first quarter of 2024, in order to commence our pivotal clinical trial in humans.</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TM</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Technologies and Platforms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and third quarters of 2023, as a result of our core-business focus program and our cost reduction plan, we ceased research and development activities relating to the technology we acquired from CardioSert, and with respect to our SCS and TipCat platforms. As a result, we terminated the Company’s agreement with CardioSert for that technology, and returned intellectual property relating to the SCS (ViRob) and TipCat to Technion Research and Development Foundation.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 (the “Inducement Investment Option”) to purchase up to an aggregate of 1,685,682 shares of the Company’s Common Stock at an exercise price of $1.50 per share. The Inducement Investment Options will be immediately exercisable from the date of issuance until five and one-half (5.5) years following the date of issuance. No other changes to the Existing Investment Options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has enabled us to continue our operations through approximately June 2024,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subsequent to June 2024. In the event the Company is not successful in raising additional capital by June 2024, or if the results of the V&amp;V study and first-in-human trials are not promising, the Company may be forced to take more drastic actions to conserve capital or shut down operations entirely.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completion of the verification and validation (V&amp;V) process of which certain phases have been completed but others are ongoing and may be subject to delays indirectly caused by the Israel-Hamas war described below, we plan on submitting the Investigational Device Exemption (IDE) application to the U.S. Food and Drug Administration in the first quarter of 2024, in order to commence a pivotal clinical trial in humans. In addition, we are considering secondary options and contingencies in the event the IDE application is delayed. After initially considering potential First-In-Human cases in Brazil, by engaging with interventional radiologist Prof. Francisco Cesar Carnevale from University of Sao Paulo Medical School Hospital, we determined that first-in-human clinical trials in Brazil have similar requirements as in the United States. Furthermore, we are still in the process of evaluating the potential of utilizing Greece as an option to carry our First-In Human Cases. However, although we believe Brazil and Greece remain</w:t>
      </w:r>
    </w:p>
    <w:p>
      <w:pPr>
        <w:spacing w:after="0" w:line="3"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strategically important for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decided not to pursue First-In-Human trials or cases outside of the United States at this time to avoid conflict with our FDA submission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Litigation Resulting from 2017 Financing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are currently in the discovery phase and we are commencing court-ordered mediation. Management is unable to assess the outcome of any such mediation, or the likelihood that we will succeed at trial with respect to the SPA or the Financing, having previously lost another lawsuit with respect to the Financing.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employees currently either work remotely or at leased premises in the suburbs of Boston, Massachusetts of approximately 300 square feet. It has also retained a small leased storage facility and a mailing address in the United States.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11, 2024, we have 20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4 full-time, are based in the United States. Additionally, Microbot has 14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for our employees We have historically offered annual bonuses and stock-based compensation for eligible employees. As a result of our recent cost reduction plan, our executive officers and certain of our employees have taken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January 11,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(terms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as determined by the Board in accordance with the existing Nasdaq Listing rules, are Messrs. Bornstein, Burell, Madden, Laxminarain and Wenderow, and Ms. Stockburger.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of C&amp;RD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a director of XACT Robotics Ltd., an Israel-based private company that recently ceased operations, and was its Chairman from August 2013 until September 2023, and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director of XACT Robotics, an Israel-based private company that recently ceased operations.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following the Merger. Since August 1, 2018, Mr. Burell has been the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and Chair of Next Science’s Audit Committee.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January 11,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is also a director of XACT Robotics Ltd., an Israel-based private company that recently ceased operations. Mr. Harel Gadot, the Company’s President, CEO and Chairman, is the Chairman of MEDX Xelerator, and a director at XACT Robotics.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nominees to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370,552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1,240,654</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542,000</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1,827,017</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271,662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22,828(5)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348,197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23,298(5)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314,033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13,605(5)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(6)</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401,517</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19,752(5)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185,343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189,384</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Mr. Gadot’s monthly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executive’s yearly automobile allowance.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Unearned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15,625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9,375</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11,375</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23,625</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5,250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4.80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07/18/2032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17500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684" w:right="3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Morag</w:t>
            </w:r>
          </w:p>
        </w:tc>
        <w:tc>
          <w:tcPr>
            <w:tcW w:w="23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60" w:type="dxa"/>
            <w:vAlign w:val="bottom"/>
          </w:tcPr>
          <w:p>
            <w:pPr>
              <w:spacing w:after="0"/>
              <w:rPr>
                <w:sz w:val="20"/>
                <w:szCs w:val="20"/>
                <w:color w:val="auto"/>
              </w:rPr>
            </w:pPr>
          </w:p>
        </w:tc>
        <w:tc>
          <w:tcPr>
            <w:tcW w:w="2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15,625</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21"/>
        </w:trPr>
        <w:tc>
          <w:tcPr>
            <w:tcW w:w="2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amount for the 2023 fiscal year has not yet been determined.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25% (increased from 20% in January 2023) of her annual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NIS74,160 per month. Mr. Sharon is also entitled to receive an annual cash bonus of up to 35% of the annual combined salary and overtime payment, based on certain performance factors established and assessed by the Compensation Committee of the Board of Directors of the Company, which he received in full for the 2022 fiscal year. For 2023, as a result of the Company’s May 2023 cost reduction plan and the Sharon Addendum, Mr. Sharon’s gross monthly salary was decreased to a gross amount of NIS44,496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CMO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$ 64,116</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75,366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$ 67,504</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78,129</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$ 66,819</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the Company’s Annual Report on Form 10-K for the fiscal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1,438,806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January 11, 2024,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December 31, 2023. We calculated percentage ownership in accordance with the rules of the SEC. The percentage of common stock beneficially owned is based on 13,392,999 shares outstanding as of January 11, 2024. In addition, shares issuable pursuant to options or other convertible securities that may be acquired within 60 days of January 11,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846,206</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272,036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24,912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60,045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23,321</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29,075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40,625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1,345,619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631,513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30,008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January 11,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52.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13,392,999 shares of our common stock outstanding as of January 11,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All Shares of Common Stock</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2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1,360,517</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221,062</w:t>
            </w:r>
          </w:p>
        </w:tc>
        <w:tc>
          <w:tcPr>
            <w:tcW w:w="38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104,103</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620" w:type="dxa"/>
            <w:vAlign w:val="bottom"/>
            <w:gridSpan w:val="2"/>
          </w:tcPr>
          <w:p>
            <w:pPr>
              <w:jc w:val="right"/>
              <w:ind w:right="216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1"/>
                <w:szCs w:val="11"/>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92,918</w:t>
            </w:r>
          </w:p>
        </w:tc>
        <w:tc>
          <w:tcPr>
            <w:tcW w:w="380" w:type="dxa"/>
            <w:vAlign w:val="bottom"/>
          </w:tcPr>
          <w:p>
            <w:pPr>
              <w:spacing w:after="0"/>
              <w:rPr>
                <w:sz w:val="11"/>
                <w:szCs w:val="11"/>
                <w:color w:val="auto"/>
              </w:rPr>
            </w:pP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26,549</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66,369</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Noam Rubenstein</w:t>
            </w: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380" w:type="dxa"/>
            <w:vAlign w:val="bottom"/>
            <w:vMerge w:val="restart"/>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360" w:type="dxa"/>
            <w:vAlign w:val="bottom"/>
            <w:shd w:val="clear" w:color="auto" w:fill="CCEEFF"/>
          </w:tcPr>
          <w:p>
            <w:pPr>
              <w:jc w:val="right"/>
              <w:ind w:right="194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189,157</w:t>
            </w:r>
          </w:p>
        </w:tc>
        <w:tc>
          <w:tcPr>
            <w:tcW w:w="3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54,047</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135,110</w:t>
            </w:r>
          </w:p>
        </w:tc>
        <w:tc>
          <w:tcPr>
            <w:tcW w:w="1240" w:type="dxa"/>
            <w:vAlign w:val="bottom"/>
            <w:gridSpan w:val="2"/>
            <w:vMerge w:val="restart"/>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54"/>
        </w:trPr>
        <w:tc>
          <w:tcPr>
            <w:tcW w:w="3940" w:type="dxa"/>
            <w:vAlign w:val="bottom"/>
            <w:gridSpan w:val="4"/>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Michael Vasinkevich</w:t>
            </w:r>
          </w:p>
        </w:tc>
        <w:tc>
          <w:tcPr>
            <w:tcW w:w="1380" w:type="dxa"/>
            <w:vAlign w:val="bottom"/>
            <w:vMerge w:val="continue"/>
            <w:shd w:val="clear" w:color="auto" w:fill="CCEEFF"/>
          </w:tcPr>
          <w:p>
            <w:pPr>
              <w:spacing w:after="0"/>
              <w:rPr>
                <w:sz w:val="4"/>
                <w:szCs w:val="4"/>
                <w:color w:val="auto"/>
              </w:rPr>
            </w:pPr>
          </w:p>
        </w:tc>
        <w:tc>
          <w:tcPr>
            <w:tcW w:w="380" w:type="dxa"/>
            <w:vAlign w:val="bottom"/>
            <w:vMerge w:val="restart"/>
            <w:shd w:val="clear" w:color="auto" w:fill="CCEEFF"/>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8"/>
              </w:rPr>
              <w:t>Craig Schwabe</w:t>
            </w:r>
          </w:p>
        </w:tc>
        <w:tc>
          <w:tcPr>
            <w:tcW w:w="26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9,956</w:t>
            </w:r>
          </w:p>
        </w:tc>
        <w:tc>
          <w:tcPr>
            <w:tcW w:w="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2,845</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7,111</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6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Charles Worthman</w:t>
            </w:r>
          </w:p>
        </w:tc>
        <w:tc>
          <w:tcPr>
            <w:tcW w:w="2360" w:type="dxa"/>
            <w:vAlign w:val="bottom"/>
            <w:shd w:val="clear" w:color="auto" w:fill="CCEEFF"/>
          </w:tcPr>
          <w:p>
            <w:pPr>
              <w:jc w:val="right"/>
              <w:ind w:right="210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2,951</w:t>
            </w:r>
          </w:p>
        </w:tc>
        <w:tc>
          <w:tcPr>
            <w:tcW w:w="3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shd w:val="clear" w:color="auto" w:fill="CCEEFF"/>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843</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2,108</w:t>
            </w:r>
          </w:p>
        </w:tc>
        <w:tc>
          <w:tcPr>
            <w:tcW w:w="1240" w:type="dxa"/>
            <w:vAlign w:val="bottom"/>
            <w:gridSpan w:val="2"/>
            <w:vMerge w:val="restart"/>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vMerge w:val="continue"/>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vMerge w:val="continue"/>
            <w:shd w:val="clear" w:color="auto" w:fill="CCEEFF"/>
          </w:tcPr>
          <w:p>
            <w:pPr>
              <w:spacing w:after="0"/>
              <w:rPr>
                <w:sz w:val="2"/>
                <w:szCs w:val="2"/>
                <w:color w:val="auto"/>
              </w:rPr>
            </w:pPr>
          </w:p>
        </w:tc>
        <w:tc>
          <w:tcPr>
            <w:tcW w:w="380" w:type="dxa"/>
            <w:vAlign w:val="bottom"/>
            <w:vMerge w:val="continue"/>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3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1,980,664</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1,769,966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210,698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ectPr>
          <w:pgSz w:w="11900" w:h="16838" w:orient="portrait"/>
          <w:cols w:equalWidth="0" w:num="1">
            <w:col w:w="11240"/>
          </w:cols>
          <w:pgMar w:left="320" w:top="684" w:right="339" w:bottom="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13,392,999 shares were issued and outstanding as of January 11,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w:t>
      </w:r>
    </w:p>
    <w:p>
      <w:pPr>
        <w:spacing w:after="0" w:line="225"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2,070,362 shares of our common stock issuable upon the exercise of outstanding stock options granted to employees, directors and consultants, with exercise prices ranging from approximately $0.005 to $15.75 and having a weighted-average exercise price of $5.56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581,846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11,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ind w:left="660" w:right="2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2022 and 2021, and for each of the two years in the period ended December 31, 2022,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S-1 under the Securities Act of 1933, as amended, with the SEC with respect to the securities being offered pursuant to this prospectus. This prospectus omits certain information contained in the registration statement, as permitted by the SEC. You should refer to the registration statement, including the exhibits, for further information about us and the securities being offered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We are incorporating by reference the documents listed below, which we have already filed with the SEC, and all documents subsequently filed by us pursuant to Sections 13(a), 13(c), 14 or 15(d) of the Exchange Act, except as to any portion of any future report or document that is not deemed filed under such provisions, prior to the termination of the offering:</w:t>
      </w:r>
    </w:p>
    <w:p>
      <w:pPr>
        <w:spacing w:after="0" w:line="19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31,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80">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2">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filed with the SEC on May 17, 2023, August 14, 2023 and November 14, 2023,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8"/>
        </w:numPr>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18, 2023 May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23,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25,</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31,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16,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22,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29,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5,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17,</w:t>
        </w:r>
      </w:hyperlink>
      <w:r>
        <w:rPr>
          <w:rFonts w:ascii="Times New Roman" w:cs="Times New Roman" w:eastAsia="Times New Roman" w:hAnsi="Times New Roman"/>
          <w:sz w:val="18"/>
          <w:szCs w:val="18"/>
          <w:color w:val="0000EE"/>
        </w:rPr>
        <w:t xml:space="preserve"> </w:t>
      </w:r>
      <w:hyperlink r:id="rId84">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5">
        <w:r>
          <w:rPr>
            <w:rFonts w:ascii="Times New Roman" w:cs="Times New Roman" w:eastAsia="Times New Roman" w:hAnsi="Times New Roman"/>
            <w:sz w:val="18"/>
            <w:szCs w:val="18"/>
            <w:u w:val="single" w:color="auto"/>
            <w:color w:val="0000EE"/>
          </w:rPr>
          <w:t>October 19,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6">
        <w:r>
          <w:rPr>
            <w:rFonts w:ascii="Times New Roman" w:cs="Times New Roman" w:eastAsia="Times New Roman" w:hAnsi="Times New Roman"/>
            <w:sz w:val="18"/>
            <w:szCs w:val="18"/>
            <w:u w:val="single" w:color="auto"/>
            <w:color w:val="0000EE"/>
          </w:rPr>
          <w:t>October 24,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October 31,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8">
        <w:r>
          <w:rPr>
            <w:rFonts w:ascii="Times New Roman" w:cs="Times New Roman" w:eastAsia="Times New Roman" w:hAnsi="Times New Roman"/>
            <w:sz w:val="18"/>
            <w:szCs w:val="18"/>
            <w:u w:val="single" w:color="auto"/>
            <w:color w:val="0000EE"/>
          </w:rPr>
          <w:t>November 6,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9">
        <w:r>
          <w:rPr>
            <w:rFonts w:ascii="Times New Roman" w:cs="Times New Roman" w:eastAsia="Times New Roman" w:hAnsi="Times New Roman"/>
            <w:sz w:val="18"/>
            <w:szCs w:val="18"/>
            <w:u w:val="single" w:color="auto"/>
            <w:color w:val="0000EE"/>
          </w:rPr>
          <w:t>November 8,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0">
        <w:r>
          <w:rPr>
            <w:rFonts w:ascii="Times New Roman" w:cs="Times New Roman" w:eastAsia="Times New Roman" w:hAnsi="Times New Roman"/>
            <w:sz w:val="18"/>
            <w:szCs w:val="18"/>
            <w:u w:val="single" w:color="auto"/>
            <w:color w:val="0000EE"/>
          </w:rPr>
          <w:t>November 13, 2023</w:t>
        </w:r>
      </w:hyperlink>
      <w:hyperlink r:id="rId8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November 14, 2023</w:t>
        </w:r>
      </w:hyperlink>
      <w:hyperlink r:id="rId84">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December 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 xml:space="preserve">December 7,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 xml:space="preserve">January 2,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 therein which 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furnished rather than filed); and</w:t>
      </w:r>
    </w:p>
    <w:p>
      <w:pPr>
        <w:spacing w:after="0" w:line="183"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auto"/>
        </w:rPr>
        <w:t>Form 8-A</w:t>
      </w:r>
      <w:r>
        <w:rPr>
          <w:rFonts w:ascii="Times New Roman" w:cs="Times New Roman" w:eastAsia="Times New Roman" w:hAnsi="Times New Roman"/>
          <w:sz w:val="18"/>
          <w:szCs w:val="18"/>
          <w:color w:val="auto"/>
        </w:rPr>
        <w:t>, filed with the SEC on August 3, 1998, including all amendments and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and any applicable prospectus supplement or in a document incorporated or deemed to be incorporated by reference into this prospectus and any applicable prospectus supplement will be deemed to be modified or superseded for purposes of this prospectus and any prospectus supplement to the extent that a statement contained in this prospectus and any applicable prospectus supplement or any other subsequently filed document that is deemed to be incorporated by reference into this prospectus and any applicable prospectus supplement modifies or supersedes the statement. Any statement so modified or superseded will not be deemed, except as so modified or superseded, to constitute a part of this prospectus and any applicable prospectus supplement.</w:t>
      </w:r>
    </w:p>
    <w:p>
      <w:pPr>
        <w:spacing w:after="0" w:line="187"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filing or report incorporated by reference, including exhibits to the document. You should direct any requests for documents to Microbot Medical Inc., 288 Grove Street, Suite 388, Braintree, MA 02184, (781) 875-3605, Attention: Harel Gadot.</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50"/>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2,638.23*</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53"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top w:val="single" w:sz="8" w:color="auto"/>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fiscal year ended December 31, 2006 and filed on March 15, 2007).</w:t>
              </w:r>
            </w:hyperlink>
          </w:p>
        </w:tc>
        <w:tc>
          <w:tcPr>
            <w:tcW w:w="52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03">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Report on Form 8-K filed on May 3, 2021).</w:t>
              </w:r>
            </w:hyperlink>
          </w:p>
        </w:tc>
        <w:tc>
          <w:tcPr>
            <w:tcW w:w="702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ended December 31, 2019).</w:t>
              </w:r>
            </w:hyperlink>
          </w:p>
        </w:tc>
        <w:tc>
          <w:tcPr>
            <w:tcW w:w="8160" w:type="dxa"/>
            <w:vAlign w:val="bottom"/>
            <w:gridSpan w:val="2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18">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Opinion of Ruskin Moscou Faltischek, PC</w:t>
            </w: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6"/>
                <w:szCs w:val="16"/>
                <w:color w:val="auto"/>
              </w:rPr>
            </w:pPr>
          </w:p>
        </w:tc>
        <w:tc>
          <w:tcPr>
            <w:tcW w:w="10140" w:type="dxa"/>
            <w:vAlign w:val="bottom"/>
            <w:gridSpan w:val="24"/>
          </w:tcPr>
          <w:p>
            <w:pPr>
              <w:spacing w:after="0" w:line="194"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20">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21">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ended December 31, 2019 filed on April 14, 2020).</w:t>
              </w:r>
            </w:hyperlink>
          </w:p>
        </w:tc>
        <w:tc>
          <w:tcPr>
            <w:tcW w:w="646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Schedule 14A filed on August 11, 2017).</w:t>
              </w:r>
            </w:hyperlink>
          </w:p>
        </w:tc>
        <w:tc>
          <w:tcPr>
            <w:tcW w:w="7200" w:type="dxa"/>
            <w:vAlign w:val="bottom"/>
            <w:gridSpan w:val="1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27">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28">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29">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0">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1">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2">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3">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34">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35">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36">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37">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38">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38">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39">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40">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41">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42">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43">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44">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45">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46">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47">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48">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49">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50">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51">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1100" w:hanging="741"/>
        <w:spacing w:after="0"/>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January 12,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Harel Gadot and Rachel Vaknin as his or her true and lawful attorneys-in-fact and agents, each with the full power of substitution, for him of her and in his or her name, place or stead, in any and all capacities, to sign any and all amendments to this registration statement (including post-effective amendments), and any subsequent registration statement filed by the registrant pursuant to Rule 462(b) of the Securities Act of 1933, as amended, which relates to this registration statement,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4"/>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Yoseph Bornstein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12,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4"/>
                <w:szCs w:val="24"/>
                <w:color w:val="auto"/>
              </w:rPr>
            </w:pP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S-1 of our report dated March 31, 2023, relating to the financial statements of Microbot Medical Inc. appearing in the Annual Report on Form 10-K of Microbot Medical Inc. for the year ended December 31, 2022. We also consent to the reference to us under the heading “Experts” in such Registration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Fee</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64"/>
        </w:trPr>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center"/>
              <w:ind w:right="400"/>
              <w:spacing w:after="0" w:line="256"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(2)</w:t>
            </w:r>
          </w:p>
        </w:tc>
        <w:tc>
          <w:tcPr>
            <w:tcW w:w="1100" w:type="dxa"/>
            <w:vAlign w:val="bottom"/>
            <w:gridSpan w:val="2"/>
          </w:tcPr>
          <w:p>
            <w:pPr>
              <w:jc w:val="center"/>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9"/>
                <w:szCs w:val="29"/>
                <w:b w:val="1"/>
                <w:bCs w:val="1"/>
                <w:color w:val="auto"/>
                <w:w w:val="92"/>
                <w:vertAlign w:val="superscript"/>
              </w:rPr>
              <w:t>(1)</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340"/>
              <w:spacing w:after="0" w:line="256" w:lineRule="exact"/>
              <w:rPr>
                <w:sz w:val="20"/>
                <w:szCs w:val="20"/>
                <w:color w:val="auto"/>
              </w:rPr>
            </w:pP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29"/>
                <w:szCs w:val="29"/>
                <w:b w:val="1"/>
                <w:bCs w:val="1"/>
                <w:color w:val="auto"/>
                <w:vertAlign w:val="superscript"/>
              </w:rPr>
              <w:t>(2)</w:t>
            </w:r>
          </w:p>
        </w:tc>
      </w:tr>
      <w:tr>
        <w:trPr>
          <w:trHeight w:val="198"/>
        </w:trPr>
        <w:tc>
          <w:tcPr>
            <w:tcW w:w="19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par value</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1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per</w:t>
            </w: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1"/>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6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Equity</w:t>
            </w:r>
          </w:p>
        </w:tc>
        <w:tc>
          <w:tcPr>
            <w:tcW w:w="1040" w:type="dxa"/>
            <w:vAlign w:val="bottom"/>
            <w:gridSpan w:val="2"/>
            <w:shd w:val="clear" w:color="auto" w:fill="CCEEFF"/>
          </w:tcPr>
          <w:p>
            <w:pPr>
              <w:jc w:val="center"/>
              <w:ind w:right="200"/>
              <w:spacing w:after="0" w:line="271" w:lineRule="exact"/>
              <w:rPr>
                <w:sz w:val="20"/>
                <w:szCs w:val="20"/>
                <w:color w:val="auto"/>
              </w:rPr>
            </w:pPr>
            <w:r>
              <w:rPr>
                <w:rFonts w:ascii="Times New Roman" w:cs="Times New Roman" w:eastAsia="Times New Roman" w:hAnsi="Times New Roman"/>
                <w:sz w:val="18"/>
                <w:szCs w:val="18"/>
                <w:color w:val="auto"/>
                <w:w w:val="92"/>
              </w:rPr>
              <w:t>share</w:t>
            </w:r>
            <w:r>
              <w:rPr>
                <w:rFonts w:ascii="Times New Roman" w:cs="Times New Roman" w:eastAsia="Times New Roman" w:hAnsi="Times New Roman"/>
                <w:sz w:val="29"/>
                <w:szCs w:val="29"/>
                <w:color w:val="auto"/>
                <w:w w:val="92"/>
                <w:vertAlign w:val="superscript"/>
              </w:rPr>
              <w:t>(3)</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457(c)</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1,769,966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1.3848</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$ 2,450,960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.0001476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361.77</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Fees Previously Paid</w:t>
            </w:r>
          </w:p>
        </w:tc>
        <w:tc>
          <w:tcPr>
            <w:tcW w:w="6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 Forward Securities</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580" w:type="dxa"/>
            <w:vAlign w:val="bottom"/>
            <w:gridSpan w:val="6"/>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$ 2,450,960</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.0001476</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361.77</w:t>
            </w:r>
          </w:p>
        </w:tc>
      </w:tr>
      <w:tr>
        <w:trPr>
          <w:trHeight w:val="210"/>
        </w:trPr>
        <w:tc>
          <w:tcPr>
            <w:tcW w:w="1960" w:type="dxa"/>
            <w:vAlign w:val="bottom"/>
            <w:tcBorders>
              <w:top w:val="single" w:sz="8" w:color="CCEEFF"/>
              <w:bottom w:val="single" w:sz="8" w:color="CCEEFF"/>
            </w:tcBorders>
          </w:tcPr>
          <w:p>
            <w:pPr>
              <w:spacing w:after="0"/>
              <w:rPr>
                <w:sz w:val="18"/>
                <w:szCs w:val="18"/>
                <w:color w:val="auto"/>
              </w:rPr>
            </w:pPr>
          </w:p>
        </w:tc>
        <w:tc>
          <w:tcPr>
            <w:tcW w:w="1580" w:type="dxa"/>
            <w:vAlign w:val="bottom"/>
            <w:tcBorders>
              <w:top w:val="single" w:sz="8" w:color="CCEEFF"/>
              <w:bottom w:val="single" w:sz="8" w:color="CCEEFF"/>
            </w:tcBorders>
            <w:gridSpan w:val="3"/>
          </w:tcPr>
          <w:p>
            <w:pPr>
              <w:jc w:val="center"/>
              <w:ind w:right="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7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19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solely for purposes of calculating the registration fee, based on the average of the high and low prices of the Registrant’s common stock as reported on the Nasdaq Capital Market on January 8, 2024 ($1.3848 per share of common stock).</w:t>
      </w:r>
    </w:p>
    <w:p>
      <w:pPr>
        <w:ind w:left="340" w:hanging="332"/>
        <w:spacing w:after="0" w:line="26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aggregate of 1,769,966 shares of the Registrant’s common stock issuable upon the exercise of outstanding preferred investment options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lowerRoman"/>
      <w:start w:val="2"/>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
      <w:numFmt w:val="bullet"/>
      <w:start w:val="1"/>
    </w:lvl>
    <w:lvl w:ilvl="1">
      <w:lvlJc w:val="left"/>
      <w:lvlText w:val="%2"/>
      <w:numFmt w:val="decimal"/>
      <w:start w:val="107"/>
    </w:lvl>
  </w:abstractNum>
  <w:abstractNum w:abstractNumId="41">
    <w:nsid w:val="7A6D8D3C"/>
    <w:multiLevelType w:val="hybridMultilevel"/>
    <w:lvl w:ilvl="0">
      <w:lvlJc w:val="left"/>
      <w:lvlText w:val="**"/>
      <w:numFmt w:val="bullet"/>
      <w:start w:val="1"/>
    </w:lvl>
    <w:lvl w:ilvl="1">
      <w:lvlJc w:val="left"/>
      <w:lvlText w:val="%2"/>
      <w:numFmt w:val="decimal"/>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decimal"/>
      <w:start w:val="2"/>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2"/>
    </w:lvl>
  </w:abstractNum>
  <w:abstractNum w:abstractNumId="47">
    <w:nsid w:val="32FFF902"/>
    <w:multiLevelType w:val="hybridMultilevel"/>
    <w:lvl w:ilvl="0">
      <w:lvlJc w:val="left"/>
      <w:lvlText w:val="(%1)"/>
      <w:numFmt w:val="lowerLetter"/>
      <w:start w:val="8"/>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126" Type="http://schemas.openxmlformats.org/officeDocument/2006/relationships/image" Target="media/image75.png"/><Relationship Id="rId152" Type="http://schemas.openxmlformats.org/officeDocument/2006/relationships/image" Target="media/image76.png"/><Relationship Id="rId153" Type="http://schemas.openxmlformats.org/officeDocument/2006/relationships/image" Target="media/image77.png"/><Relationship Id="rId154" Type="http://schemas.openxmlformats.org/officeDocument/2006/relationships/image" Target="media/image78.png"/><Relationship Id="rId155" Type="http://schemas.openxmlformats.org/officeDocument/2006/relationships/image" Target="media/image79.png"/><Relationship Id="rId156" Type="http://schemas.openxmlformats.org/officeDocument/2006/relationships/image" Target="media/image80.png"/><Relationship Id="rId157" Type="http://schemas.openxmlformats.org/officeDocument/2006/relationships/image" Target="media/image81.png"/><Relationship Id="rId158" Type="http://schemas.openxmlformats.org/officeDocument/2006/relationships/image" Target="media/image82.png"/><Relationship Id="rId159" Type="http://schemas.openxmlformats.org/officeDocument/2006/relationships/image" Target="media/image83.png"/><Relationship Id="rId79" Type="http://schemas.openxmlformats.org/officeDocument/2006/relationships/hyperlink" Target="https://www.sec.gov/Archives/edgar/data/883975/000149315223010223/form10-k.htm" TargetMode="External"/><Relationship Id="rId80" Type="http://schemas.openxmlformats.org/officeDocument/2006/relationships/hyperlink" Target="https://www.sec.gov/Archives/edgar/data/883975/000149315223017966/form10-q.htm" TargetMode="External"/><Relationship Id="rId81" Type="http://schemas.openxmlformats.org/officeDocument/2006/relationships/hyperlink" Target="https://www.sec.gov/Archives/edgar/data/883975/000149315223028081/form10-q.htm" TargetMode="External"/><Relationship Id="rId82" Type="http://schemas.openxmlformats.org/officeDocument/2006/relationships/hyperlink" Target="https://www.sec.gov/Archives/edgar/data/883975/000149315223041069/form10-q.htm" TargetMode="External"/><Relationship Id="rId83" Type="http://schemas.openxmlformats.org/officeDocument/2006/relationships/hyperlink" Target="https://www.sec.gov/Archives/edgar/data/883975/000149315223019000/form8-k.htm" TargetMode="External"/><Relationship Id="rId84" Type="http://schemas.openxmlformats.org/officeDocument/2006/relationships/hyperlink" Target="https://www.sec.gov/Archives/edgar/data/883975/000149315223037454/form8-k.htm" TargetMode="External"/><Relationship Id="rId85" Type="http://schemas.openxmlformats.org/officeDocument/2006/relationships/hyperlink" Target="https://www.sec.gov/Archives/edgar/data/883975/000149315223037676/form8-k.htm" TargetMode="External"/><Relationship Id="rId86" Type="http://schemas.openxmlformats.org/officeDocument/2006/relationships/hyperlink" Target="https://www.sec.gov/Archives/edgar/data/883975/000149315223038050/form8-k.htm" TargetMode="External"/><Relationship Id="rId87" Type="http://schemas.openxmlformats.org/officeDocument/2006/relationships/hyperlink" Target="https://www.sec.gov/Archives/edgar/data/883975/000149315223038792/form8-k.htm" TargetMode="External"/><Relationship Id="rId88" Type="http://schemas.openxmlformats.org/officeDocument/2006/relationships/hyperlink" Target="https://www.sec.gov/Archives/edgar/data/883975/000149315223039509/form8-k.htm" TargetMode="External"/><Relationship Id="rId89" Type="http://schemas.openxmlformats.org/officeDocument/2006/relationships/hyperlink" Target="https://www.sec.gov/Archives/edgar/data/883975/000149315223039834/form8-k.htm" TargetMode="External"/><Relationship Id="rId90" Type="http://schemas.openxmlformats.org/officeDocument/2006/relationships/hyperlink" Target="https://www.sec.gov/Archives/edgar/data/883975/000149315223040331/form8-k.htm" TargetMode="External"/><Relationship Id="rId91" Type="http://schemas.openxmlformats.org/officeDocument/2006/relationships/hyperlink" Target="https://www.sec.gov/Archives/edgar/data/883975/000149315223041009/form8-k.htm" TargetMode="External"/><Relationship Id="rId92" Type="http://schemas.openxmlformats.org/officeDocument/2006/relationships/hyperlink" Target="https://www.sec.gov/Archives/edgar/data/883975/000149315223042204/form8-k.htm" TargetMode="External"/><Relationship Id="rId93" Type="http://schemas.openxmlformats.org/officeDocument/2006/relationships/hyperlink" Target="https://www.sec.gov/Archives/edgar/data/883975/000149315223043291/form8-k.htm" TargetMode="External"/><Relationship Id="rId94" Type="http://schemas.openxmlformats.org/officeDocument/2006/relationships/hyperlink" Target="https://www.sec.gov/Archives/edgar/data/883975/000149315223043949/form8-k.htm" TargetMode="External"/><Relationship Id="rId95" Type="http://schemas.openxmlformats.org/officeDocument/2006/relationships/hyperlink" Target="https://www.sec.gov/Archives/edgar/data/883975/000149315224000109/form8-k.htm" TargetMode="External"/><Relationship Id="rId99" Type="http://schemas.openxmlformats.org/officeDocument/2006/relationships/hyperlink" Target="https://www.sec.gov/Archives/edgar/data/883975/000119312516682077/d161430dex21.htm" TargetMode="External"/><Relationship Id="rId100" Type="http://schemas.openxmlformats.org/officeDocument/2006/relationships/hyperlink" Target="https://www.sec.gov/Archives/edgar/data/883975/000095013407005808/f27726exv3w1.htm" TargetMode="External"/><Relationship Id="rId101" Type="http://schemas.openxmlformats.org/officeDocument/2006/relationships/hyperlink" Target="https://www.sec.gov/Archives/edgar/data/883975/000119312516779597/d296933dex31.htm" TargetMode="External"/><Relationship Id="rId102" Type="http://schemas.openxmlformats.org/officeDocument/2006/relationships/hyperlink" Target="https://www.sec.gov/Archives/edgar/data/883975/000149315218012872/ex3-1.htm" TargetMode="External"/><Relationship Id="rId103" Type="http://schemas.openxmlformats.org/officeDocument/2006/relationships/hyperlink" Target="https://www.sec.gov/Archives/edgar/data/883975/000129993316002374/exhibit1.htm" TargetMode="External"/><Relationship Id="rId104" Type="http://schemas.openxmlformats.org/officeDocument/2006/relationships/hyperlink" Target="https://www.sec.gov/Archives/edgar/data/883975/000149315218017395/ex3-1.htm" TargetMode="External"/><Relationship Id="rId105" Type="http://schemas.openxmlformats.org/officeDocument/2006/relationships/hyperlink" Target="https://www.sec.gov/Archives/edgar/data/883975/000149315219013998/ex3-1.htm" TargetMode="External"/><Relationship Id="rId106" Type="http://schemas.openxmlformats.org/officeDocument/2006/relationships/hyperlink" Target="https://www.sec.gov/Archives/edgar/data/883975/000149315221010347/ex3-1.htm" TargetMode="External"/><Relationship Id="rId107" Type="http://schemas.openxmlformats.org/officeDocument/2006/relationships/hyperlink" Target="https://www.sec.gov/Archives/edgar/data/883975/000149315220006338/ex4-10.htm" TargetMode="External"/><Relationship Id="rId108" Type="http://schemas.openxmlformats.org/officeDocument/2006/relationships/hyperlink" Target="https://www.sec.gov/Archives/edgar/data/883975/000149315222029541/ex4-2.htm" TargetMode="External"/><Relationship Id="rId109" Type="http://schemas.openxmlformats.org/officeDocument/2006/relationships/hyperlink" Target="https://www.sec.gov/Archives/edgar/data/883975/000149315222029541/ex4-4.htm" TargetMode="External"/><Relationship Id="rId110" Type="http://schemas.openxmlformats.org/officeDocument/2006/relationships/hyperlink" Target="https://www.sec.gov/Archives/edgar/data/883975/000149315223018718/ex4-1.htm" TargetMode="External"/><Relationship Id="rId111" Type="http://schemas.openxmlformats.org/officeDocument/2006/relationships/hyperlink" Target="https://www.sec.gov/Archives/edgar/data/883975/000149315223018932/ex4-2.htm" TargetMode="External"/><Relationship Id="rId112" Type="http://schemas.openxmlformats.org/officeDocument/2006/relationships/hyperlink" Target="https://www.sec.gov/Archives/edgar/data/883975/000149315223018932/ex10-2.htm" TargetMode="External"/><Relationship Id="rId113" Type="http://schemas.openxmlformats.org/officeDocument/2006/relationships/hyperlink" Target="https://www.sec.gov/Archives/edgar/data/883975/000149315223020309/ex4-1.htm" TargetMode="External"/><Relationship Id="rId114" Type="http://schemas.openxmlformats.org/officeDocument/2006/relationships/hyperlink" Target="https://www.sec.gov/Archives/edgar/data/883975/000149315223020309/ex4-2.htm" TargetMode="External"/><Relationship Id="rId115" Type="http://schemas.openxmlformats.org/officeDocument/2006/relationships/hyperlink" Target="https://www.sec.gov/Archives/edgar/data/883975/000149315223022814/ex4-1.htm" TargetMode="External"/><Relationship Id="rId116" Type="http://schemas.openxmlformats.org/officeDocument/2006/relationships/hyperlink" Target="https://www.sec.gov/Archives/edgar/data/883975/000149315223022814/ex4-2.htm" TargetMode="External"/><Relationship Id="rId117" Type="http://schemas.openxmlformats.org/officeDocument/2006/relationships/hyperlink" Target="https://www.sec.gov/Archives/edgar/data/883975/000149315224000109/ex4-1.htm" TargetMode="External"/><Relationship Id="rId118" Type="http://schemas.openxmlformats.org/officeDocument/2006/relationships/hyperlink" Target="https://www.sec.gov/Archives/edgar/data/883975/000149315224000109/ex4-2.htm" TargetMode="External"/><Relationship Id="rId119" Type="http://schemas.openxmlformats.org/officeDocument/2006/relationships/hyperlink" Target="https://www.sec.gov/Archives/edgar/data/883975/000119312516779729/d296933dex104.htm" TargetMode="External"/><Relationship Id="rId120" Type="http://schemas.openxmlformats.org/officeDocument/2006/relationships/hyperlink" Target="https://www.sec.gov/Archives/edgar/data/883975/000119312516779729/d296933dex105.htm" TargetMode="External"/><Relationship Id="rId121" Type="http://schemas.openxmlformats.org/officeDocument/2006/relationships/hyperlink" Target="https://www.sec.gov/Archives/edgar/data/883975/000149315217002678/ex10-14.htm" TargetMode="External"/><Relationship Id="rId122" Type="http://schemas.openxmlformats.org/officeDocument/2006/relationships/hyperlink" Target="https://www.sec.gov/Archives/edgar/data/883975/000149315217013222/ex10-1.htm" TargetMode="External"/><Relationship Id="rId123" Type="http://schemas.openxmlformats.org/officeDocument/2006/relationships/hyperlink" Target="https://www.sec.gov/Archives/edgar/data/883975/000149315218000286/ex10-1.htm" TargetMode="External"/><Relationship Id="rId124" Type="http://schemas.openxmlformats.org/officeDocument/2006/relationships/hyperlink" Target="https://www.sec.gov/Archives/edgar/data/883975/000149315217008987/def14a.htm" TargetMode="External"/><Relationship Id="rId125" Type="http://schemas.openxmlformats.org/officeDocument/2006/relationships/hyperlink" Target="https://www.sec.gov/Archives/edgar/data/883975/000149315220014354/def14a.htm" TargetMode="External"/><Relationship Id="rId127" Type="http://schemas.openxmlformats.org/officeDocument/2006/relationships/hyperlink" Target="https://www.sec.gov/Archives/edgar/data/883975/000149315220022543/ex4-2.htm" TargetMode="External"/><Relationship Id="rId128" Type="http://schemas.openxmlformats.org/officeDocument/2006/relationships/hyperlink" Target="https://www.sec.gov/Archives/edgar/data/883975/000149315220022543/ex4-3.htm" TargetMode="External"/><Relationship Id="rId129" Type="http://schemas.openxmlformats.org/officeDocument/2006/relationships/hyperlink" Target="https://www.sec.gov/Archives/edgar/data/883975/000149315220022543/ex4-4.htm" TargetMode="External"/><Relationship Id="rId130" Type="http://schemas.openxmlformats.org/officeDocument/2006/relationships/hyperlink" Target="https://www.sec.gov/Archives/edgar/data/883975/000149315220022543/ex4-5.htm" TargetMode="External"/><Relationship Id="rId131" Type="http://schemas.openxmlformats.org/officeDocument/2006/relationships/hyperlink" Target="https://www.sec.gov/Archives/edgar/data/883975/000149315220022543/ex4-6.htm" TargetMode="External"/><Relationship Id="rId132" Type="http://schemas.openxmlformats.org/officeDocument/2006/relationships/hyperlink" Target="https://www.sec.gov/Archives/edgar/data/883975/000149315221008148/ex10-1.htm" TargetMode="External"/><Relationship Id="rId133" Type="http://schemas.openxmlformats.org/officeDocument/2006/relationships/hyperlink" Target="https://www.sec.gov/Archives/edgar/data/883975/000149315221009469/ex10-1.htm" TargetMode="External"/><Relationship Id="rId134" Type="http://schemas.openxmlformats.org/officeDocument/2006/relationships/hyperlink" Target="https://www.sec.gov/Archives/edgar/data/883975/000149315221014052/ex10-1.htm" TargetMode="External"/><Relationship Id="rId135" Type="http://schemas.openxmlformats.org/officeDocument/2006/relationships/hyperlink" Target="https://www.sec.gov/Archives/edgar/data/883975/000149315221032474/ex10-1.htm" TargetMode="External"/><Relationship Id="rId136" Type="http://schemas.openxmlformats.org/officeDocument/2006/relationships/hyperlink" Target="https://www.sec.gov/Archives/edgar/data/883975/000149315222027872/ex10-1.htm" TargetMode="External"/><Relationship Id="rId137" Type="http://schemas.openxmlformats.org/officeDocument/2006/relationships/hyperlink" Target="https://www.sec.gov/Archives/edgar/data/883975/000149315222009272/ex10-1.htm" TargetMode="External"/><Relationship Id="rId138" Type="http://schemas.openxmlformats.org/officeDocument/2006/relationships/hyperlink" Target="https://www.sec.gov/Archives/edgar/data/883975/000149315222002881/ex10-1.htm" TargetMode="External"/><Relationship Id="rId139" Type="http://schemas.openxmlformats.org/officeDocument/2006/relationships/hyperlink" Target="https://www.sec.gov/Archives/edgar/data/883975/000149315223010223/ex10-21.htm" TargetMode="External"/><Relationship Id="rId140" Type="http://schemas.openxmlformats.org/officeDocument/2006/relationships/hyperlink" Target="https://www.sec.gov/Archives/edgar/data/883975/000149315222029541/ex10-1.htm" TargetMode="External"/><Relationship Id="rId141" Type="http://schemas.openxmlformats.org/officeDocument/2006/relationships/hyperlink" Target="https://www.sec.gov/Archives/edgar/data/883975/000149315223018456/ex10-1.htm" TargetMode="External"/><Relationship Id="rId142" Type="http://schemas.openxmlformats.org/officeDocument/2006/relationships/hyperlink" Target="https://www.sec.gov/Archives/edgar/data/883975/000149315223018456/ex10-2.htm" TargetMode="External"/><Relationship Id="rId143" Type="http://schemas.openxmlformats.org/officeDocument/2006/relationships/hyperlink" Target="https://www.sec.gov/Archives/edgar/data/883975/000149315223018456/ex10-3.htm" TargetMode="External"/><Relationship Id="rId144" Type="http://schemas.openxmlformats.org/officeDocument/2006/relationships/hyperlink" Target="https://www.sec.gov/Archives/edgar/data/883975/000149315223018456/ex10-4.htm" TargetMode="External"/><Relationship Id="rId145" Type="http://schemas.openxmlformats.org/officeDocument/2006/relationships/hyperlink" Target="https://www.sec.gov/Archives/edgar/data/883975/000149315223018718/ex10-1.htm" TargetMode="External"/><Relationship Id="rId146" Type="http://schemas.openxmlformats.org/officeDocument/2006/relationships/hyperlink" Target="https://www.sec.gov/Archives/edgar/data/883975/000149315223018932/ex10-1.htm" TargetMode="External"/><Relationship Id="rId147" Type="http://schemas.openxmlformats.org/officeDocument/2006/relationships/hyperlink" Target="https://www.sec.gov/Archives/edgar/data/883975/000149315223020309/ex10-1.htm" TargetMode="External"/><Relationship Id="rId148" Type="http://schemas.openxmlformats.org/officeDocument/2006/relationships/hyperlink" Target="https://www.sec.gov/Archives/edgar/data/883975/000149315223022814/ex10-1.htm" TargetMode="External"/><Relationship Id="rId149" Type="http://schemas.openxmlformats.org/officeDocument/2006/relationships/hyperlink" Target="https://www.sec.gov/Archives/edgar/data/883975/000149315223042204/ex10-1.htm" TargetMode="External"/><Relationship Id="rId150" Type="http://schemas.openxmlformats.org/officeDocument/2006/relationships/hyperlink" Target="https://www.sec.gov/Archives/edgar/data/883975/000149315224000109/ex10-1.htm" TargetMode="External"/><Relationship Id="rId151"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2024-01-12T15:28:32Z</dcterms:created>
  <dcterms:modified xsi:type="dcterms:W3CDTF">2024-01-12T15:28:32Z</dcterms:modified>
</cp:coreProperties>
</file>