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posam.htm"/>
      <w:bookmarkStart w:id="1" w:name="ksformposam"/>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March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No. 333-276487</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Post-Effective Amendment No. 2</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val="false"/>
          <w:smallCaps w:val="false"/>
          <w:sz w:val="24"/>
        </w:rPr>
        <w:t>To</w:t>
      </w:r>
      <w:r>
        <w:rPr>
          <w:rFonts w:ascii="Times New Roman;Times;Serif" w:hAnsi="Times New Roman;Times;Serif"/>
          <w:b w:val="false"/>
          <w:i w:val="false"/>
          <w:caps w:val="false"/>
          <w:smallCaps w:val="false"/>
          <w:sz w:val="24"/>
        </w:rPr>
        <w:t xml:space="preserve"> </w:t>
      </w:r>
      <w:r>
        <w:rPr>
          <w:rFonts w:ascii="Times New Roman;Times;Serif" w:hAnsi="Times New Roman;Times;Serif"/>
          <w:b/>
          <w:i w:val="false"/>
          <w:caps w:val="false"/>
          <w:smallCaps w:val="false"/>
          <w:sz w:val="24"/>
        </w:rPr>
        <w:t>Form S-1 on</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MICROBOT MEDICAL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94-3078125</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4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President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175 Derby St., Bld. 27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Hingham, MA 02043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Stephen E. Fox,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Ruskin Moscou Faltischek, P.C.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1425 RXR Plaza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Tower, 15</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Uniondale, New York 11556-1425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(516) 663-6600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after the effective date of this registration statement, as determined by the Registrant.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45" w:type="dxa"/>
        <w:jc w:val="left"/>
        <w:tblInd w:w="0" w:type="dxa"/>
        <w:tblLayout w:type="fixed"/>
        <w:tblCellMar>
          <w:top w:w="0" w:type="dxa"/>
          <w:left w:w="0" w:type="dxa"/>
          <w:bottom w:w="0" w:type="dxa"/>
          <w:right w:w="0" w:type="dxa"/>
        </w:tblCellMar>
      </w:tblPr>
      <w:tblGrid>
        <w:gridCol w:w="1925"/>
        <w:gridCol w:w="230"/>
        <w:gridCol w:w="2345"/>
        <w:gridCol w:w="245"/>
      </w:tblGrid>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center"/>
        <w:rPr>
          <w:caps/>
        </w:rPr>
      </w:pPr>
      <w:r>
        <w:rPr>
          <w:caps/>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of the Securities Act of 1933, AS AMENDED, or until THE registration statement shall become effective on such date as the SECURITIES AND EXCHANGE Commission, acting pursuant to SAID Section 8(</w:t>
      </w:r>
      <w:r>
        <w:rPr>
          <w:rFonts w:ascii="Times New Roman;Times;Serif" w:hAnsi="Times New Roman;Times;Serif"/>
          <w:b/>
          <w:i w:val="false"/>
          <w:caps w:val="false"/>
          <w:smallCaps w:val="false"/>
          <w:sz w:val="20"/>
        </w:rPr>
        <w:t>a</w:t>
      </w:r>
      <w:r>
        <w:rPr>
          <w:rFonts w:ascii="Times New Roman;Times;Serif" w:hAnsi="Times New Roman;Times;Serif"/>
          <w:b/>
          <w:i w:val="false"/>
          <w:caps/>
          <w:sz w:val="20"/>
        </w:rPr>
        <w:t>), may determine.</w:t>
      </w:r>
    </w:p>
    <w:p>
      <w:pPr>
        <w:pStyle w:val="TextBody"/>
        <w:bidi w:val="0"/>
        <w:jc w:val="both"/>
        <w:rPr>
          <w:caps/>
        </w:rPr>
      </w:pPr>
      <w:r>
        <w:rPr>
          <w:caps/>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rPr>
      </w:pPr>
      <w:r>
        <w:rPr>
          <w:caps/>
        </w:rPr>
        <w:t> </w:t>
      </w:r>
    </w:p>
    <w:p>
      <w:pPr>
        <w:pStyle w:val="TextBody"/>
        <w:shd w:fill="FFFFFF" w:val="clear"/>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shd w:fill="FFFFFF" w:val="clear"/>
        <w:bidi w:val="0"/>
        <w:jc w:val="center"/>
        <w:rPr>
          <w:caps w:val="false"/>
          <w:smallCaps w:val="false"/>
        </w:rPr>
      </w:pPr>
      <w:r>
        <w:rPr>
          <w:caps w:val="false"/>
          <w:smallCaps w:val="false"/>
        </w:rPr>
        <w:t> </w:t>
      </w:r>
    </w:p>
    <w:p>
      <w:pPr>
        <w:pStyle w:val="TextBody"/>
        <w:shd w:fill="FFFFFF" w:val="clear"/>
        <w:bidi w:val="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12, 2024, Microbot Medical Inc. (the “Company”) filed a registration statement with the Securities and Exchange Commission (the “SEC”) on Form S-1 (File No. 333-276487) (the “Registration Statement”). The Registration Statement, as amended, was initially declared effective by the SEC on January 25, 2024. This Post-Effective Amendment No. 2 to Form S-1 on Form S-3 (“Amendment No. 2”) is being filed by the Company to (i) convert the Registration Statement into a Registration Statement on Form S-3, which the Company is eligible to use and (ii) to include updated information regarding the selling securityholders named in the prospectus. No additional securities are being registered under this Amendment No. 2. All applicable registration fees were paid at the time of the original filing of the Registration Statement.</w:t>
      </w:r>
    </w:p>
    <w:p>
      <w:pPr>
        <w:pStyle w:val="TextBody"/>
        <w:bidi w:val="0"/>
        <w:spacing w:before="0" w:after="0"/>
        <w:ind w:left="0" w:right="0" w:hanging="0"/>
        <w:jc w:val="both"/>
        <w:rPr>
          <w:caps/>
        </w:rPr>
      </w:pPr>
      <w:r>
        <w:rPr>
          <w:caps/>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rPr>
      </w:pPr>
      <w:r>
        <w:rPr>
          <w:caps/>
        </w:rPr>
        <w:t> </w:t>
      </w:r>
    </w:p>
    <w:p>
      <w:pPr>
        <w:pStyle w:val="TextBody"/>
        <w:bidi w:val="0"/>
        <w:spacing w:before="0" w:after="0"/>
        <w:ind w:left="0" w:right="0" w:hanging="0"/>
        <w:jc w:val="both"/>
        <w:rPr>
          <w:rFonts w:ascii="Times New Roman;Times;Serif" w:hAnsi="Times New Roman;Times;Serif"/>
          <w:b/>
          <w:i w:val="false"/>
          <w:caps/>
          <w:color w:val="FF0000"/>
          <w:sz w:val="20"/>
        </w:rPr>
      </w:pPr>
      <w:r>
        <w:rPr>
          <w:rFonts w:ascii="Times New Roman;Times;Serif" w:hAnsi="Times New Roman;Times;Serif"/>
          <w:b/>
          <w:i w:val="false"/>
          <w:caps/>
          <w:color w:val="FF0000"/>
          <w:sz w:val="2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pStyle w:val="TextBody"/>
        <w:bidi w:val="0"/>
        <w:spacing w:before="0" w:after="0"/>
        <w:ind w:left="0" w:right="0" w:hanging="0"/>
        <w:jc w:val="center"/>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MARCH 31, 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857500" cy="1428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1428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1,769,966</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or other disposition from time to time of up to 1,769,966 shares of our common stock, $0.01 par value per share, by the selling stockholders named in this prospectus, including their transferees, pledgees, donees or successors, that may be issued upon the exercise of outstanding preferred investment options held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cover the issuance of the shares underlying the preferred investment options to the selling stockholders upon their exercise. We are not selling any shares of common stock under this prospectus and will not receive any of the proceeds from the sale of shares of common stock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of the shares covered by this prospectus does not mean that the selling stockholders will actually exercise outstanding options held by them or offer or resell any of these shares once issued to them. The selling stockholders may resell or otherwise dispose of the shares of common stock covered by this prospectus in a number of different ways and at varying prices. We provide more information about how the selling stockholders may sell or otherwise dispose of their shares of common stock in the section entitled “Plan of Distribution” beginning on page 11. The selling stockholders will pay all brokerage fees and commissions and similar expenses. We will pay all expenses (except brokerage fees and commissions and similar expenses) relating to the registration of the shares with the Securities and Exchange Commission. No underwriter or other person has been engaged to facilitate the resale of shares of our common stock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ticker symbol “MBOT.” On March 25, 2025, the last reported closing price of our common stock on the Nasdaq Capital Market was $1.59.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You should review carefully the risks and uncertainties described under the heading “Risk Factors” beginning on page 7 of this prospectus, and under similar headings in any amendments or supplements 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2025.</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605"/>
        <w:gridCol w:w="530"/>
      </w:tblGrid>
      <w:tr>
        <w:trPr/>
        <w:tc>
          <w:tcPr>
            <w:tcW w:w="6605"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Pages</w:t>
            </w:r>
          </w:p>
        </w:tc>
      </w:tr>
      <w:tr>
        <w:trPr/>
        <w:tc>
          <w:tcPr>
            <w:tcW w:w="6605"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i w:val="false"/>
                  <w:caps w:val="false"/>
                  <w:smallCaps w:val="false"/>
                  <w:sz w:val="20"/>
                </w:rPr>
                <w:t>ABOUT THIS PROSPECTUS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660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b/>
                  <w:i w:val="false"/>
                  <w:caps w:val="false"/>
                  <w:smallCaps w:val="false"/>
                  <w:sz w:val="20"/>
                </w:rPr>
                <w:t>PROSPECTUS SUMMARY</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605"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b/>
                  <w:i w:val="false"/>
                  <w:caps w:val="false"/>
                  <w:smallCaps w:val="false"/>
                  <w:sz w:val="20"/>
                </w:rPr>
                <w:t>RISK FACTORS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b/>
                  <w:i w:val="false"/>
                  <w:caps w:val="false"/>
                  <w:smallCaps w:val="false"/>
                  <w:sz w:val="20"/>
                </w:rPr>
                <w:t>CAUTIONARY NOTE REGARDING FORWARD-LOOKING STATEMENTS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605"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b/>
                  <w:i w:val="false"/>
                  <w:caps w:val="false"/>
                  <w:smallCaps w:val="false"/>
                  <w:sz w:val="20"/>
                </w:rPr>
                <w:t>USE OF PROCEEDS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60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b/>
                  <w:i w:val="false"/>
                  <w:caps w:val="false"/>
                  <w:smallCaps w:val="false"/>
                  <w:sz w:val="20"/>
                </w:rPr>
                <w:t>SELLING STOCKHOLDERS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6605"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b/>
                  <w:i w:val="false"/>
                  <w:caps w:val="false"/>
                  <w:smallCaps w:val="false"/>
                  <w:sz w:val="20"/>
                </w:rPr>
                <w:t>PLAN OF DISTRIBUTION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660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b/>
                  <w:i w:val="false"/>
                  <w:caps w:val="false"/>
                  <w:smallCaps w:val="false"/>
                  <w:sz w:val="20"/>
                </w:rPr>
                <w:t>DESCRIPTION OF SECURITIES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6605"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b/>
                  <w:i w:val="false"/>
                  <w:caps w:val="false"/>
                  <w:smallCaps w:val="false"/>
                  <w:sz w:val="20"/>
                </w:rPr>
                <w:t>LEGAL MATTERS</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b/>
                  <w:i w:val="false"/>
                  <w:caps w:val="false"/>
                  <w:smallCaps w:val="false"/>
                  <w:sz w:val="20"/>
                </w:rPr>
                <w:t>EXPERTS</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b/>
                  <w:i w:val="false"/>
                  <w:caps w:val="false"/>
                  <w:smallCaps w:val="false"/>
                  <w:sz w:val="20"/>
                </w:rPr>
                <w:t>WHERE YOU CAN FIND MORE INFORMATION</w:t>
              </w:r>
            </w:hyperlink>
          </w:p>
        </w:tc>
        <w:tc>
          <w:tcPr>
            <w:tcW w:w="53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60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b/>
                  <w:i w:val="false"/>
                  <w:caps w:val="false"/>
                  <w:smallCaps w:val="false"/>
                  <w:sz w:val="20"/>
                </w:rPr>
                <w:t>INCORPORATION OF CERTAIN INFORMATION BY REFERENCE</w:t>
              </w:r>
            </w:hyperlink>
          </w:p>
        </w:tc>
        <w:tc>
          <w:tcPr>
            <w:tcW w:w="53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bl>
    <w:p>
      <w:pPr>
        <w:pStyle w:val="TextBody"/>
        <w:bidi w:val="0"/>
        <w:spacing w:before="0" w:after="0"/>
        <w:ind w:left="0" w:right="0" w:firstLine="720"/>
        <w:jc w:val="both"/>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United States Securities and Exchange Commission (the “SEC”). You should read this prospectus, including the documents incorporated by reference herein, and the related registration statement carefully. This prospectus and registration statement contain important information you should consider when making your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that we have provided in this prospectus, including the documents incorporated by reference herein, and any applicable prospectus supplement. We have not authorized anyone to provide you with different information. No dealer, salesperson or other person is authorized to give any information or to represent anything not contained in this prospectus, including the documents incorporated by reference herein, and any applicable prospectus supplement. You must not rely on any unauthorized information or representation. This prospectus is an offer to sell only the securities offered hereby, but only under circumstances and in jurisdictions where it is lawful to do so. You should assume that the information in this prospectus, including the documents incorporated by reference herein, and any applicable prospectus supplement is accurate only as of the date on the front of the respective document, regardless of the time of delivery of this prospectus, any applicable prospectus supplement, or any sale of a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t>
      </w:r>
      <w:r>
        <w:rPr>
          <w:rFonts w:ascii="Times New Roman;Times;Serif" w:hAnsi="Times New Roman;Times;Serif"/>
          <w:b w:val="false"/>
          <w:i/>
          <w:caps w:val="false"/>
          <w:smallCaps w:val="false"/>
          <w:sz w:val="20"/>
        </w:rPr>
        <w:t>Where You Can Find More Information</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Incorporation of Certain Information by Reference</w:t>
      </w:r>
      <w:r>
        <w:rPr>
          <w:rFonts w:ascii="Times New Roman;Times;Serif" w:hAnsi="Times New Roman;Times;Serif"/>
          <w:b w:val="false"/>
          <w:i w:val="false"/>
          <w:caps w:val="false"/>
          <w:smallCaps w:val="false"/>
          <w:sz w:val="20"/>
        </w:rPr>
        <w:t>” before making an investment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in this prospectus, the terms “Microbot,” the “Company,” “we,” “our” or “us” in this prospectus refer to Microbot Medical Inc. and its wholly-owned subsidiaries.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certain information about us and this offering contained elsewhere in this prospectus or in the documents we incorporate by reference. Because it is only a summary, it does not contain all of the information that you should consider before investing in shares of our securities and it is qualified in its entirety by, and should be read in conjunction with, the more detailed information appearing elsewhere or incorporated by reference in this prospectus. Before you decide to invest in our securities, you should read the entire prospectus carefully, including “Risk Factors” beginning on page 7, and the consolidated financial statements and related notes and the other information included or incorporated by reference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clinical-stage medical device company specializing in the research, design and development of next generation robotic endoluminal surgery devices targeting the minimally invasive surgery space. We are primarily focused on leveraging our robotic technologies with the goal of redefining surgical robotics while improving surgical outcomes for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Using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technological platform, we are developing the first ever fully disposable robot for various endovascular interventional procedures.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is intended for the remote delivery and manipulation of guidewires and catheters, and remote manipulation of guide catheters to facilitate navigation to anatomical targets, with the current intention to focus in the peripheral vasculature market. It is designed to eliminate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Direct Offerings and Concurrent Private Placements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2025, we entered into a securities purchase agreement with investors, pursuant to which we agreed to issue and sell, in a registered direct offering priced at-the-market under the rules of The Nasdaq Stock Market, an aggregate of 4,000,001 shares of our common stock at an offering price of $1.75 per share. In a concurrent private placement, we agreed to issue to the same investors series G preferred investment options to purchase up to 8,000,002 shares of our common stock at an exercise price of $1.75 per share. Each series G preferred investment option was exercisable immediately and expires two years from the initial exercise date. The offerings closed on January 7, 2025, and we raised approximately $7.0 million in aggregate gross proceeds from such offerings, before deducting placement agent fees and expenses and related offering expenses. We also issued at closing to the placement agent or its designees, warrants to purchase 200,000 shares of our common stock, which were exercisable immediately, expire two years from issuance, and have an exercise price of $2.1875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2025, we entered into a securities purchase agreement with investors, pursuant to which we agreed to issue and sell, in a registered direct offering priced at-the-market under the rules of The Nasdaq Stock Market, an aggregate of 3,788,550 shares of our common stock at an offering price of $2.27 per share. In a concurrent private placement, we agreed to issue to the same investors series H preferred investment options to purchase up to 7,577,100 shares of our common stock at an exercise price of $2.10 per share. Each series H preferred investment option was exercisable immediately and expires two years from the initial exercise date. The offerings closed on January 10, 2025, and we raised approximately $8.6 million in aggregate gross proceeds from such offerings, before deducting placement agent fees and expenses and related offering expenses. We also issued at closing to the placement agent or its designees, warrants to purchase 189,428 shares of our common stock, which were exercisable immediately, expire two years from issuance, and have an exercise price of $2.8375 per share.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9, 2025, we entered into a securities purchase agreement with investors, pursuant to which we agreed to issue and sell, in a registered direct offering priced at-the-market under the rules of The Nasdaq Stock Market, an aggregate of 6,103,289 shares of our common stock at an offering price of $2.13 per share. In a concurrent private placement, we agreed to issue to the same investors series I preferred investment options to purchase up to 12,206,578 shares of our common stock at an exercise price of $2.13 per share. Each series I preferred investment option was exercisable commencing on or after the later of (i) the date on which the amendment to the Company’s articles of incorporation that increases the number of authorized shares of common stock to an amount of shares of common stock sufficient for the exercise in full of the series I preferred investment options is filed and accepted with the State of Delaware law (such date, the “Authorized Share Increase Date”) and (ii) the date on which approval as may be required by the applicable rules and regulations of the Nasdaq Stock Market (or any successor entity) from the stockholders of the Company with respect to the issuance of all the series I preferred investment options and the shares of common stock issuable upon the exercise thereof, is received and deemed effective under Delaware (the “Stockholder Approval Date”) and will expire two years from the initial exercise date. The offerings closed on February 11, 2025, and we raised approximately $11.8 million in aggregate net proceeds from such offerings, after deducting placement agent fees and expenses and related offering expenses. We also issued at closing to the placement agent or its designees, warrants to purchase 305,164 shares of our common stock, which </w:t>
      </w:r>
      <w:r>
        <w:rPr>
          <w:rFonts w:ascii="Times New Roman;Times;Serif" w:hAnsi="Times New Roman;Times;Serif"/>
          <w:b w:val="false"/>
          <w:i w:val="false"/>
          <w:caps w:val="false"/>
          <w:smallCaps w:val="false"/>
          <w:sz w:val="20"/>
          <w:shd w:fill="FFFFFF" w:val="clear"/>
        </w:rPr>
        <w:t>are exercisable on or after the later of (i) the Authorized Share Increase Date and (ii) the Stockholder Approval Date, will expire two years from the initial exercise date (but no later than February 9, 2030), and have an exercise price of $2.6625 per share</w:t>
      </w:r>
      <w:r>
        <w:rPr>
          <w:rFonts w:ascii="Times New Roman;Times;Serif" w:hAnsi="Times New Roman;Times;Serif"/>
          <w:b w:val="false"/>
          <w:i w:val="false"/>
          <w:caps w:val="false"/>
          <w:smallCaps w:val="false"/>
          <w:sz w:val="20"/>
        </w:rPr>
        <w:t>. We are seeking stockholder approval to increase the number of authorized shares of our common stock to 120,000,000 and to approve the issuance of the options and shares underlying the options, at a special meeting of stockholders expected to be held on April 11,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ATM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we entered into an At-the-Market Offering Agreement, as amended on July 1, 2024 (the “ATM Agreement”) with Wainwright as sales agent, in connection with an “at the market offering” under which we may offer and sell, from time to time in our sole discretion, shares of our common stock having an aggregate offering price of up to $4,819,905 at market prices or as otherwise agreed with Wainwright. The compensation to Wainwright for sales of the shares is a placement fee of 3.0% of the gross sales price of the shares of common stock sold pursuant 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entering into the ATM Agreement, on July 1, 2024, we filed with the SEC a prospectus supplement relating to the offer, issuance and sale of up to $4,819,905 of our shares of common stock pursuant to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January 7, 2025, we issued and sold an aggregate of 4,276,486 shares of our common stock pursuant to the ATM Agreement, for total gross proceeds of $4,819,278 before deducting aggregate placement fees of $144,578 and other offering expenses. Accordingly, we are no longer selling any further shares of our common stock under the ATM Agreement.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510(k) Premarket Notification Submission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U.S. Food and Drug Administration (FDA)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510(k) submission follows the successful completion of our multi-center, single-arm, trial to evaluate the performance and safety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human subjects undergoing Peripheral Vascular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Israel-Hamas War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2023, the State of Israel, where our research and development and other operations are primarily based, suffered a surprise attack by hostile forces from Gaza, which led to Israeli military operation at first in Gaza and then in Lebanon. These military operations and related activities, such as the recent collapse of the Assad regime in Syria and Israel’s subsequent military operations in Syria, and the recent escalation of military operations by and against the Houthis in Yemen, are on-going as of the date of this prospectus, although there have been temporary cease fires in such military operations from time to time.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considered various ongoing risks relating to the military operations and related matters, including:</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some of our Israeli subcontractors, vendors, suppliers and other companies in which the Company relies, are currently only partially active, as instructed by the relevant authorities;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slowdown in the number of international flights in and out of Israel.</w:t>
            </w:r>
          </w:p>
        </w:tc>
      </w:tr>
    </w:tbl>
    <w:p>
      <w:pPr>
        <w:pStyle w:val="TextBody"/>
        <w:bidi w:val="0"/>
        <w:spacing w:before="0" w:after="0"/>
        <w:ind w:left="1080"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closely monitoring how the military operations and related activities could adversely affect our anticipated milestones and our Israel-based activities to support future clinical and regulatory milestones, including our ability to import materials that are required to construct the Company’s devices and to ship them outside of Israel. As of the date of this prospectus, we have determined that there have not been any materially adverse effects on our business or operations, but we continue to monitor the situation, as any collapse of a cease-fire from time to time or any future escalation or change could result in a material adverse effect on the ability of our Israeli office to support the Company’s clinical and regulatory activities. We do not have any specific contingency plans in the event of any such escalation or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LIBERTY</w:t>
      </w:r>
      <w:r>
        <w:rPr>
          <w:rFonts w:ascii="Times New Roman;Times;Serif" w:hAnsi="Times New Roman;Times;Serif"/>
          <w:b/>
          <w:i/>
          <w:caps w:val="false"/>
          <w:smallCaps w:val="false"/>
          <w:position w:val="7"/>
          <w:sz w:val="16"/>
          <w:sz w:val="20"/>
        </w:rPr>
        <w:t xml:space="preserve">® </w:t>
      </w:r>
      <w:r>
        <w:rPr>
          <w:rFonts w:ascii="Times New Roman;Times;Serif" w:hAnsi="Times New Roman;Times;Serif"/>
          <w:b/>
          <w:i/>
          <w:caps w:val="false"/>
          <w:smallCaps w:val="false"/>
          <w:sz w:val="20"/>
        </w:rPr>
        <w:t>Endovascular Robotic Surgical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Surgical System features a unique compact design with the capability to be operated remotely, reduce radiation exposure and physical strain to the physician, as well as the potential to eliminate the use of multiple consumables when used with its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platform or possibly other guidewire/microcatheter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designed to maneuver guidewires and over-the-wire devices (such as microcatheters) within the body’s vasculature. It eliminates the need for extensive capital equipment requiring dedicated Cath-lab rooms as well as dedicated staff.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addressable markets for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in its current version includes the peripheral interventional radiology market, with future versions expected to include the Interventional Cardiology and Interventional Neuroradiology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 compact, mobile, disposable and remotely controlled – also may open the opportunity of expanding telerobotic interventions to patients with limited access to life-saving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is being designed to have the following attributes: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fully disposable, robotic system for endovascular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&amp; Done</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 Has the potential to be compatible with Microbot’s NitiLoop’s NovaCross</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products or possibly other instruments that combines guidewire and microcatheter into a single device. We are currently evaluating this combination in different applications.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of the art maneuverability - Provides linear and rotational control of its guidewire, as well as linear and rotational control of a guide catheter, and the linear motion for an additional microcatheter (“over the wire”) device.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Compatibility with a wide range of commercially-available guidewires, microcatheters and guide-catheters.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Aims to reduce exposure to ionizing radiation and reduce physical strain due to the need for heavy lead vests otherwise to be worn during procedures.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Its intuitive remote controls aims to simplify advanced procedures while shortening the physician’s learning curve.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capability – May serve as a platform for supporting tele-catheterization, carried out remotely by highly trained specialists. The Company’s research collaboration with Corewell Health™ has demonstrated the feasibility of using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System between separate and remote facilities in a coronary simulation model. The project assesses the feasibility of using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to perform simulated cardiovascular interventional procedures across two sites within the Corewell Health™ system located 5 miles apart. The telesurgery feature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is still being evaluated and is not covered under the Company’s pending 510(k) premarket submission with the U.S. Food and Drug Administration.</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2023, we announced that the LIBERTY® Endovascular Robotic Surgical System has surpassed its 100th catheterization during multiple preclinical studies, with a 95% success rate of reaching pre-determined vascular targets, such as distal branches of hepatic, gastric, splenic, mesenteric, renal and hypogastric arteries. Moreover, all of the procedures were completed without notable signs of intraoperative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2023, we announced the successful completion of a two-day preclinical study held by leading key opinion leaders at a New York-based research lab, where they performed dozens of catheterizations, including the utilization of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remote operation capabilities, to pre-determined vascular targets, with a 100% success rate of reaching the intended target with no observable on-site complications.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2023, we announced the successful initial outcomes from our pivotal preclinical study with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The pivotal study was conducted by three leading interventional radiologists that utilized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to reach a total of 48 animal targets. A total of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were used in the study. All 6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Systems performed flawlessly, with 100% usability and technical success. No acute adverse events or complications were visually observed intra-operative. In December 2023, we announced that the final histopathology and lab report supplements our previous findings, and that the results of the study will support our Investigational Device Exemption (“IDE”) submission to the FDA to commence human clinical study.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13, 2024, we announced that we received ISO 13485:2016 certification for our quality management system. Receiving ISO 13485 certification indicates that a company has developed and implemented robust policies and procedures for the development and manufacture of regulated medical products. This is a certification ensuring compliance with the Quality Management System (QMS) requirements of the EU Medical Devices Regulation (MDR 2017/745) and supporting our future CE Mark approval, and to ultimately allow us to market the LIBERTY</w:t>
      </w:r>
      <w:r>
        <w:rPr>
          <w:rFonts w:ascii="Times New Roman;Times;Serif" w:hAnsi="Times New Roman;Times;Serif"/>
          <w:b w:val="false"/>
          <w:i w:val="false"/>
          <w:caps w:val="false"/>
          <w:smallCaps w:val="false"/>
          <w:position w:val="7"/>
          <w:sz w:val="16"/>
          <w:sz w:val="20"/>
        </w:rPr>
        <w:t xml:space="preserve">® </w:t>
      </w:r>
      <w:r>
        <w:rPr>
          <w:rFonts w:ascii="Times New Roman;Times;Serif" w:hAnsi="Times New Roman;Times;Serif"/>
          <w:b w:val="false"/>
          <w:i w:val="false"/>
          <w:caps w:val="false"/>
          <w:smallCaps w:val="false"/>
          <w:sz w:val="20"/>
        </w:rPr>
        <w:t>Endovascular Robotic Surgical System in Europe as well as other regions who accept the CE Mark. We anticipate CE Mark approval in the second half of 2026. However, we can give no assurance that we will meet this or any other projected milestones, if ever. In addition, in view of the recent revision published by the U.S. Food &amp; Drug Administration (FDA) regarding the quality system management regulation and its incorporation by reference of the ISO 13485 standard, we believe it will help streamline our transition into this revised FDA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10, 2024, we announced that we submitted a 510(k) premarket notification to the U.S. Food and Drug Administration (FDA) for our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System. The 510(k) submission follows the successful completion of our multi-center, single-arm, trial to evaluate the performance and safety of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in human subjects undergoing Peripheral Vascular Interventions.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FDA marketing clearance during the second quarter of 2025, with U.S. commercialization activities expected to commence after the clearance.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agreement with Emory University, which will allow the parties to evaluate and explore the potential for a future collaboration in connection with autonomous robotics in endovascular procedures. Under the terms of the agreement, Emory University will assume the responsibility of exploring the feasibility of integrating the LIBERTY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Endovascular Robotic Surgical System with an imaging system to create an autonomous robotic system for endovascular procedures.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NovaCross</w:t>
      </w:r>
      <w:r>
        <w:rPr>
          <w:rFonts w:ascii="Times New Roman;Times;Serif" w:hAnsi="Times New Roman;Times;Serif"/>
          <w:b/>
          <w:i/>
          <w:caps w:val="false"/>
          <w:smallCaps w:val="false"/>
          <w:position w:val="7"/>
          <w:sz w:val="16"/>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6, 2022, we purchased substantially all of the assets, including intellectual property, devices, components and product related materials of Nitiloop Ltd., an Israeli limited liability company. The assets include intellectual property and technology in the field of intraluminal revascularization devices with anchoring mechanism and integrated microcatheter, and the products or potential products incorporating the technology owned by Nitiloop and designated by Nitiloop as “NovaCross”, “NovaCross Xtreme” and “NovaCross BTK” and any enhancements, modifications and improvements.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was incorporated on August 2, 1988 in the State of Delaware under the name Cellular Transplants, Inc. The original Certificate of Incorporation was restated on February 14, 1992 to change the name of the Company to CytoTherapeutics, Inc. On May 24, 2000, the Certificate of Incorporation as restated was further amended to change the name of the Company to StemCells, Inc. On November 28, 2016, C&amp;RD Israel Ltd., a wholly-owned subsidiary the Company,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 On November 29, 2016, our common stock began trading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address is 175 Derby St., Bld. 27, Hingham, MA 02043. Microbot also has an executive office at 6 Hayozma Street, Yokneam,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and financial results are subject to various risk and uncertainties. Before deciding to invest in our securities, you should carefully consider the factors described under “Risk Factors” beginning on page 7 of this prospectus, as well as the other information included elsewhere in this prospectus, and the risk factors described under “Part I, Item 1A. Risk Factors” in our most recent Annual Report on Form 10-K and in any subsequently-filed Quarterly Reports on Form 10-Q, and those contained in our other filings with the SEC that are incorporated by reference in this prospectus. Any of the foregoing risk factors could adversely affect our business, results of operations, financial condition and prospects. Additional risks and uncertainties not presently known to us or that we currently deem immaterial may also adversely affect our business operations.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stockholders identified in this prospectus of up to 1,769,966 shares of our common stock,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1,685,682 shares of our common stock issued or issuable upon the exercise of outstanding series E preferred investment options expiring in July 2029, at an exercise price per share of $1.50;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to certain of the selling stockholders upon the exercise of outstanding preferred investment options expiring in July 2029, at an exercise price per share of $2.025.</w:t>
            </w:r>
          </w:p>
        </w:tc>
      </w:tr>
    </w:tbl>
    <w:p>
      <w:pPr>
        <w:pStyle w:val="TextBody"/>
        <w:bidi w:val="0"/>
        <w:spacing w:before="0" w:after="0"/>
        <w:ind w:left="0" w:right="0" w:hanging="0"/>
        <w:jc w:val="left"/>
        <w:rPr>
          <w:caps w:val="false"/>
          <w:smallCaps w:val="false"/>
        </w:rPr>
      </w:pPr>
      <w:r>
        <w:rPr>
          <w:caps w:val="false"/>
          <w:smallCaps w:val="false"/>
        </w:rPr>
        <w:t> </w:t>
      </w:r>
    </w:p>
    <w:tbl>
      <w:tblPr>
        <w:tblW w:w="6010" w:type="dxa"/>
        <w:jc w:val="left"/>
        <w:tblInd w:w="0" w:type="dxa"/>
        <w:tblLayout w:type="fixed"/>
        <w:tblCellMar>
          <w:top w:w="0" w:type="dxa"/>
          <w:left w:w="0" w:type="dxa"/>
          <w:bottom w:w="0" w:type="dxa"/>
          <w:right w:w="0" w:type="dxa"/>
        </w:tblCellMar>
      </w:tblPr>
      <w:tblGrid>
        <w:gridCol w:w="4445"/>
        <w:gridCol w:w="60"/>
        <w:gridCol w:w="1505"/>
      </w:tblGrid>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offered by the selling stockholders (1)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1,769,966 shares</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outstanding before the offering (2)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34,744,476 shares</w:t>
            </w:r>
          </w:p>
        </w:tc>
      </w:tr>
      <w:tr>
        <w:trPr/>
        <w:tc>
          <w:tcPr>
            <w:tcW w:w="44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Common stock to be outstanding after the offering (3)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35,903,925 shares</w:t>
            </w:r>
          </w:p>
        </w:tc>
      </w:tr>
      <w:tr>
        <w:trPr/>
        <w:tc>
          <w:tcPr>
            <w:tcW w:w="44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 Symbol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MBOT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Of such shares, an aggregate of 610,517 shares underlying options have been previously exercised and, upon information and belief, sold by the exercising optionholders. </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Based on the number of shares outstanding as of March 25, 2025, and includes the above-referenced 610,517 shares of our common stock previously issued upon the exercise of the same number of our series E preferred investment options in January 2025. </w:t>
            </w:r>
          </w:p>
        </w:tc>
      </w:tr>
      <w:tr>
        <w:trPr/>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Assumes the exercise of all of the 1,769,966 options held by the selling stockholders, the underlying shares of which are being registered pursuant to the registration statement of which this prospectus forms a part. Does not include the exercise of any other options or warrants that may be outstanding or issuable, including those that may be held by the selling stockholders.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1,769,966 shares of common stock issued or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$2.7 million in gross proceeds if all of the 1,769,966 preferred investment options are exercised by the selling stockholders for cash. As of the date of this prospectus, we have received approximately $915,000 from the exercise of such options.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our capital stock and do not anticipate paying any dividends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a Registration Statement on Form S-3, of which this prospectus forms a part, to satisfy registration rights we granted to the selling stockholders.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risks. Before deciding whether to purchase our securities, you should carefully consider the risk factors incorporated by reference from our Annual Report on Form 10-K for the year ended December 31, 2024 filed with the SEC on March 25, 2025, under the heading “Item 1A. Risk Factors”, any updates to those risk factors contained in our subsequently filed Quarterly Reports on Form 10-Q or Current Reports on Form 8-K and the other information contained in this prospectus or any applicable prospectus supplement, as updated by those subsequent filings with the SEC under the Securities Exchange Act of 1934, as amended (the “Exchange Act”) that are incorporated herein by reference. These risks could materially affect our business, results of operations and financial condition and could cause the value of our securities to decline in value, in which case you may lose all or part of your investment. For more information, see “Where You Can Find More Information” and “Incorporation of Certain Documents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may be required to confirm the safety and demonstrate the efficacy of our planned products; uncertainty as to whether the U.S. Food and Drug Administration, or the FDA, or other regulatory authorities will clear our proposed products for commercialization and sale; the risk that any planned clinical trials or studies could be substantially delayed beyond their expected dates or cause us to incur substantial unanticipated costs; uncertainties in our ability to obtain the capital resources needed to continue our current or future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regulatory and military developments in Israel including disruptions resulting from new and ongoing hostilities between Israel and the Palestinians, such as employees of Microbot and its vendors and business partners being called to active military duty; and other risks to which we are subject.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w:t>
      </w:r>
      <w:r>
        <w:rPr>
          <w:rFonts w:ascii="Times New Roman;Times;Serif" w:hAnsi="Times New Roman;Times;Serif"/>
          <w:b w:val="false"/>
          <w:i/>
          <w:caps w:val="false"/>
          <w:smallCaps w:val="false"/>
          <w:sz w:val="20"/>
        </w:rPr>
        <w:t>Business</w:t>
      </w:r>
      <w:r>
        <w:rPr>
          <w:rFonts w:ascii="Times New Roman;Times;Serif" w:hAnsi="Times New Roman;Times;Serif"/>
          <w:b w:val="false"/>
          <w:i w:val="false"/>
          <w:caps w:val="false"/>
          <w:smallCaps w:val="false"/>
          <w:sz w:val="20"/>
        </w:rPr>
        <w:t>,”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and “</w:t>
      </w:r>
      <w:r>
        <w:rPr>
          <w:rFonts w:ascii="Times New Roman;Times;Serif" w:hAnsi="Times New Roman;Times;Serif"/>
          <w:b w:val="false"/>
          <w:i/>
          <w:caps w:val="false"/>
          <w:smallCaps w:val="false"/>
          <w:sz w:val="20"/>
        </w:rPr>
        <w:t>Management’s Discussion and Analysis of Financial Condition and Results of Operations</w:t>
      </w:r>
      <w:r>
        <w:rPr>
          <w:rFonts w:ascii="Times New Roman;Times;Serif" w:hAnsi="Times New Roman;Times;Serif"/>
          <w:b w:val="false"/>
          <w:i w:val="false"/>
          <w:caps w:val="false"/>
          <w:smallCaps w:val="false"/>
          <w:sz w:val="20"/>
        </w:rPr>
        <w:t>,”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1,769,966 shares of common stock issued or issuable upon the exercise of currently outstanding preferred investment options, in each case that are being offered for resale by the selling stockholders will be sold for the accounts of the selling stockholders named in this prospectus. As a result, all proceeds from the sales of such shares of common stock offered for resale hereby will go to the selling stockholders and we will not receive any proceeds from the resale of those shares of common stock by the selling stockholders.</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receive up to a total of approximately $2.7 million in gross proceeds if all of the 1,769,966 preferred investment options are exercised by the selling stockholders for cash. As of the date of this prospectus, we have received approximately $915,000 from the exercise of such options. However, as we are unable to predict the timing or amount of potential exercises of the options, we have not allocated any proceeds of such exercises to any particular purpose. Accordingly, all such proceeds, if any would be allocated to working capital. Pursuant to conditions set forth in the options, the options are exercisable under certain circumstances on a cashless basis, and should a selling stockholder elect to exercise on a cashless basis we will not receive any proceeds from the sale of common stock issued upon the cashless exercise of the option.</w:t>
      </w:r>
    </w:p>
    <w:p>
      <w:pPr>
        <w:pStyle w:val="TextBody"/>
        <w:bidi w:val="0"/>
        <w:spacing w:before="0" w:after="0"/>
        <w:ind w:left="138"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incur all costs associated with this registration statement and 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SELLING STOCKHOLDERS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 forth certain information regarding the selling stockholders and the shares of common stock beneficially owned by them. The selling stockholders may offer the shares under this prospectus from time to time and may elect to sell some, all or none of the shares set forth under this prospectus. However, for the purposes of the table below, we have assumed that, after completion of the offering, none of the shares covered by this prospectus will be held by the selling stockholders. In addition, a selling stockholder may have sold, transferred or otherwise disposed of all or a portion of that holder’s shares of common stock since the date on which the selling stockholder provided information for this table. We have not made independent inquiries about such transfers or dispositions. See the section entitled “Plan of Distribution” beginning on page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Rule 13d-3(d) promulgated by the SEC under the Exchange Act. Unless otherwise provided, the percentage of shares beneficially owned prior to the offering is based on 34,744,476 shares of our common stock outstanding as of March 25, 2025.</w:t>
      </w:r>
    </w:p>
    <w:p>
      <w:pPr>
        <w:pStyle w:val="TextBody"/>
        <w:bidi w:val="0"/>
        <w:spacing w:before="0" w:after="0"/>
        <w:ind w:left="0" w:right="0" w:hanging="0"/>
        <w:jc w:val="both"/>
        <w:rPr>
          <w:caps w:val="false"/>
          <w:smallCaps w:val="false"/>
        </w:rPr>
      </w:pPr>
      <w:r>
        <w:rPr>
          <w:caps w:val="false"/>
          <w:smallCaps w:val="false"/>
        </w:rPr>
        <w:t> </w:t>
      </w:r>
    </w:p>
    <w:tbl>
      <w:tblPr>
        <w:tblW w:w="9982" w:type="dxa"/>
        <w:jc w:val="left"/>
        <w:tblInd w:w="0" w:type="dxa"/>
        <w:tblLayout w:type="fixed"/>
        <w:tblCellMar>
          <w:top w:w="0" w:type="dxa"/>
          <w:left w:w="0" w:type="dxa"/>
          <w:bottom w:w="0" w:type="dxa"/>
          <w:right w:w="0" w:type="dxa"/>
        </w:tblCellMar>
      </w:tblPr>
      <w:tblGrid>
        <w:gridCol w:w="2300"/>
        <w:gridCol w:w="60"/>
        <w:gridCol w:w="90"/>
        <w:gridCol w:w="1294"/>
        <w:gridCol w:w="60"/>
        <w:gridCol w:w="60"/>
        <w:gridCol w:w="113"/>
        <w:gridCol w:w="806"/>
        <w:gridCol w:w="80"/>
        <w:gridCol w:w="60"/>
        <w:gridCol w:w="130"/>
        <w:gridCol w:w="1869"/>
        <w:gridCol w:w="290"/>
        <w:gridCol w:w="60"/>
        <w:gridCol w:w="100"/>
        <w:gridCol w:w="1434"/>
        <w:gridCol w:w="81"/>
        <w:gridCol w:w="81"/>
        <w:gridCol w:w="124"/>
        <w:gridCol w:w="795"/>
        <w:gridCol w:w="95"/>
      </w:tblGrid>
      <w:tr>
        <w:trPr/>
        <w:tc>
          <w:tcPr>
            <w:tcW w:w="23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84"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vAlign w:val="center"/>
          </w:tcPr>
          <w:p>
            <w:pPr>
              <w:pStyle w:val="TableContents"/>
              <w:bidi w:val="0"/>
              <w:spacing w:before="0" w:after="283"/>
              <w:jc w:val="center"/>
              <w:rPr>
                <w:caps w:val="false"/>
                <w:smallCaps w:val="false"/>
              </w:rPr>
            </w:pPr>
            <w:r>
              <w:rPr>
                <w:caps w:val="false"/>
                <w:smallCaps w:val="false"/>
              </w:rPr>
              <w:t> </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99" w:type="dxa"/>
            <w:gridSpan w:val="2"/>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15"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Beneficially</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Owned After Sale of All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Pursuant to this</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Any Sale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Class</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9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Common</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Stock Offered</w:t>
            </w:r>
          </w:p>
        </w:tc>
        <w:tc>
          <w:tcPr>
            <w:tcW w:w="29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81" w:type="dxa"/>
            <w:tcBorders/>
            <w:vAlign w:val="center"/>
          </w:tcPr>
          <w:p>
            <w:pPr>
              <w:pStyle w:val="TableContents"/>
              <w:bidi w:val="0"/>
              <w:spacing w:before="0" w:after="283"/>
              <w:jc w:val="center"/>
              <w:rPr>
                <w:caps w:val="false"/>
                <w:smallCaps w:val="false"/>
              </w:rPr>
            </w:pPr>
            <w:r>
              <w:rPr>
                <w:caps w:val="false"/>
                <w:smallCaps w:val="false"/>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Class</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Armistice Capital, LLC</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1,533,336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1,360,517</w:t>
            </w:r>
          </w:p>
        </w:tc>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783,336</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Intracoastal Capital, LLC</w:t>
            </w:r>
            <w:r>
              <w:rPr>
                <w:rFonts w:ascii="Times New Roman;Times;Serif" w:hAnsi="Times New Roman;Times;Serif"/>
                <w:b w:val="false"/>
                <w:i w:val="false"/>
                <w:caps w:val="false"/>
                <w:smallCaps w:val="false"/>
                <w:position w:val="7"/>
                <w:sz w:val="16"/>
                <w:sz w:val="20"/>
              </w:rPr>
              <w:t>(2)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8,685,074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221,062</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7,324,557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CVI Investments, Inc.</w:t>
            </w:r>
            <w:r>
              <w:rPr>
                <w:rFonts w:ascii="Times New Roman;Times;Serif" w:hAnsi="Times New Roman;Times;Serif"/>
                <w:b w:val="false"/>
                <w:i w:val="false"/>
                <w:caps w:val="false"/>
                <w:smallCaps w:val="false"/>
                <w:position w:val="7"/>
                <w:sz w:val="16"/>
                <w:sz w:val="20"/>
              </w:rPr>
              <w:t>(3)(4)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9,507,077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104,103</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9,402,974</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Noam Rubenstein</w:t>
            </w:r>
            <w:r>
              <w:rPr>
                <w:rFonts w:ascii="Times New Roman;Times;Serif" w:hAnsi="Times New Roman;Times;Serif"/>
                <w:b w:val="false"/>
                <w:i w:val="false"/>
                <w:caps w:val="false"/>
                <w:smallCaps w:val="false"/>
                <w:position w:val="7"/>
                <w:sz w:val="16"/>
                <w:sz w:val="20"/>
              </w:rPr>
              <w:t>(5)(6)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346,006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26,549</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319,457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Vasinkevich</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704,370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54,047</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650,323</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Schwabe</w:t>
            </w:r>
            <w:r>
              <w:rPr>
                <w:rFonts w:ascii="Times New Roman;Times;Serif" w:hAnsi="Times New Roman;Times;Serif"/>
                <w:b w:val="false"/>
                <w:i w:val="false"/>
                <w:caps w:val="false"/>
                <w:smallCaps w:val="false"/>
                <w:position w:val="7"/>
                <w:sz w:val="16"/>
                <w:sz w:val="20"/>
              </w:rPr>
              <w:t>(5)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37,072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2,845</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34,227</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Charles Worthman</w:t>
            </w:r>
            <w:r>
              <w:rPr>
                <w:rFonts w:ascii="Times New Roman;Times;Serif" w:hAnsi="Times New Roman;Times;Serif"/>
                <w:b w:val="false"/>
                <w:i w:val="false"/>
                <w:caps w:val="false"/>
                <w:smallCaps w:val="false"/>
                <w:position w:val="7"/>
                <w:sz w:val="16"/>
                <w:sz w:val="20"/>
              </w:rPr>
              <w:t>(5)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10,985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86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843</w:t>
            </w:r>
          </w:p>
        </w:tc>
        <w:tc>
          <w:tcPr>
            <w:tcW w:w="29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10,142</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r>
              <w:rPr>
                <w:rFonts w:ascii="Times New Roman;Times;Serif" w:hAnsi="Times New Roman;Times;Serif"/>
                <w:b/>
                <w:i w:val="false"/>
                <w:caps w:val="false"/>
                <w:smallCaps w:val="false"/>
                <w:position w:val="7"/>
                <w:sz w:val="16"/>
                <w:sz w:val="20"/>
              </w:rPr>
              <w:t>(7)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869"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1,769,966</w:t>
            </w:r>
          </w:p>
        </w:tc>
        <w:tc>
          <w:tcPr>
            <w:tcW w:w="29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3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4"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shares offered represent shares of our common stock underlying options or shares already issued upon exercise of options. In June 2023, the selling stockholder exercised options on a cashless basis into 385,246 shares of our common stock. The number of shares offered includes the full amount of such shares underlying options pre-exercise, even if some of those shares have been exercised or options expired.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options are subject to a beneficial ownership limitation of 4.99%, which such limitation restricts the selling stockholder from exercising that portion of the options that would result in it and its affiliates owning, after exercise, a number of shares of common stock in excess of the beneficial ownership limitation. The amounts and percentages in the table do not give effect to the beneficial ownership limitations. The address of Armistice Capital and the Master Fund is c/o Armistice Capital, LLC, 510 Madison Avenue, 7th Floor, New York, NY 10022.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options to purchase shares of our common stock. Mitchell P. Kopin (“Mr. Kopin”) and Daniel B. Asher (“Mr. Asher”), each of whom are managers of Intracoastal Capital LLC (“Intracoastal”), have shared voting control and investment discretion over the securities reported herein that are held by Intracoastal. As a result, each of Mr. Kopin and Mr. Asher may be deemed to have beneficial ownership (as determined under Section 13(d) of the Securities Exchange Act of 1934, as amended (the “Exchange Act”)) of the securities reported herein that are held by Intracoastal. The options are subject to a beneficial ownership limitation of 4.99% or 9.99%, which such limitation restricts the selling stockholder from exercising that portion of the options that would result in the selling stockholder and its affiliates owning, after exercise, a number of shares of common stock in excess of the beneficial ownership limitation. The principal business office of Intracoastal is 245 Palm Trail, Delray Beach, FL 33483. </w:t>
            </w:r>
          </w:p>
        </w:tc>
      </w:tr>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options to purchase shares of our common stock. Heights Capital Management, Inc. (“Heights”), the authorized agent of CVI Investments, Inc. (“CVI”), has discretionary authority to vote and dispose of the shares held by CVI and may be deemed to be the beneficial owner of these shares. Martin Kobinger, in his capacity as President of Heights, may also be deemed to have investment discretion and voting power over the shares held by CVI. Mr. Kobinger disclaims any such beneficial ownership of the shares. CVI is affiliated with one or more FINRA members, none of whom are currently expected to participate in the sale pursuant to the Registration Statement on Form S-3 of which this prospectus forms a part. Pursuant to a Schedule 13G filed by CVI on January 13, 2025, Heights and CVI beneficially owned approximately 6.1% of our common stock, based on 20,651,434 shares outstanding at December 4, 2024. The options are subject to a beneficial ownership limitation of 4.99% or 9.99%, as the case may be, which such limitation restricts the selling stockholder from exercising that portion of the options that would result in the selling stockholder and its affiliates owning, after exercise, a number of shares of common stock in excess of the beneficial ownership limitation. The address of CVI is c/o Heights Capital Management, Inc., 101 California Street, Suite 3250, San Francisco, CA 94111.</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an affiliate of a registered broker-dealer.</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Consists of warrants or options to purchase shares of common stock. Each of such selling stockholders is affiliated with H.C. Wainwright &amp; Co., LLC, a registered broker dealer with a registered address of c/o H.C. Wainwright &amp; Co., LLC, 430 Park Ave, 3rd Floor, New York, NY 10022, and has sole voting and dispositive power over the securities held. The number of shares beneficially owned prior to this offering consist of shares of common stock issuable upon exercise of placement agent warrants, which were received as compensation for placement agent services provided by Wainwright to the Company from time to time over the last three years. Such selling stockholder acquired the placement agent warrants in the ordinary course of business and, at the time the placement agent warrants were acquired, the selling stockholder had no agreement or understanding, directly or indirectly, with any person to distribute such securities. </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include an aggregate of 938,968 shares of our common stock and an aggregate of 2,863,716 shares of common stock underlying preferred investment options held by Stuywater Capital LLC, of which Mr. Rubenstein is the sole member and has sole voting and investment control. Such options are subject to a beneficial ownership limitation of 4.99%o.</w:t>
            </w:r>
          </w:p>
        </w:tc>
      </w:tr>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take into account any 4.99% beneficial ownership limitation that certain of the selling stockholders are subject to.</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about any other selling stockholders will be included in prospectus supplements or post-effective amendments, if required. Information about the selling stockholders may change from time to time. Any changed information with respect to which we are given notice will be included in prospectus supplements.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Relationships with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connection with the transactions described above and elsewhere in this prospectus, we have not had any material relationships with the selling stockholders in the last three years.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a_007"/>
      <w:bookmarkEnd w:id="8"/>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which, as used herein, includes donees, pledgees, transferees or other successors-in-interest selling shares of common stock or interests in shares of common stock received after the date of this prospectus from a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use any one or more of the following methods when disposing of shares or interests therein:</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effected after the date the registration statement of which this prospectus is a part is declared effective by the SEC;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stockholders to sell a specified number of such shares at a stipulated price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by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stockholders to include the pledgee, transferee or other successors-in-interest as selling stockholders under this prospectus. The selling stockholders also may transfer the shares of common stock in other circumstances, in which case the transferees, pledgees or other successors-in-interest will be the selling beneficial owners for purposes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stockholders from the sale of the common stock offered by them will be the purchase price of the common stock less discounts or commissions, if any. Each of the selling stockholders reserves the right to accept and, together with their agents from time to time, to reject, in whole or in part, any proposed purchase of common stock to be made directly or through agents. We will not receive any of the proceeds from this offering. Upon any exercise of the warrants by payment of cash, however, we will receive the exercise price of the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resell all or a portion of the shares in open market transactions in reliance upon Rule 144 under the Securities Act, provided that they meet the criteria and conform to the requirements of that rule.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underwriters, broker-dealers or agents that participate in the sale of the common stock or interests therein may be “underwriters” within the meaning of Section 2(11) of the Securities Act. Any discounts, commissions, concessions or profit they earn on any resale of the shares may be underwriting discounts and commissions under the Securities Act. Selling stockholders who are “underwriters” within the meaning of Section 2(11) of the Securities Act will be subject to the prospectus delivery requirements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arising in connection with the registration statement of which this prospectus is a part.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DESCRIPTION OF CAPITAL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summarizes the material terms of our capital stock as of the date of this prospectus. Because it is only a summary, it does not contain all the information that may be important to you. For a complete description of our capital stock, you should refer to our certificate of incorporation and our bylaws, and to the provisions of applicable Nevada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authorized capital stock consists of 60,000,000 shares of common stock, par value $0.01, of which 34,744,476 shares were issued and outstanding as of March 25, 2025 and 1,000,000 shares of preferred stock, none of which are issued and outstanding. Our preferred stock and/or common stock may be issued from time to time without prior approval by our stockholders. Our preferred stock and/or common stock may be issued for such consideration as may be fixed from time to time by our Board of Directors. Our Board of Directors may issue such shares of our preferred stock in one or more series, with such voting powers, designations, preferences and rights or qualifications, limitations or restrictions thereof as shall be stated in the resolution or resolutions.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seeking stockholder approval to increase the number of authorized shares of our common stock to 120,000,000, at a special meeting of stockholders expected to be held on April 11, 2025.</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authorized to issue 60,000,000 shares of common stock, $0.01 par value. Each share of common stock shall have one vote per share for all purposes. The holders of a majority of the shares entitled to vote, present in person or represented by proxy shall constitute a quorum at all meetings of our stockholders. Our common stock does not provide preemptive, subscription or conversion rights and there are no redemption or sinking fund provisions or rights. Our common stock holders are not entitled to cumulative voting for election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1,000,000 shares of preferred stock. Our Board of Directors is authorized to cause us to issue, from our authorized but unissued shares of preferred stock, one or more series of preferred stock, to establish from time to time the number of shares to be included in each such series, as well as to fix the designation and any preferences, conversion and other rights and limitations of such series. These rights and limitations may include voting powers, limitations as to dividends, and qualifications and terms and conditions of redemption of the shares of each such series. As of the date of this prospectus, no shares of our preferred stock were outstanding or designated.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2025, we had: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3,022,145 shares of our common stock issuable upon the exercise of outstanding stock options granted to employees, directors and consultants, with exercise prices ranging from approximately $0.005 to $15.75 and having a weighted-average exercise price of $4.19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156,585 shares of our common stock reserved for future grant under our 2017 Equity Incentive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127,217 shares of our common stock reserved for future grant under our 2020 Omnibus Performance Award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Preferred Investment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2025, we had outstanding: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51,125 shares of our common stock issuable upon the exercise of outstanding warrants expiring in October 2027, at an exercise price per share of $6.1125;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32,778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60,476 shares of our common stock issuable upon the exercise of outstanding warrants expiring in November 2026, at an exercise price per share of $2.75;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35,088 shares of our common stock issuable upon the exercise of outstanding warrants expiring in November 2026, at an exercise price per share of $2.6719;</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1,075,165 shares of our common stock issuable upon the exercise of outstanding series E preferred investment options expiring in July 2029, at an exercise price per share of $1.50;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3,133,338 shares of our common stock issuable upon the exercise of outstanding series F preferred investment options expiring in June 2026, at an exercise price per share of $1.50;</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8,000,002 shares of our common stock issuable upon the exercise of outstanding series G preferred investment options expiring in January 2027, at an exercise price per share of $1.75;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7,577,100 shares of our common stock issuable upon the exercise of outstanding series H preferred investment options expiring in January 2027, at an exercise price per share of $2.10;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12,206,578 shares of our common stock issuable upon the exercise of outstanding series I preferred investment options, expiring two years after the later of (i) the Authorized Share Increase Date and (ii) the Stockholder Approval Date, at an exercise price per share of $2.13;</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31,231 shares of our common stock issuable upon the exercise of outstanding warrants expiring in June 2028, at an exercise price per share of $4.0625;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84,284 shares of our common stock issuable upon the exercise of outstanding placement agent preferred investment options expiring in July 2029, at an exercise price per share of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78,333 shares of our common stock issuable upon the exercise of outstanding placement agent preferred investment options expiring in June 2026, at an exercise price per share of $1.875;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200,000 shares of our common stock issuable upon the exercise of outstanding placement agent preferred investment options expiring in January 2027, at an exercise price per share of $2.1875;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189,428 shares of our common stock issuable upon the exercise of outstanding placement agent preferred investment options expiring in January 2027, at an exercise price per share of $2.8375;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305,164 shares of our common stock issuable upon the exercise of placement agent preferred investment options, expiring two years after the later of (i) the Authorized Share Increase Date and (ii) the Stockholder Approval Date, at an exercise price per share of $2.6625;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30,526 shares of our common stock issuable upon the exercise of placement agent preferred investment options, expiring in July 2030, at an exercise price per share of $1.875.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registered pursuant to the Registration Statement on Form S-3 of which this prospectus forms a part, are underlying our originally issued 1,685,682 series E preferred investment options expiring in July 2029, of which 610,517 have been subsequently exercised, and our 84,284 outstanding placement agent preferred investment options.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our common stock are currently quoted on the Nasdaq Capital Market under the symbol “MBOT”.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of our common stock is Computershare Trust Company, N.A. Its address is 150 Royall Street, Canton, MA 02021.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Certain Provisions of Delaware Law and of the Company’s Certificate of Incorporation and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Staggered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provisions for stockholder proposals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 stockholder action by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stockholder vote required for certain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of Liability and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pStyle w:val="TextBody"/>
        <w:bidi w:val="0"/>
        <w:spacing w:before="0" w:after="0"/>
        <w:ind w:left="0" w:right="0" w:hanging="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75"/>
        <w:gridCol w:w="170"/>
        <w:gridCol w:w="91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breach of the director’s duty of loyalty to us or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acts or omissions not in good faith or which involve intentional misconduct or a knowing violation of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174 of the DGCL;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any transaction from which the director derived an improper personal benefit.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being offered under this prospectus by us is being passed upon for us by Ruskin Moscou Faltischek, P.C., Uniondale, New York.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EXPERTS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Microbot Medical Inc. as of December 31, 2024 and 2023, and for each of the two years in the period ended December 31, 2024, incorporated by reference in this Prospectus, have been audited by Brightman Almagor Zohar and Co., a Firm in the Deloitte Global Network, an independent registered public accounting firm, as stated in their report. Such consolidated financial statements are incorporated by reference in reliance upon the report of such firm given their authority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reporting requirements of the Exchange Act and file annual, quarterly and current reports, proxy statements and other information with the SEC. SEC filings are available at the SEC’s website at http://www.sec.gov.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a_012"/>
      <w:bookmarkEnd w:id="13"/>
      <w:r>
        <w:rPr>
          <w:rFonts w:ascii="Times New Roman;Times;Serif" w:hAnsi="Times New Roman;Times;Serif"/>
          <w:b/>
          <w:i w:val="false"/>
          <w:caps w:val="false"/>
          <w:smallCaps w:val="false"/>
          <w:sz w:val="20"/>
        </w:rPr>
        <w:t>INCORPORATION OF CERTAIN INFORMATION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year ended December 31, 2024 filed with the SEC on March 25, 2025;</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Current Reports on Form 8-K filed with the SEC on </w:t>
            </w:r>
            <w:hyperlink r:id="rId4">
              <w:r>
                <w:rPr>
                  <w:rStyle w:val="InternetLink"/>
                  <w:rFonts w:ascii="Times New Roman;Times;Serif" w:hAnsi="Times New Roman;Times;Serif"/>
                  <w:b w:val="false"/>
                  <w:i w:val="false"/>
                  <w:caps w:val="false"/>
                  <w:smallCaps w:val="false"/>
                  <w:sz w:val="20"/>
                </w:rPr>
                <w:t>January 6, 2025</w:t>
              </w:r>
            </w:hyperlink>
            <w:r>
              <w:rPr>
                <w:rFonts w:ascii="Times New Roman;Times;Serif" w:hAnsi="Times New Roman;Times;Serif"/>
                <w:b w:val="false"/>
                <w:i w:val="false"/>
                <w:caps w:val="false"/>
                <w:smallCaps w:val="false"/>
                <w:sz w:val="20"/>
              </w:rPr>
              <w:t xml:space="preserve">, </w:t>
            </w:r>
            <w:hyperlink r:id="rId5">
              <w:r>
                <w:rPr>
                  <w:rStyle w:val="InternetLink"/>
                  <w:rFonts w:ascii="Times New Roman;Times;Serif" w:hAnsi="Times New Roman;Times;Serif"/>
                  <w:b w:val="false"/>
                  <w:i w:val="false"/>
                  <w:caps w:val="false"/>
                  <w:smallCaps w:val="false"/>
                  <w:sz w:val="20"/>
                </w:rPr>
                <w:t>January 7, 2025</w:t>
              </w:r>
            </w:hyperlink>
            <w:r>
              <w:rPr>
                <w:rFonts w:ascii="Times New Roman;Times;Serif" w:hAnsi="Times New Roman;Times;Serif"/>
                <w:b w:val="false"/>
                <w:i w:val="false"/>
                <w:caps w:val="false"/>
                <w:smallCaps w:val="false"/>
                <w:sz w:val="20"/>
              </w:rPr>
              <w:t xml:space="preserve">, </w:t>
            </w:r>
            <w:hyperlink r:id="rId6">
              <w:r>
                <w:rPr>
                  <w:rStyle w:val="InternetLink"/>
                  <w:rFonts w:ascii="Times New Roman;Times;Serif" w:hAnsi="Times New Roman;Times;Serif"/>
                  <w:b w:val="false"/>
                  <w:i w:val="false"/>
                  <w:caps w:val="false"/>
                  <w:smallCaps w:val="false"/>
                  <w:sz w:val="20"/>
                </w:rPr>
                <w:t>January 10, 2025</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January 24, 2025</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January 27, 2025</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February 7, 2025</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February 10, 2025</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February 11, 2025</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February 12, 2025</w:t>
              </w:r>
            </w:hyperlink>
            <w:r>
              <w:rPr>
                <w:rFonts w:ascii="Times New Roman;Times;Serif" w:hAnsi="Times New Roman;Times;Serif"/>
                <w:b w:val="false"/>
                <w:i w:val="false"/>
                <w:caps w:val="false"/>
                <w:smallCaps w:val="false"/>
                <w:sz w:val="20"/>
              </w:rPr>
              <w:t xml:space="preserve"> and </w:t>
            </w:r>
            <w:hyperlink r:id="rId13">
              <w:r>
                <w:rPr>
                  <w:rStyle w:val="InternetLink"/>
                  <w:rFonts w:ascii="Times New Roman;Times;Serif" w:hAnsi="Times New Roman;Times;Serif"/>
                  <w:b w:val="false"/>
                  <w:i w:val="false"/>
                  <w:caps w:val="false"/>
                  <w:smallCaps w:val="false"/>
                  <w:sz w:val="20"/>
                </w:rPr>
                <w:t>February 25, 2025</w:t>
              </w:r>
            </w:hyperlink>
            <w:r>
              <w:rPr>
                <w:rFonts w:ascii="Times New Roman;Times;Serif" w:hAnsi="Times New Roman;Times;Serif"/>
                <w:b w:val="false"/>
                <w:i w:val="false"/>
                <w:caps w:val="false"/>
                <w:smallCaps w:val="false"/>
                <w:sz w:val="20"/>
              </w:rPr>
              <w:t xml:space="preserve"> (except in each case for information contained therein which is furnished rather than filed);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of our common stock contained in our registration statement on Form 8-A filed August 3, 1998, under the Exchange Act, including any amendment or report filed for the purpose of updating such description; and</w:t>
            </w:r>
          </w:p>
        </w:tc>
      </w:tr>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subsequently filed by us pursuant to Sections 13(a), 13(c), 14 and 15(d) of the Exchange Act, including all such reports and documents we may file with the SEC after the date of filing of the registration statement of which this prospectus forms a part and prior to the effectiveness of such registration statement, except as to any portion of any report or documents that is not deemed filed under such provisions, prior to the termination of this offering.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file number for each of the documents listed above is 000-19871.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Attn: Chief Financial Officer, 175 Derby St., Bld. 27, Hingham, MA 02043. You may also telephone us at (781) 875-3605.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Other Expenses of Issuance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various expenses in connection with the sale and distribution of the securities being registered, all of which are being borne by us.</w:t>
      </w:r>
    </w:p>
    <w:p>
      <w:pPr>
        <w:pStyle w:val="TextBody"/>
        <w:bidi w:val="0"/>
        <w:spacing w:before="0" w:after="0"/>
        <w:ind w:left="0" w:right="0" w:hanging="0"/>
        <w:jc w:val="left"/>
        <w:rPr>
          <w:caps w:val="false"/>
          <w:smallCaps w:val="false"/>
        </w:rPr>
      </w:pPr>
      <w:r>
        <w:rPr>
          <w:caps w:val="false"/>
          <w:smallCaps w:val="false"/>
        </w:rPr>
        <w:t> </w:t>
      </w:r>
    </w:p>
    <w:tbl>
      <w:tblPr>
        <w:tblW w:w="4490" w:type="dxa"/>
        <w:jc w:val="center"/>
        <w:tblInd w:w="0" w:type="dxa"/>
        <w:tblLayout w:type="fixed"/>
        <w:tblCellMar>
          <w:top w:w="0" w:type="dxa"/>
          <w:left w:w="0" w:type="dxa"/>
          <w:bottom w:w="0" w:type="dxa"/>
          <w:right w:w="0" w:type="dxa"/>
        </w:tblCellMar>
      </w:tblPr>
      <w:tblGrid>
        <w:gridCol w:w="2900"/>
        <w:gridCol w:w="60"/>
        <w:gridCol w:w="140"/>
        <w:gridCol w:w="1040"/>
        <w:gridCol w:w="350"/>
      </w:tblGrid>
      <w:tr>
        <w:trPr/>
        <w:tc>
          <w:tcPr>
            <w:tcW w:w="290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40" w:type="dxa"/>
            <w:tcBorders/>
            <w:shd w:fill="CCEEFF" w:val="clear"/>
            <w:vAlign w:val="center"/>
          </w:tcPr>
          <w:p>
            <w:pPr>
              <w:pStyle w:val="TableContents"/>
              <w:bidi w:val="0"/>
              <w:spacing w:before="0" w:after="283"/>
              <w:jc w:val="right"/>
              <w:rPr/>
            </w:pPr>
            <w:r>
              <w:rPr/>
              <w:t>361.77</w:t>
            </w:r>
          </w:p>
        </w:tc>
        <w:tc>
          <w:tcPr>
            <w:tcW w:w="350" w:type="dxa"/>
            <w:tcBorders/>
            <w:shd w:fill="CCEEFF" w:val="clear"/>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xml:space="preserve">12,000.00 </w:t>
            </w:r>
          </w:p>
        </w:tc>
        <w:tc>
          <w:tcPr>
            <w:tcW w:w="35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pPr>
            <w:r>
              <w:rPr/>
              <w:t>Accounting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 xml:space="preserve">22,000.00 </w:t>
            </w:r>
          </w:p>
        </w:tc>
        <w:tc>
          <w:tcPr>
            <w:tcW w:w="350"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Miscellaneous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2,638.23</w:t>
            </w:r>
          </w:p>
        </w:tc>
        <w:tc>
          <w:tcPr>
            <w:tcW w:w="350"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040" w:type="dxa"/>
            <w:tcBorders/>
            <w:shd w:fill="CCEEFF" w:val="clear"/>
            <w:vAlign w:val="center"/>
          </w:tcPr>
          <w:p>
            <w:pPr>
              <w:pStyle w:val="TableContents"/>
              <w:bidi w:val="0"/>
              <w:spacing w:before="0" w:after="283"/>
              <w:jc w:val="right"/>
              <w:rPr>
                <w:b/>
              </w:rPr>
            </w:pPr>
            <w:r>
              <w:rPr>
                <w:b/>
              </w:rPr>
              <w:t xml:space="preserve">37,000.00 </w:t>
            </w:r>
          </w:p>
        </w:tc>
        <w:tc>
          <w:tcPr>
            <w:tcW w:w="35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965" w:right="0" w:hanging="0"/>
        <w:jc w:val="both"/>
        <w:rPr>
          <w:caps w:val="false"/>
          <w:smallCaps w:val="false"/>
        </w:rPr>
      </w:pPr>
      <w:r>
        <w:rPr>
          <w:caps w:val="false"/>
          <w:smallCaps w:val="false"/>
        </w:rPr>
        <w:t xml:space="preserve">  </w:t>
      </w:r>
    </w:p>
    <w:p>
      <w:pPr>
        <w:pStyle w:val="TextBody"/>
        <w:bidi w:val="0"/>
        <w:ind w:left="1008" w:right="0" w:hanging="0"/>
        <w:jc w:val="left"/>
        <w:rPr>
          <w:bdr w:val="single" w:sz="8" w:space="1" w:color="000000"/>
        </w:rPr>
      </w:pPr>
      <w:r>
        <w:rPr>
          <w:bdr w:val="single" w:sz="8" w:space="1" w:color="000000"/>
        </w:rPr>
        <w:t xml:space="preserve">  </w:t>
      </w:r>
    </w:p>
    <w:p>
      <w:pPr>
        <w:pStyle w:val="TextBody"/>
        <w:bidi w:val="0"/>
        <w:spacing w:before="0" w:after="0"/>
        <w:ind w:left="965"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Previously paid. </w:t>
      </w:r>
    </w:p>
    <w:p>
      <w:pPr>
        <w:pStyle w:val="TextBody"/>
        <w:bidi w:val="0"/>
        <w:spacing w:before="0" w:after="0"/>
        <w:ind w:left="965"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Indemnification of Directors and Officers.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Delaware General Corporation Law (“DGCL”) permits, in general, a Delaware corporation, to indemnify any person who was or is a party to any proceeding (other than an action by, or in the right of, the corporation) by reason of the fact that or she is or was a director, or officer, of the corporation, or served another business enterprise in any capacity at the request of the corporation, against liability incurred in connection with such proceeding, including the expenses (including attorneys’ fees), judgments, fines and amounts paid in settlement actually and reasonably incurred by him in connection with such proceeding if such person acted in good faith and in a manner he or she reasonably believed to be in, or not opposed to, the best interests of the corporation and, in criminal actions or proceedings, additionally had no reasonable cause to believe that his or her conduct was unlawful. A Delaware corporation’s power to indemnify applies to actions brought by or in the right of the corporation, but only to the extent of expenses (including attorneys’ fees) actually and reasonably incurred by the person in connection with the defense or settlement of the action or suit, provided that no indemnification shall be provided in such actions in the event of any adjudication of negligence or misconduct in the performance of such person’s duties to the corporation, unless a court believes that in light of all the circumstances indemnification should apply. Section 145 of the DGCL also permits, in general, a Delaware corporation to purchase and maintain insurance on behalf of any person who is or was a director or officer of the corporation, or served another entity in any capacity at the request of the corporation, against liability incurred by such person in such capacity, whether or not the corporation would have the power to indemnify such person against such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102(b)(7) of the DGCL permits a corporation to include in its certificate of incorporation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that involve intentional misconduct or a knowing violation of law, (iii) under Section 174 of the DGCL or (iv) for any transaction from which the director derived an improper personal benefit.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indemnification agreements with each of its directors and executive officers. These indemnification agreements may require the Company, among other things, to indemnify its directors and officers for some expenses, including attorneys’ fees, judgments, fines and settlement amounts incurred by a director or officer in any action or proceeding arising out of his or her service as one of the Company’s directors or officers, or any of its subsidiaries or any other company or enterprise to which the person provides services at our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Exhibit Index is hereby incorporated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undersigned registrant hereby undertakes: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To file, during any period in which offers or sales are being made, a post-effective amendment to this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include any prospectus required by section 10(a)(3) of the Securities Act of 1933;</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To remove from registration by means of a post-effective amendment any of the securities being registered which remain unsold at the termination of the offering.</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That, for the purpose of determining liability under the Securities Act of 1933 to any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prospectus filed by the registrant pursuant to Rule 424(b)(3) shall be deemed to be part of the registration statement as of the date the filed prospectus was deemed part of and included in the registration statement; and</w:t>
      </w:r>
    </w:p>
    <w:p>
      <w:pPr>
        <w:pStyle w:val="TextBody"/>
        <w:bidi w:val="0"/>
        <w:spacing w:before="0" w:after="0"/>
        <w:ind w:left="810" w:right="0" w:firstLine="45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sz w:val="20"/>
        </w:rPr>
        <w:t>bona fide</w:t>
      </w:r>
      <w:r>
        <w:rPr>
          <w:rFonts w:ascii="Times New Roman;Times;Serif" w:hAnsi="Times New Roman;Times;Serif"/>
          <w:b w:val="false"/>
          <w:i w:val="false"/>
          <w:caps w:val="false"/>
          <w:smallCaps w:val="false"/>
          <w:sz w:val="20"/>
        </w:rPr>
        <w:t xml:space="preserve"> offering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pStyle w:val="TextBody"/>
        <w:bidi w:val="0"/>
        <w:spacing w:before="0" w:after="0"/>
        <w:ind w:left="360" w:right="0" w:firstLine="360"/>
        <w:jc w:val="both"/>
        <w:rPr>
          <w:caps w:val="false"/>
          <w:smallCaps w:val="false"/>
        </w:rPr>
      </w:pPr>
      <w:r>
        <w:rPr>
          <w:caps w:val="false"/>
          <w:smallCaps w:val="false"/>
        </w:rPr>
        <w:t> </w:t>
      </w:r>
    </w:p>
    <w:p>
      <w:pPr>
        <w:pStyle w:val="TextBody"/>
        <w:bidi w:val="0"/>
        <w:spacing w:before="0" w:after="0"/>
        <w:ind w:left="36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preliminary prospectus or prospectus of the undersigned registrant relating to the offering required to be filed pursuant to Rule 424;</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free writing prospectus relating to the offering prepared by or on behalf of the undersigned registrant or used or referred to by the undersigned registrant;</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portion of any other free writing prospectus relating to the offering containing material information about the undersigned registrant or its securities provided by or on behalf of the undersigned registrant; and</w:t>
      </w:r>
    </w:p>
    <w:p>
      <w:pPr>
        <w:pStyle w:val="TextBody"/>
        <w:bidi w:val="0"/>
        <w:spacing w:before="0" w:after="0"/>
        <w:ind w:left="810" w:right="0" w:firstLine="45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communication that is an offer in the offering made by the undersigned registrant to the purchaser.</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pStyle w:val="TextBody"/>
        <w:bidi w:val="0"/>
        <w:spacing w:before="0" w:after="0"/>
        <w:ind w:left="36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31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day of March, 2025.</w:t>
      </w:r>
    </w:p>
    <w:p>
      <w:pPr>
        <w:pStyle w:val="TextBody"/>
        <w:bidi w:val="0"/>
        <w:spacing w:before="0" w:after="0"/>
        <w:ind w:left="0" w:right="0" w:firstLine="720"/>
        <w:jc w:val="both"/>
        <w:rPr>
          <w:caps w:val="false"/>
          <w:smallCaps w:val="false"/>
        </w:rPr>
      </w:pPr>
      <w:r>
        <w:rPr>
          <w:caps w:val="false"/>
          <w:smallCaps w:val="false"/>
        </w:rPr>
        <w:t> </w:t>
      </w:r>
    </w:p>
    <w:tbl>
      <w:tblPr>
        <w:tblW w:w="4435" w:type="dxa"/>
        <w:jc w:val="left"/>
        <w:tblInd w:w="0" w:type="dxa"/>
        <w:tblLayout w:type="fixed"/>
        <w:tblCellMar>
          <w:top w:w="0" w:type="dxa"/>
          <w:left w:w="0" w:type="dxa"/>
          <w:bottom w:w="0" w:type="dxa"/>
          <w:right w:w="0" w:type="dxa"/>
        </w:tblCellMar>
      </w:tblPr>
      <w:tblGrid>
        <w:gridCol w:w="75"/>
        <w:gridCol w:w="320"/>
        <w:gridCol w:w="40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3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0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040" w:type="dxa"/>
            <w:tcBorders/>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Chairman, President and Chief Executive Officer</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2045"/>
        <w:gridCol w:w="60"/>
        <w:gridCol w:w="3965"/>
        <w:gridCol w:w="60"/>
        <w:gridCol w:w="1325"/>
      </w:tblGrid>
      <w:tr>
        <w:trPr/>
        <w:tc>
          <w:tcPr>
            <w:tcW w:w="2045"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center"/>
              <w:rPr/>
            </w:pPr>
            <w:r>
              <w:rPr/>
              <w:t> </w:t>
            </w:r>
          </w:p>
        </w:tc>
        <w:tc>
          <w:tcPr>
            <w:tcW w:w="3965" w:type="dxa"/>
            <w:tcBorders>
              <w:bottom w:val="single" w:sz="8" w:space="0" w:color="000000"/>
            </w:tcBorders>
            <w:vAlign w:val="center"/>
          </w:tcPr>
          <w:p>
            <w:pPr>
              <w:pStyle w:val="TableContents"/>
              <w:bidi w:val="0"/>
              <w:spacing w:before="0" w:after="283"/>
              <w:jc w:val="center"/>
              <w:rPr>
                <w:b/>
                <w:sz w:val="20"/>
              </w:rPr>
            </w:pPr>
            <w:r>
              <w:rPr>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8" w:space="0" w:color="000000"/>
            </w:tcBorders>
            <w:vAlign w:val="center"/>
          </w:tcPr>
          <w:p>
            <w:pPr>
              <w:pStyle w:val="TableContents"/>
              <w:bidi w:val="0"/>
              <w:spacing w:before="0" w:after="283"/>
              <w:jc w:val="center"/>
              <w:rPr>
                <w:b/>
                <w:sz w:val="20"/>
              </w:rPr>
            </w:pPr>
            <w:r>
              <w:rPr>
                <w:b/>
                <w:sz w:val="20"/>
              </w:rPr>
              <w:t>Date</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/s/ Harel Gadot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Chairman, 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Harel Gadot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/s/ Rachel Vaknin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Rachel Vaknin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b/>
                <w:sz w:val="20"/>
              </w:rPr>
            </w:pPr>
            <w:r>
              <w:rPr>
                <w:b/>
                <w:sz w:val="20"/>
              </w:rPr>
              <w:t>Tal Wenderow</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b/>
                <w:sz w:val="20"/>
              </w:rPr>
            </w:pPr>
            <w:r>
              <w:rPr>
                <w:b/>
                <w:sz w:val="20"/>
              </w:rPr>
              <w:t>David J. Wilson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Prattipati Laxminarain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Scott Burell</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Martin Madden</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r>
        <w:trPr/>
        <w:tc>
          <w:tcPr>
            <w:tcW w:w="2045" w:type="dxa"/>
            <w:tcBorders>
              <w:bottom w:val="single" w:sz="8" w:space="0" w:color="000000"/>
            </w:tcBorders>
            <w:vAlign w:val="center"/>
          </w:tcPr>
          <w:p>
            <w:pPr>
              <w:pStyle w:val="TableContents"/>
              <w:bidi w:val="0"/>
              <w:spacing w:before="0" w:after="283"/>
              <w:jc w:val="left"/>
              <w:rPr>
                <w:i/>
                <w:sz w:val="20"/>
              </w:rPr>
            </w:pPr>
            <w:r>
              <w:rPr>
                <w:i/>
                <w:sz w:val="20"/>
              </w:rPr>
              <w:t>*</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sz w:val="20"/>
              </w:rPr>
            </w:pPr>
            <w:r>
              <w:rPr>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sz w:val="20"/>
              </w:rPr>
            </w:pPr>
            <w:r>
              <w:rPr>
                <w:sz w:val="20"/>
              </w:rPr>
              <w:t>March 31, 2025</w:t>
            </w:r>
          </w:p>
        </w:tc>
      </w:tr>
      <w:tr>
        <w:trPr/>
        <w:tc>
          <w:tcPr>
            <w:tcW w:w="2045" w:type="dxa"/>
            <w:tcBorders/>
            <w:tcMar>
              <w:bottom w:w="0" w:type="dxa"/>
            </w:tcMar>
            <w:vAlign w:val="center"/>
          </w:tcPr>
          <w:p>
            <w:pPr>
              <w:pStyle w:val="TableContents"/>
              <w:bidi w:val="0"/>
              <w:spacing w:before="0" w:after="283"/>
              <w:jc w:val="left"/>
              <w:rPr>
                <w:b/>
                <w:sz w:val="20"/>
              </w:rPr>
            </w:pPr>
            <w:r>
              <w:rPr>
                <w:b/>
                <w:sz w:val="20"/>
              </w:rPr>
              <w:t>Aileen Stockburger</w:t>
            </w:r>
          </w:p>
        </w:tc>
        <w:tc>
          <w:tcPr>
            <w:tcW w:w="60" w:type="dxa"/>
            <w:tcBorders/>
            <w:tcMar>
              <w:bottom w:w="0" w:type="dxa"/>
            </w:tcMar>
            <w:vAlign w:val="center"/>
          </w:tcPr>
          <w:p>
            <w:pPr>
              <w:pStyle w:val="TableContents"/>
              <w:bidi w:val="0"/>
              <w:spacing w:before="0" w:after="283"/>
              <w:jc w:val="left"/>
              <w:rPr/>
            </w:pPr>
            <w:r>
              <w:rPr/>
              <w:t> </w:t>
            </w:r>
          </w:p>
        </w:tc>
        <w:tc>
          <w:tcPr>
            <w:tcW w:w="396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589" w:type="dxa"/>
        <w:jc w:val="left"/>
        <w:tblInd w:w="0" w:type="dxa"/>
        <w:tblLayout w:type="fixed"/>
        <w:tblCellMar>
          <w:top w:w="0" w:type="dxa"/>
          <w:left w:w="0" w:type="dxa"/>
          <w:bottom w:w="0" w:type="dxa"/>
          <w:right w:w="0" w:type="dxa"/>
        </w:tblCellMar>
      </w:tblPr>
      <w:tblGrid>
        <w:gridCol w:w="140"/>
        <w:gridCol w:w="538"/>
        <w:gridCol w:w="1911"/>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1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r>
      <w:tr>
        <w:trPr/>
        <w:tc>
          <w:tcPr>
            <w:tcW w:w="140" w:type="dxa"/>
            <w:tcBorders/>
            <w:vAlign w:val="center"/>
          </w:tcPr>
          <w:p>
            <w:pPr>
              <w:pStyle w:val="TableContents"/>
              <w:bidi w:val="0"/>
              <w:spacing w:before="0" w:after="283"/>
              <w:jc w:val="left"/>
              <w:rPr>
                <w:caps w:val="false"/>
                <w:smallCaps w:val="false"/>
              </w:rPr>
            </w:pPr>
            <w:r>
              <w:rPr>
                <w:caps w:val="false"/>
                <w:smallCaps w:val="false"/>
              </w:rPr>
              <w:t> </w:t>
            </w:r>
          </w:p>
        </w:tc>
        <w:tc>
          <w:tcPr>
            <w:tcW w:w="244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 Attorney-in-Fact</w:t>
            </w:r>
          </w:p>
        </w:tc>
      </w:tr>
    </w:tbl>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4">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5">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6">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7">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8">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19">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0">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1">
              <w:r>
                <w:rPr>
                  <w:rStyle w:val="InternetLink"/>
                  <w:rFonts w:ascii="Times New Roman;Times;Serif" w:hAnsi="Times New Roman;Times;Serif"/>
                  <w:b w:val="false"/>
                  <w:i w:val="false"/>
                  <w:caps w:val="false"/>
                  <w:smallCaps w:val="false"/>
                  <w:sz w:val="20"/>
                </w:rPr>
                <w:t>Amendment to Section 5 of the Amended and Restated By-Laws of the Company (incorporated by reference to the Company’s Current Report on Form 8-K filed on May 3, 2021)</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2">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r>
              <w:rPr>
                <w:rFonts w:ascii="Times New Roman;Times;Serif" w:hAnsi="Times New Roman;Times;Serif"/>
                <w:b w:val="false"/>
                <w:i w:val="false"/>
                <w:caps w:val="false"/>
                <w:smallCaps w:val="false"/>
                <w:sz w:val="20"/>
              </w:rPr>
              <w:t>.</w:t>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3">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4">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October 25, 2022)</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5">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23,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6">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7">
              <w:r>
                <w:rPr>
                  <w:rStyle w:val="InternetLink"/>
                  <w:rFonts w:ascii="Times New Roman;Times;Serif" w:hAnsi="Times New Roman;Times;Serif"/>
                  <w:b w:val="false"/>
                  <w:i w:val="false"/>
                  <w:caps w:val="false"/>
                  <w:smallCaps w:val="false"/>
                  <w:sz w:val="20"/>
                </w:rPr>
                <w:t>Form of Warrant Amendment Agreement (incorporated by reference to the Registrant’s Current Report on Form 8-K filed on May 24,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8">
              <w:r>
                <w:rPr>
                  <w:rStyle w:val="InternetLink"/>
                  <w:rFonts w:ascii="Times New Roman;Times;Serif" w:hAnsi="Times New Roman;Times;Serif"/>
                  <w:b w:val="false"/>
                  <w:i w:val="false"/>
                  <w:caps w:val="false"/>
                  <w:smallCaps w:val="false"/>
                  <w:sz w:val="20"/>
                </w:rPr>
                <w:t>Form of Series C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6,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Form of Series D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June 28, 2023)</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Form of Inducement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2,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Form of Series F Preferred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June 4, 2024)</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Series G Preferred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7,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Series H Preferred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January 10,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Series I Preferred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Placement Agent Investment Option (incorporated by reference to the Registrant’s Current Report on Form 8-K filed on February 11, 2025)</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shd w:fill="FFFFFF" w:val="clear"/>
                </w:rPr>
                <w:t>Opinion of Ruskin Moscou Faltischek, P.C.</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Consent of Ruskin Moscou Faltischek, P.C. (contained in Exhibit 5.1)</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shd w:fill="FFFFFF" w:val="clear"/>
                </w:rPr>
                <w:t>Consent of Brightman Almagor Zohar &amp; Co., a firm in the Deloitte Global Network</w:t>
              </w:r>
            </w:hyperlink>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r>
              <w:fldChar w:fldCharType="begin"/>
            </w:r>
            <w:r>
              <w:rPr>
                <w:rStyle w:val="InternetLink"/>
                <w:smallCaps w:val="false"/>
                <w:caps w:val="false"/>
                <w:sz w:val="20"/>
                <w:i w:val="false"/>
                <w:b w:val="false"/>
                <w:rFonts w:ascii="Times New Roman;Times;Serif" w:hAnsi="Times New Roman;Times;Serif"/>
              </w:rPr>
              <w:instrText xml:space="preserve"> HYPERLINK "https://www.sec.gov/Archives/edgar/data/883975/000149315224002198/forms-1.htm" \l "poa_001"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Power of Attorney (included on the signature page hereto)</w:t>
            </w:r>
            <w:r>
              <w:rPr>
                <w:rStyle w:val="InternetLink"/>
                <w:smallCaps w:val="false"/>
                <w:caps w:val="false"/>
                <w:sz w:val="20"/>
                <w:i w:val="false"/>
                <w:b w:val="false"/>
                <w:rFonts w:ascii="Times New Roman;Times;Serif" w:hAnsi="Times New Roman;Times;Serif"/>
              </w:rPr>
              <w:fldChar w:fldCharType="end"/>
            </w:r>
          </w:p>
        </w:tc>
      </w:tr>
      <w:tr>
        <w:trPr/>
        <w:tc>
          <w:tcPr>
            <w:tcW w:w="66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735" w:type="dxa"/>
        <w:jc w:val="left"/>
        <w:tblInd w:w="0" w:type="dxa"/>
        <w:tblLayout w:type="fixed"/>
        <w:tblCellMar>
          <w:top w:w="0" w:type="dxa"/>
          <w:left w:w="0" w:type="dxa"/>
          <w:bottom w:w="0" w:type="dxa"/>
          <w:right w:w="0" w:type="dxa"/>
        </w:tblCellMar>
      </w:tblPr>
      <w:tblGrid>
        <w:gridCol w:w="155"/>
        <w:gridCol w:w="1580"/>
      </w:tblGrid>
      <w:tr>
        <w:trPr/>
        <w:tc>
          <w:tcPr>
            <w:tcW w:w="155" w:type="dxa"/>
            <w:tcBorders/>
            <w:vAlign w:val="center"/>
          </w:tcPr>
          <w:p>
            <w:pPr>
              <w:pStyle w:val="TableContents"/>
              <w:bidi w:val="0"/>
              <w:spacing w:before="0" w:after="283"/>
              <w:jc w:val="left"/>
              <w:rPr/>
            </w:pPr>
            <w:r>
              <w:rPr/>
              <w:t>*</w:t>
            </w:r>
          </w:p>
        </w:tc>
        <w:tc>
          <w:tcPr>
            <w:tcW w:w="1580" w:type="dxa"/>
            <w:tcBorders/>
            <w:vAlign w:val="center"/>
          </w:tcPr>
          <w:p>
            <w:pPr>
              <w:pStyle w:val="TableContents"/>
              <w:bidi w:val="0"/>
              <w:spacing w:before="0" w:after="283"/>
              <w:jc w:val="left"/>
              <w:rPr/>
            </w:pPr>
            <w:r>
              <w:rPr/>
              <w:t>Previously filed.</w:t>
            </w:r>
          </w:p>
        </w:tc>
      </w:tr>
    </w:tbl>
    <w:p>
      <w:pPr>
        <w:pStyle w:val="TextBody"/>
        <w:bidi w:val="0"/>
        <w:spacing w:before="0" w:after="0"/>
        <w:ind w:left="0" w:right="0" w:hanging="0"/>
        <w:jc w:val="righ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14" w:name="ex23-2.htm"/>
      <w:bookmarkStart w:id="15" w:name="ksex232"/>
      <w:bookmarkEnd w:id="14"/>
      <w:bookmarkEnd w:id="1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consent to the incorporation by reference in this Registration Statement on Post-Effective Amendment No. 2 to Form S-1 on Form S-3 (Registration No. 333-276487) of our report dated March 25, 2025, relating to the financial statements of Microbot Medical Inc. appearing in the Annual Report on Form 10-K of Microbot Medical Inc. for the year ended December 31, 2024. We also consent to the reference to us under the heading “Experts” in such Registration Statement.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2025</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883975/000164117225000614/form10-k.htm" TargetMode="External"/><Relationship Id="rId4" Type="http://schemas.openxmlformats.org/officeDocument/2006/relationships/hyperlink" Target="https://www.sec.gov/Archives/edgar/data/883975/000149315225000366/form8-k.htm" TargetMode="External"/><Relationship Id="rId5" Type="http://schemas.openxmlformats.org/officeDocument/2006/relationships/hyperlink" Target="https://www.sec.gov/Archives/edgar/data/883975/000149315225001133/form8-k.htm" TargetMode="External"/><Relationship Id="rId6" Type="http://schemas.openxmlformats.org/officeDocument/2006/relationships/hyperlink" Target="https://www.sec.gov/Archives/edgar/data/883975/000149315225001559/form8-k.htm" TargetMode="External"/><Relationship Id="rId7" Type="http://schemas.openxmlformats.org/officeDocument/2006/relationships/hyperlink" Target="https://www.sec.gov/Archives/edgar/data/883975/000149315225003582/form8-k.htm" TargetMode="External"/><Relationship Id="rId8" Type="http://schemas.openxmlformats.org/officeDocument/2006/relationships/hyperlink" Target="https://www.sec.gov/Archives/edgar/data/883975/000149315225003818/form8-k.htm" TargetMode="External"/><Relationship Id="rId9" Type="http://schemas.openxmlformats.org/officeDocument/2006/relationships/hyperlink" Target="https://www.sec.gov/Archives/edgar/data/883975/000149315225005410/form8-k.htm" TargetMode="External"/><Relationship Id="rId10" Type="http://schemas.openxmlformats.org/officeDocument/2006/relationships/hyperlink" Target="https://www.sec.gov/Archives/edgar/data/883975/000149315225005489/form8-k.htm" TargetMode="External"/><Relationship Id="rId11" Type="http://schemas.openxmlformats.org/officeDocument/2006/relationships/hyperlink" Target="https://www.sec.gov/Archives/edgar/data/883975/000149315225005820/form8-k.htm" TargetMode="External"/><Relationship Id="rId12" Type="http://schemas.openxmlformats.org/officeDocument/2006/relationships/hyperlink" Target="https://www.sec.gov/Archives/edgar/data/883975/000149315225005967/form8-k.htm" TargetMode="External"/><Relationship Id="rId13" Type="http://schemas.openxmlformats.org/officeDocument/2006/relationships/hyperlink" Target="https://www.sec.gov/Archives/edgar/data/883975/000149315225008140/form8-k.htm" TargetMode="External"/><Relationship Id="rId14" Type="http://schemas.openxmlformats.org/officeDocument/2006/relationships/hyperlink" Target="https://www.sec.gov/Archives/edgar/data/883975/000119312516682077/d161430dex21.htm" TargetMode="External"/><Relationship Id="rId15" Type="http://schemas.openxmlformats.org/officeDocument/2006/relationships/hyperlink" Target="https://www.sec.gov/Archives/edgar/data/883975/000095013407005808/f27726exv3w1.htm" TargetMode="External"/><Relationship Id="rId16" Type="http://schemas.openxmlformats.org/officeDocument/2006/relationships/hyperlink" Target="https://www.sec.gov/Archives/edgar/data/883975/000119312516779597/d296933dex31.htm" TargetMode="External"/><Relationship Id="rId17" Type="http://schemas.openxmlformats.org/officeDocument/2006/relationships/hyperlink" Target="https://www.sec.gov/Archives/edgar/data/883975/000149315218012872/ex3-1.htm" TargetMode="External"/><Relationship Id="rId18" Type="http://schemas.openxmlformats.org/officeDocument/2006/relationships/hyperlink" Target="https://www.sec.gov/Archives/edgar/data/883975/000129993316002374/exhibit1.htm" TargetMode="External"/><Relationship Id="rId19" Type="http://schemas.openxmlformats.org/officeDocument/2006/relationships/hyperlink" Target="https://www.sec.gov/Archives/edgar/data/883975/000149315218017395/ex3-1.htm" TargetMode="External"/><Relationship Id="rId20" Type="http://schemas.openxmlformats.org/officeDocument/2006/relationships/hyperlink" Target="https://www.sec.gov/Archives/edgar/data/883975/000149315219013998/ex3-1.htm" TargetMode="External"/><Relationship Id="rId21" Type="http://schemas.openxmlformats.org/officeDocument/2006/relationships/hyperlink" Target="https://www.sec.gov/Archives/edgar/data/883975/000149315221010347/ex3-1.htm" TargetMode="External"/><Relationship Id="rId22" Type="http://schemas.openxmlformats.org/officeDocument/2006/relationships/hyperlink" Target="https://www.sec.gov/Archives/edgar/data/883975/000149315220006338/ex4-10.htm" TargetMode="External"/><Relationship Id="rId23" Type="http://schemas.openxmlformats.org/officeDocument/2006/relationships/hyperlink" Target="https://www.sec.gov/Archives/edgar/data/883975/000149315222029541/ex4-2.htm" TargetMode="External"/><Relationship Id="rId24" Type="http://schemas.openxmlformats.org/officeDocument/2006/relationships/hyperlink" Target="https://www.sec.gov/Archives/edgar/data/883975/000149315222029541/ex4-4.htm" TargetMode="External"/><Relationship Id="rId25" Type="http://schemas.openxmlformats.org/officeDocument/2006/relationships/hyperlink" Target="https://www.sec.gov/Archives/edgar/data/883975/000149315223018718/ex4-1.htm" TargetMode="External"/><Relationship Id="rId26" Type="http://schemas.openxmlformats.org/officeDocument/2006/relationships/hyperlink" Target="https://www.sec.gov/Archives/edgar/data/883975/000149315223018932/ex4-2.htm" TargetMode="External"/><Relationship Id="rId27" Type="http://schemas.openxmlformats.org/officeDocument/2006/relationships/hyperlink" Target="https://www.sec.gov/Archives/edgar/data/883975/000149315223018932/ex10-2.htm" TargetMode="External"/><Relationship Id="rId28" Type="http://schemas.openxmlformats.org/officeDocument/2006/relationships/hyperlink" Target="https://www.sec.gov/Archives/edgar/data/883975/000149315223020309/ex4-1.htm" TargetMode="External"/><Relationship Id="rId29" Type="http://schemas.openxmlformats.org/officeDocument/2006/relationships/hyperlink" Target="https://www.sec.gov/Archives/edgar/data/883975/000149315223020309/ex4-2.htm" TargetMode="External"/><Relationship Id="rId30" Type="http://schemas.openxmlformats.org/officeDocument/2006/relationships/hyperlink" Target="https://www.sec.gov/Archives/edgar/data/883975/000149315223022814/ex4-1.htm" TargetMode="External"/><Relationship Id="rId31" Type="http://schemas.openxmlformats.org/officeDocument/2006/relationships/hyperlink" Target="https://www.sec.gov/Archives/edgar/data/883975/000149315223022814/ex4-2.htm" TargetMode="External"/><Relationship Id="rId32" Type="http://schemas.openxmlformats.org/officeDocument/2006/relationships/hyperlink" Target="https://www.sec.gov/Archives/edgar/data/883975/000149315224000109/ex4-1.htm" TargetMode="External"/><Relationship Id="rId33" Type="http://schemas.openxmlformats.org/officeDocument/2006/relationships/hyperlink" Target="https://www.sec.gov/Archives/edgar/data/883975/000149315224000109/ex4-2.htm" TargetMode="External"/><Relationship Id="rId34" Type="http://schemas.openxmlformats.org/officeDocument/2006/relationships/hyperlink" Target="https://www.sec.gov/Archives/edgar/data/883975/000149315224022560/ex4-1.htm" TargetMode="External"/><Relationship Id="rId35" Type="http://schemas.openxmlformats.org/officeDocument/2006/relationships/hyperlink" Target="https://www.sec.gov/Archives/edgar/data/883975/000149315224022560/ex4-2.htm" TargetMode="External"/><Relationship Id="rId36" Type="http://schemas.openxmlformats.org/officeDocument/2006/relationships/hyperlink" Target="https://www.sec.gov/Archives/edgar/data/883975/000149315225001133/ex4-1.htm" TargetMode="External"/><Relationship Id="rId37" Type="http://schemas.openxmlformats.org/officeDocument/2006/relationships/hyperlink" Target="https://www.sec.gov/Archives/edgar/data/883975/000149315225001133/ex4-2.htm" TargetMode="External"/><Relationship Id="rId38" Type="http://schemas.openxmlformats.org/officeDocument/2006/relationships/hyperlink" Target="https://www.sec.gov/Archives/edgar/data/883975/000149315225001559/ex4-1.htm" TargetMode="External"/><Relationship Id="rId39" Type="http://schemas.openxmlformats.org/officeDocument/2006/relationships/hyperlink" Target="https://www.sec.gov/Archives/edgar/data/883975/000149315225001559/ex4-2.htm" TargetMode="External"/><Relationship Id="rId40" Type="http://schemas.openxmlformats.org/officeDocument/2006/relationships/hyperlink" Target="https://www.sec.gov/Archives/edgar/data/883975/000149315225005820/ex4-1.htm" TargetMode="External"/><Relationship Id="rId41" Type="http://schemas.openxmlformats.org/officeDocument/2006/relationships/hyperlink" Target="https://www.sec.gov/Archives/edgar/data/883975/000149315225005820/ex4-2.htm" TargetMode="External"/><Relationship Id="rId42" Type="http://schemas.openxmlformats.org/officeDocument/2006/relationships/hyperlink" Target="https://www.sec.gov/Archives/edgar/data/883975/000149315224003322/ex5-1.htm" TargetMode="External"/><Relationship Id="rId43" Type="http://schemas.openxmlformats.org/officeDocument/2006/relationships/hyperlink" Target="https://www.sec.gov/Archives/edgar/data/883975/000149315224003322/ex5-1.htm" TargetMode="External"/><Relationship Id="rId44" Type="http://schemas.openxmlformats.org/officeDocument/2006/relationships/hyperlink" Target="https://www.sec.gov/Archives/edgar/data/883975/000149315224002198/ex107.htm" TargetMode="External"/><Relationship Id="rId45" Type="http://schemas.openxmlformats.org/officeDocument/2006/relationships/fontTable" Target="fontTable.xml"/><Relationship Id="rId4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16177</Words>
  <Characters>87237</Characters>
  <CharactersWithSpaces>103595</CharactersWithSpaces>
  <Paragraphs>1400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