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posam.htm"/>
      <w:bookmarkStart w:id="1" w:name="ksformposam"/>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March 27,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333-284688</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Post-Effective Amendment No. 1</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to</w:t>
      </w:r>
      <w:r>
        <w:rPr>
          <w:rFonts w:ascii="Times New Roman;Times;Serif" w:hAnsi="Times New Roman;Times;Serif"/>
          <w:b w:val="false"/>
          <w:i w:val="false"/>
          <w:caps w:val="false"/>
          <w:smallCaps w:val="false"/>
          <w:sz w:val="24"/>
        </w:rPr>
        <w:t xml:space="preserve"> </w:t>
      </w:r>
      <w:r>
        <w:rPr>
          <w:rFonts w:ascii="Times New Roman;Times;Serif" w:hAnsi="Times New Roman;Times;Serif"/>
          <w:b/>
          <w:i w:val="false"/>
          <w:caps w:val="false"/>
          <w:smallCaps w:val="false"/>
          <w:sz w:val="24"/>
        </w:rPr>
        <w:t>Form S-1 on</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94-3078125</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Derby St., Bld. 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Hingham, MA 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875-3605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Derby St., Bld. 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Hingham, MA 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875-3605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E. Fox,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Ruskin Moscou Faltischek, P.C.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1425 RXR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Tower, 15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Uniondale, New York 11556-1425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663-6600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after the effective date of this registration statement, as determined by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1925"/>
        <w:gridCol w:w="230"/>
        <w:gridCol w:w="2345"/>
        <w:gridCol w:w="245"/>
      </w:tblGrid>
      <w:tr>
        <w:trPr/>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center"/>
        <w:rPr>
          <w:caps/>
        </w:rPr>
      </w:pPr>
      <w:r>
        <w:rPr>
          <w:caps/>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of the Securities Act of 1933, AS AMENDED, or until THE registration statement shall become effective on such date as the SECURITIES AND EXCHANGE Commission, acting pursuant to SAID Section 8(</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may determine.</w:t>
      </w:r>
    </w:p>
    <w:p>
      <w:pPr>
        <w:pStyle w:val="TextBody"/>
        <w:bidi w:val="0"/>
        <w:jc w:val="both"/>
        <w:rPr>
          <w:caps/>
        </w:rPr>
      </w:pPr>
      <w:r>
        <w:rPr>
          <w:caps/>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bidi w:val="0"/>
        <w:jc w:val="center"/>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2025, Microbot Medical Inc. (the “Company”) filed a registration statement with the Securities and Exchange Commission (the “SEC”) on Form S-1 (File No. 333-284688) (the “Registration Statement”). The Registration Statement, as amended, was initially declared effective by the SEC on February 13, 2025. This Post-Effective Amendment No. 1 to Form S-1 on Form S-3 (“Amendment No. 1”) is being filed by the Company to (i) convert the Registration Statement into a Registration Statement on Form S-3, which the Company is eligible to use and (ii) to include updated information regarding the selling securityholders named in the prospectus. No additional securities are being registered under this Amendment No. 1. All applicable registration fees were paid at the time of the original filing of the Registration Statement.</w:t>
      </w:r>
    </w:p>
    <w:p>
      <w:pPr>
        <w:pStyle w:val="TextBody"/>
        <w:bidi w:val="0"/>
        <w:spacing w:before="0" w:after="0"/>
        <w:ind w:left="0" w:right="0" w:hanging="0"/>
        <w:jc w:val="both"/>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FF0000"/>
          <w:sz w:val="20"/>
        </w:rPr>
      </w:pPr>
      <w:r>
        <w:rPr>
          <w:rFonts w:ascii="Times New Roman;Times;Serif" w:hAnsi="Times New Roman;Times;Serif"/>
          <w:b/>
          <w:i w:val="false"/>
          <w:caps/>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MARCH 27,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857500" cy="142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1428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15,966,530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or other disposition from time to time of up to 15,966,530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11.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ticker symbol “MBOT.” On March 25, 2025, the last reported closing price of our common stock on the Nasdaq Capital Market was $1.59.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You should review carefully the risks and uncertainties described under the heading “Risk Factors” beginning on page 7 of this prospectus, and under similar headings in any amendments or supplements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2025.</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605"/>
        <w:gridCol w:w="530"/>
      </w:tblGrid>
      <w:tr>
        <w:trPr/>
        <w:tc>
          <w:tcPr>
            <w:tcW w:w="660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Pages</w:t>
            </w:r>
          </w:p>
        </w:tc>
      </w:tr>
      <w:tr>
        <w:trPr/>
        <w:tc>
          <w:tcPr>
            <w:tcW w:w="66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ABOUT THIS PROSPECTUS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60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i w:val="false"/>
                  <w:caps w:val="false"/>
                  <w:smallCaps w:val="false"/>
                  <w:sz w:val="20"/>
                </w:rPr>
                <w:t>PROSPECTUS SUMMARY</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60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i w:val="false"/>
                  <w:caps w:val="false"/>
                  <w:smallCaps w:val="false"/>
                  <w:sz w:val="20"/>
                </w:rPr>
                <w:t>RISK FACTORS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60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i w:val="false"/>
                  <w:caps w:val="false"/>
                  <w:smallCaps w:val="false"/>
                  <w:sz w:val="20"/>
                </w:rPr>
                <w:t>CAUTIONARY NOTE REGARDING FORWARD-LOOKING STATEMENTS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6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i w:val="false"/>
                  <w:caps w:val="false"/>
                  <w:smallCaps w:val="false"/>
                  <w:sz w:val="20"/>
                </w:rPr>
                <w:t>USE OF PROCEEDS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60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i w:val="false"/>
                  <w:caps w:val="false"/>
                  <w:smallCaps w:val="false"/>
                  <w:sz w:val="20"/>
                </w:rPr>
                <w:t>SELLING STOCKHOLDERS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6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i w:val="false"/>
                  <w:caps w:val="false"/>
                  <w:smallCaps w:val="false"/>
                  <w:sz w:val="20"/>
                </w:rPr>
                <w:t>PLAN OF DISTRIBUTION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60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i w:val="false"/>
                  <w:caps w:val="false"/>
                  <w:smallCaps w:val="false"/>
                  <w:sz w:val="20"/>
                </w:rPr>
                <w:t>DESCRIPTION OF SECURITIES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6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i w:val="false"/>
                  <w:caps w:val="false"/>
                  <w:smallCaps w:val="false"/>
                  <w:sz w:val="20"/>
                </w:rPr>
                <w:t>LEGAL MATTERS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i w:val="false"/>
                  <w:caps w:val="false"/>
                  <w:smallCaps w:val="false"/>
                  <w:sz w:val="20"/>
                </w:rPr>
                <w:t>EXPERTS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WHERE YOU CAN FIND MORE INFORMATION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i w:val="false"/>
                  <w:caps w:val="false"/>
                  <w:smallCaps w:val="false"/>
                  <w:sz w:val="20"/>
                </w:rPr>
                <w:t>INCORPORATION OF CERTAIN INFORMATION BY REFERENCE</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0"/>
        <w:ind w:left="0" w:right="0" w:firstLine="72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in this prospectus, the terms “Microbot,” the “Company,” “we,” “our” or “us” in this prospectus refer to Microbot Medical Inc. and its wholly-owned subsidiaries.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7, and the consolidated financial statements and related notes and the other information included or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technological platform, we are developing the first ever fully disposable robot for various endovascular interventional procedures.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Direct Offerings and Concurrent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9, 2025, we entered into a securities purchase agreement with investors,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February 11, 2025, and we raised approximately $11.8 million in aggregate net proceeds from such offerings, after deducting placement agent fees and expenses and related offering expenses. We also issued at closing to the placement agent or its designees, warrants to purchase 305,164 shares of our common stock, which </w:t>
      </w:r>
      <w:r>
        <w:rPr>
          <w:rFonts w:ascii="Times New Roman;Times;Serif" w:hAnsi="Times New Roman;Times;Serif"/>
          <w:b w:val="false"/>
          <w:i w:val="false"/>
          <w:caps w:val="false"/>
          <w:smallCaps w:val="false"/>
          <w:sz w:val="20"/>
          <w:shd w:fill="FFFFFF" w:val="clear"/>
        </w:rPr>
        <w:t>are exercisable on or after the later of (i) the Authorized Share Increase Date and (ii) the Stockholder Approval Date, will expire two years from the initial exercise date (but no later than February 9, 2030), and have an exercise price of $2.6625 per share</w:t>
      </w:r>
      <w:r>
        <w:rPr>
          <w:rFonts w:ascii="Times New Roman;Times;Serif" w:hAnsi="Times New Roman;Times;Serif"/>
          <w:b w:val="false"/>
          <w:i w:val="false"/>
          <w:caps w:val="false"/>
          <w:smallCaps w:val="false"/>
          <w:sz w:val="20"/>
        </w:rPr>
        <w:t>. We are seeking stockholder approval to increase the number of authorized shares of our common stock to 120,000,000 and to approve the issuance of the options and shares underlying the options, at a special meeting of stockholders expected to be held on April 11,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ATM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entering into the ATM Agreement, on July 1, 2024, we filed with the SEC a prospectus supplement relating to the offer, issuance and sale of up to $4,819,905 of our shares of common stock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510(k) Premarket Notification Submission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we announced that we submitted a 510(k) premarket notification to the U.S. Food and Drug Administration (FDA) for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The 510(k) submission follows the successful completion of our multi-center, single-arm, trial to evaluate the performance and safety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human subjects undergoing Peripheral Vascular Interventions.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FDA marketing clearance during the second quarter of 2025, with U.S. commercialization activities expected to commence after the clearance.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Israel-Hamas War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there have been temporary cease fires in such military operations from time to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considered various ongoing risks relating to the military operations and related matters,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our Israeli subcontractors, vendors, suppliers and other companies in which the Company relies, are currently only partially active, as instructed by the relevant authorities;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bidi w:val="0"/>
        <w:spacing w:before="0" w:after="0"/>
        <w:ind w:left="108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platform or possibly other guidewire/microcatheter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addressable markets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its current version includes the peripheral interventional radiology market, with future versions expected to include the Interventional Cardiology and Interventional Neuroradiology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 compact, mobile, disposable and remotely controlled – also may open the opportunity of expanding telerobotic interventions to patients with limited access to life-saving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being designed to have the following attributes: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fully disposable, robotic system for endovascular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Has the potential to be compatible with Microbot’s NitiLoop’s NovaCross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products or possibly other instruments that combines guidewire and microcatheter into a single device. We are currently evaluating this combination in different applications.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and rotational control of its guidewire, as well as linear and rotational control of a guide catheter, and the linear motion for an additional microcatheter (“over the wire”)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reduce physical strain due to the need for heavy lead vests otherwise to be worn during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Its intuitive remote controls aims to simplify advanced procedures while shortening the physician’s learning curve.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System between separate and remote facilities in a coronary simulation model. The project assesses the feasibility of using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to perform simulated cardiovascular interventional procedures across two sites within the Corewell Health™ system located 5 miles apart. The telesurgery feature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still being evaluated and is not covered under the Company’s pending 510(k) premarket submission with the U.S. Food and Drug Administration.</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remote operation capabilities, to pre-determined vascular targets, with a 100% success rate of reaching the intended target with no observable on-site complications.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announced the successful initial outcomes from our pivotal preclinical study with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The pivotal study was conducted by three leading interventional radiologists that utilized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to reach a total of 48 animal targets. A total of 6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were used in the study. All 6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 (MDR 2017/745) and supporting our future CE Mark approval, and to ultimately allow us to market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we announced that we submitted a 510(k) premarket notification to the U.S. Food and Drug Administration (FDA) for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The 510(k) submission follows the successful completion of our multi-center, single-arm, trial to evaluate the performance and safety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human subjects undergoing Peripheral Vascular Interventions.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FDA marketing clearance during the second quarter of 2025, with U.S. commercialization activities expected to commence after the clearance.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with an imaging system to create an autonomous robotic system for endovascular procedures.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NovaCross</w:t>
      </w:r>
      <w:r>
        <w:rPr>
          <w:rFonts w:ascii="Times New Roman;Times;Serif" w:hAnsi="Times New Roman;Times;Serif"/>
          <w:b/>
          <w:i/>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address is 175 Derby St., Bld. 27, Hingham, MA 02043.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financial results are subject to various risk and uncertainties. Before deciding to invest in our securities, you should carefully consider the factors described under “Risk Factors” beginning on page 7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identified in this prospectus of up to 15,966,530 shares of our common stock,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8,000,002 shares of our common stock issuable to certain of the selling stockholders upon the exercise of outstanding series G preferred investment options expiring in January 2027, at an exercise price per share of $1.75;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 shares of our common stock issuable to certain of the selling stockholders upon the exercise of outstanding preferred investment options expiring in January 2027, at an exercise price per share of $2.1875;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7,577,100 shares of our common stock issuable to certain of the selling stockholders upon the exercise of outstanding series H preferred investment options expiring in January 2027, at an exercise price per share of $2.10;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189,428 shares of our common stock issuable to certain of the selling stockholders upon the exercise of outstanding preferred investment options expiring in January 2027, at an exercise price per share of $2.8375.</w:t>
            </w:r>
          </w:p>
        </w:tc>
      </w:tr>
    </w:tbl>
    <w:p>
      <w:pPr>
        <w:pStyle w:val="TextBody"/>
        <w:bidi w:val="0"/>
        <w:spacing w:before="0" w:after="0"/>
        <w:ind w:left="0" w:right="0" w:hanging="0"/>
        <w:jc w:val="center"/>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4400"/>
        <w:gridCol w:w="60"/>
        <w:gridCol w:w="1505"/>
      </w:tblGrid>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offered by the selling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15,966,530 shares</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before the offering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34,744,476 shares</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to be outstanding after the offering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50,711,006 shares</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 Symbol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MBOT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number of shares outstanding as of March 25, 2025.</w:t>
            </w:r>
          </w:p>
        </w:tc>
      </w:tr>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the exercise of all of the 15,966,530 options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15,966,530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up to a total of approximately $30.9 million in gross proceeds if all of the 15,966,530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registration statement and prospectus.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dividends on our capital stock and do not anticipate paying any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S-3, of which this prospectus forms a part, to satisfy registration rights we granted to the selling stockholders.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our planned products; uncertainty as to whether the U.S. Food and Drug Administration, or the FDA, or other regulatory authorities will clear our proposed products for commercialization and sale;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15,966,530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up to a total of approximately $30.9 million in gross proceeds if all of the 15,966,530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registration statement and prospectus.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Unless otherwise provided, the percentage of shares beneficially owned prior to the offering is based on 34,744,476 shares of our common stock outstanding as of March 25, 2025.</w:t>
      </w:r>
    </w:p>
    <w:p>
      <w:pPr>
        <w:pStyle w:val="TextBody"/>
        <w:bidi w:val="0"/>
        <w:spacing w:before="0" w:after="0"/>
        <w:ind w:left="0" w:right="0" w:hanging="0"/>
        <w:jc w:val="both"/>
        <w:rPr>
          <w:caps w:val="false"/>
          <w:smallCaps w:val="false"/>
        </w:rPr>
      </w:pPr>
      <w:r>
        <w:rPr>
          <w:caps w:val="false"/>
          <w:smallCaps w:val="false"/>
        </w:rPr>
        <w:t> </w:t>
      </w:r>
    </w:p>
    <w:tbl>
      <w:tblPr>
        <w:tblW w:w="9752" w:type="dxa"/>
        <w:jc w:val="left"/>
        <w:tblInd w:w="0" w:type="dxa"/>
        <w:tblLayout w:type="fixed"/>
        <w:tblCellMar>
          <w:top w:w="0" w:type="dxa"/>
          <w:left w:w="0" w:type="dxa"/>
          <w:bottom w:w="0" w:type="dxa"/>
          <w:right w:w="0" w:type="dxa"/>
        </w:tblCellMar>
      </w:tblPr>
      <w:tblGrid>
        <w:gridCol w:w="3125"/>
        <w:gridCol w:w="60"/>
        <w:gridCol w:w="90"/>
        <w:gridCol w:w="1294"/>
        <w:gridCol w:w="60"/>
        <w:gridCol w:w="60"/>
        <w:gridCol w:w="125"/>
        <w:gridCol w:w="794"/>
        <w:gridCol w:w="80"/>
        <w:gridCol w:w="60"/>
        <w:gridCol w:w="69"/>
        <w:gridCol w:w="1105"/>
        <w:gridCol w:w="60"/>
        <w:gridCol w:w="60"/>
        <w:gridCol w:w="100"/>
        <w:gridCol w:w="1434"/>
        <w:gridCol w:w="81"/>
        <w:gridCol w:w="81"/>
        <w:gridCol w:w="124"/>
        <w:gridCol w:w="795"/>
        <w:gridCol w:w="95"/>
      </w:tblGrid>
      <w:tr>
        <w:trPr/>
        <w:tc>
          <w:tcPr>
            <w:tcW w:w="31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84"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1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Beneficially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After Sale of All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Pursuant to this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Stockholder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Any Sale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Class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Offered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81" w:type="dxa"/>
            <w:tcBorders/>
            <w:vAlign w:val="center"/>
          </w:tcPr>
          <w:p>
            <w:pPr>
              <w:pStyle w:val="TableContents"/>
              <w:bidi w:val="0"/>
              <w:spacing w:before="0" w:after="283"/>
              <w:jc w:val="center"/>
              <w:rPr>
                <w:caps w:val="false"/>
                <w:smallCaps w:val="false"/>
              </w:rPr>
            </w:pPr>
            <w:r>
              <w:rPr>
                <w:caps w:val="false"/>
                <w:smallCaps w:val="false"/>
              </w:rPr>
              <w:t> </w:t>
            </w:r>
          </w:p>
        </w:tc>
        <w:tc>
          <w:tcPr>
            <w:tcW w:w="81" w:type="dxa"/>
            <w:tcBorders/>
            <w:vAlign w:val="center"/>
          </w:tcPr>
          <w:p>
            <w:pPr>
              <w:pStyle w:val="TableContents"/>
              <w:bidi w:val="0"/>
              <w:spacing w:before="0" w:after="283"/>
              <w:jc w:val="center"/>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Class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Intracoastal Capital, LLC</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8,685,074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4,863,774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3,821,300</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CVI Investments, Inc.</w:t>
            </w:r>
            <w:r>
              <w:rPr>
                <w:rFonts w:ascii="Times New Roman;Times;Serif" w:hAnsi="Times New Roman;Times;Serif"/>
                <w:b w:val="false"/>
                <w:i w:val="false"/>
                <w:caps w:val="false"/>
                <w:smallCaps w:val="false"/>
                <w:position w:val="7"/>
                <w:sz w:val="16"/>
                <w:sz w:val="20"/>
              </w:rPr>
              <w:t>(2)(3)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9,507,077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4,863,774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4,646,303</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Anson Investments Master Fund LP</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7,506,658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3,793,742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3,712,916</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Anson East Master Fund LP</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826,290</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Stuywater Capital LLC</w:t>
            </w:r>
            <w:r>
              <w:rPr>
                <w:rFonts w:ascii="Times New Roman;Times;Serif" w:hAnsi="Times New Roman;Times;Serif"/>
                <w:b w:val="false"/>
                <w:i w:val="false"/>
                <w:caps w:val="false"/>
                <w:smallCaps w:val="false"/>
                <w:position w:val="7"/>
                <w:sz w:val="16"/>
                <w:sz w:val="20"/>
              </w:rPr>
              <w:t>(3)(6)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3,802,684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985,780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2,816,904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Noam Rubenstein</w:t>
            </w:r>
            <w:r>
              <w:rPr>
                <w:rFonts w:ascii="Times New Roman;Times;Serif" w:hAnsi="Times New Roman;Times;Serif"/>
                <w:b w:val="false"/>
                <w:i w:val="false"/>
                <w:caps w:val="false"/>
                <w:smallCaps w:val="false"/>
                <w:position w:val="7"/>
                <w:sz w:val="16"/>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346,006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223,336</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Vasinkevich</w:t>
            </w:r>
            <w:r>
              <w:rPr>
                <w:rFonts w:ascii="Times New Roman;Times;Serif" w:hAnsi="Times New Roman;Times;Serif"/>
                <w:b w:val="false"/>
                <w:i w:val="false"/>
                <w:caps w:val="false"/>
                <w:smallCaps w:val="false"/>
                <w:position w:val="7"/>
                <w:sz w:val="16"/>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704,370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249,721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454,649</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Schwabe</w:t>
            </w:r>
            <w:r>
              <w:rPr>
                <w:rFonts w:ascii="Times New Roman;Times;Serif" w:hAnsi="Times New Roman;Times;Serif"/>
                <w:b w:val="false"/>
                <w:i w:val="false"/>
                <w:caps w:val="false"/>
                <w:smallCaps w:val="false"/>
                <w:position w:val="7"/>
                <w:sz w:val="16"/>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23,929</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Worthman</w:t>
            </w:r>
            <w:r>
              <w:rPr>
                <w:rFonts w:ascii="Times New Roman;Times;Serif" w:hAnsi="Times New Roman;Times;Serif"/>
                <w:b w:val="false"/>
                <w:i w:val="false"/>
                <w:caps w:val="false"/>
                <w:smallCaps w:val="false"/>
                <w:position w:val="7"/>
                <w:sz w:val="16"/>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7,091</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r>
              <w:rPr>
                <w:rFonts w:ascii="Times New Roman;Times;Serif" w:hAnsi="Times New Roman;Times;Serif"/>
                <w:b/>
                <w:i w:val="false"/>
                <w:caps w:val="false"/>
                <w:smallCaps w:val="false"/>
                <w:position w:val="7"/>
                <w:sz w:val="16"/>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15,966,530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the outstanding shares of our common stock.</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options to purchase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4.99% or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 </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Heights Capital Management, Inc. (“Heights”), the authorized agent of CVI Investments, Inc. (“CVI”), has discretionary authority to vote and dispose of the shares held by CVI and may be deemed to be the beneficial owner of these shares. Martin Kobinger, in his capacity as President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S-3 of which this prospectus forms a part. Pursuant to a Schedule 13G filed by CVI on January 13, 2025, Heights and CVI beneficially owned approximately 6.1% of our common stock, based on 20,651,434 shares outstanding at December 4, 2024.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is an affiliate of a registered broker-dealer.</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options to purchase shares of our common stock. Anson Advisors Inc and Anson Funds Management LP, the Co-Investment Advisers of Anson Investments Master Fund LP (“Anson”), hold voting and dispositive power over the common stock held by Anson.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is Maples Corporate Services Limited, PO Box 309, Ugland House, Grand Cayman, KY1-1104, Cayman Islands.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options to purchase shares of our common stock. Anson Advisors Inc and Anson Funds Management LP, the Co-Investment Advisers of Anson East Master Fund LP (“Anson East”), hold voting and dispositive power over the common stock held by Anson East.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East is Maples Corporate Services Limited, PO Box 309, Ugland House, Grand Cayman, KY1-1104, Cayman Islands. </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938,968 shares of our common stock and options to purchase an aggregate of 2,863,716 shares of our common stock. Noam Rubenstein, the sole member of Stuywater Capital LLC (“Stuywater”), has sole voting control and investment discretion over the securities reported herein that are held by Stuywater. As a result, he may be deemed to have beneficial ownership (as determined under Section 13(d) of the Securities Exchange Act of 1934, as amended) of the securities reported herein that are held by Stuywater. The options are subject to a beneficial ownership limitation of 4.99%, which restricts the selling stockholder from exercising that portion of the options that would result in the selling stockholder and its affiliates owning, after exercise, a number of shares of common stock in excess of the beneficial ownership limitation. The address of Stuywater is 430 Park Avenue, 3rd Floor, New York, New York 10022. </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 </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take into account any 4.99% beneficial ownership limitation that certain of the selling stockholders are subject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Relationships with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connection with the transactions described above and elsewhere in this prospectus, we have not had any material relationships with the selling stockholders in the last three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effected after the date the registration statement of which this prospectus is a part is declared effective by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stockholders to sell a specified number of such shares at a stipulated price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by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provided that they meet the criteria and conform to the requirements of that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60,000,000 shares of common stock, par value $0.01, of which 34,744,476 shares were issued and outstanding as of March 25,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to increase the number of authorized shares of our common stock to 120,000,000, at a special meeting of stockholders expected to be held on April 11,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25, 2025, we had: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3,022,145 shares of our common stock issuable upon the exercise of outstanding stock options granted to employees, directors and consultants, with exercise prices ranging from approximately $0.005 to $15.75 and having a weighted-average exercise price of $4.19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156,585 shares of our common stock reserved for future grant under our 2017 Equity Incentive Plan;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127,217 shares of our common stock reserved for future grant under our 2020 Omnibus Performance Award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Preferred Investment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25, 2025, we had outstanding: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51,125 shares of our common stock issuable upon the exercise of outstanding warrants expiring in October 2027, at an exercise price per share of $6.1125;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32,778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60,476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35,088 shares of our common stock issuable upon the exercise of outstanding warrants expiring in November 2026, at an exercise price per share of $2.6719;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1,075,165 shares of our common stock issuable upon the exercise of outstanding series E preferred investment options expiring in July 2029, at an exercise price per share of $1.50;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3,133,338 shares of our common stock issuable upon the exercise of outstanding series F preferred investment options expiring in June 2026, at an exercise price per share of $1.50;</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8,000,002 shares of our common stock issuable upon the exercise of outstanding series G preferred investment options expiring in January 2027, at an exercise price per share of $1.75;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7,577,100 shares of our common stock issuable upon the exercise of outstanding series H preferred investment options expiring in January 2027, at an exercise price per share of $2.10;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31,231 shares of our common stock issuable upon the exercise of outstanding warrants expiring in June 2028, at an exercise price per share of $4.0625;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84,284 shares of our common stock issuable upon the exercise of outstanding placement agent preferred investment options expiring in July 2029, at an exercise price per share of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78,333 shares of our common stock issuable upon the exercise of outstanding placement agent preferred investment options expiring in June 2026, at an exercise price per share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 shares of our common stock issuable upon the exercise of outstanding placement agent preferred investment options expiring in January 2027, at an exercise price per share of $2.1875;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189,428 shares of our common stock issuable upon the exercise of outstanding placement agent preferred investment options expiring in January 2027, at an exercise price per share of $2.8375;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305,164 shares of our common stock issuable upon the exercise of placement agent preferred investment options, expiring two years after the later of (i) the Authorized Share Increase Date and (ii) the Stockholder Approval Date, at an exercise price per share of $2.6625;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30,526 shares of our common stock issuable upon the exercise of placement agent preferred investment options, expiring in July 2030, at an exercise price per share of $1.875.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being registered pursuant to the Registration Statement on Form S-3 of which this prospectus forms a part, are underlying our 8,000,002 outstanding series G preferred investment options, our 7,577,100 outstanding series H preferred investment options expiring in January 2027, and our 389,428 outstanding placement agent preferred investment options.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are currently quoted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of our common stock is Computershare Trust Company, N.A. Its address is 150 Royall Street, Canton, MA 02021.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Provisions of Delaware Law and of the Company’s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Staggered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provisions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stockholder vote required for certain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of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breach of the director’s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acts or omissions not in good faith or which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transaction from which the director derived an improper personal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being offered under this prospectus by us is being passed upon for us by Ruskin Moscou Faltischek, P.C., Uniondale,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and file annual, quarterly and current reports, proxy statements and other information with the SEC. SEC filings are available at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2024 filed with the SEC on March 25,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4">
              <w:r>
                <w:rPr>
                  <w:rStyle w:val="InternetLink"/>
                  <w:rFonts w:ascii="Times New Roman;Times;Serif" w:hAnsi="Times New Roman;Times;Serif"/>
                  <w:b w:val="false"/>
                  <w:i w:val="false"/>
                  <w:caps w:val="false"/>
                  <w:smallCaps w:val="false"/>
                  <w:sz w:val="20"/>
                </w:rPr>
                <w:t>January 6, 2025</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January 7, 2025</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January 10,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January 24,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January 27, 2025</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February 7,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February 10,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February 11,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February 12, 2025</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February 25, 2025</w:t>
              </w:r>
            </w:hyperlink>
            <w:r>
              <w:rPr>
                <w:rFonts w:ascii="Times New Roman;Times;Serif" w:hAnsi="Times New Roman;Times;Serif"/>
                <w:b w:val="false"/>
                <w:i w:val="false"/>
                <w:caps w:val="false"/>
                <w:smallCaps w:val="false"/>
                <w:sz w:val="20"/>
              </w:rPr>
              <w:t xml:space="preserve"> (except in each case for information contained therein which is furnished rather than filed);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our common stock contained in our registration statement on Form 8-A filed August 3, 1998, under the Exchange Act, including any amendment or report filed for the purpose of updating such description;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file number for each of the documents listed above is 000-19871.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in connection with the sale and distribution of the securities being registered, all of which are being borne by us.</w:t>
      </w:r>
    </w:p>
    <w:p>
      <w:pPr>
        <w:pStyle w:val="TextBody"/>
        <w:bidi w:val="0"/>
        <w:spacing w:before="0" w:after="0"/>
        <w:ind w:left="0" w:right="0" w:hanging="0"/>
        <w:jc w:val="left"/>
        <w:rPr>
          <w:caps w:val="false"/>
          <w:smallCaps w:val="false"/>
        </w:rPr>
      </w:pPr>
      <w:r>
        <w:rPr>
          <w:caps w:val="false"/>
          <w:smallCaps w:val="false"/>
        </w:rPr>
        <w:t> </w:t>
      </w:r>
    </w:p>
    <w:tbl>
      <w:tblPr>
        <w:tblW w:w="4215" w:type="dxa"/>
        <w:jc w:val="center"/>
        <w:tblInd w:w="0" w:type="dxa"/>
        <w:tblLayout w:type="fixed"/>
        <w:tblCellMar>
          <w:top w:w="0" w:type="dxa"/>
          <w:left w:w="0" w:type="dxa"/>
          <w:bottom w:w="0" w:type="dxa"/>
          <w:right w:w="0" w:type="dxa"/>
        </w:tblCellMar>
      </w:tblPr>
      <w:tblGrid>
        <w:gridCol w:w="2900"/>
        <w:gridCol w:w="60"/>
        <w:gridCol w:w="140"/>
        <w:gridCol w:w="1040"/>
        <w:gridCol w:w="75"/>
      </w:tblGrid>
      <w:tr>
        <w:trPr/>
        <w:tc>
          <w:tcPr>
            <w:tcW w:w="290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4,864.51</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xml:space="preserve">12,000.00 </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xml:space="preserve">22,000.00 </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4,135.49</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40" w:type="dxa"/>
            <w:tcBorders/>
            <w:shd w:fill="CCEEFF" w:val="clear"/>
            <w:vAlign w:val="center"/>
          </w:tcPr>
          <w:p>
            <w:pPr>
              <w:pStyle w:val="TableContents"/>
              <w:bidi w:val="0"/>
              <w:spacing w:before="0" w:after="283"/>
              <w:jc w:val="right"/>
              <w:rPr>
                <w:b/>
              </w:rPr>
            </w:pPr>
            <w:r>
              <w:rPr>
                <w:b/>
              </w:rPr>
              <w:t xml:space="preserve">43,000.00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Exhibit Index to this registration statement, which Exhibit Index is hereby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include any material information with respect to the plan of distribution not previously disclosed in the registration statement or any material change to such information in the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810" w:right="0" w:firstLine="45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36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GK_001"/>
      <w:bookmarkEnd w:id="14"/>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Hingham, State of Massachusetts, on the 27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2025.</w:t>
      </w:r>
    </w:p>
    <w:p>
      <w:pPr>
        <w:pStyle w:val="TextBody"/>
        <w:bidi w:val="0"/>
        <w:spacing w:before="0" w:after="0"/>
        <w:ind w:left="0" w:right="0" w:firstLine="72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320"/>
        <w:gridCol w:w="4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President and Chief Executive Officer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680" w:type="dxa"/>
        <w:jc w:val="left"/>
        <w:tblInd w:w="0" w:type="dxa"/>
        <w:tblLayout w:type="fixed"/>
        <w:tblCellMar>
          <w:top w:w="0" w:type="dxa"/>
          <w:left w:w="0" w:type="dxa"/>
          <w:bottom w:w="28" w:type="dxa"/>
          <w:right w:w="0" w:type="dxa"/>
        </w:tblCellMar>
      </w:tblPr>
      <w:tblGrid>
        <w:gridCol w:w="2045"/>
        <w:gridCol w:w="60"/>
        <w:gridCol w:w="3965"/>
        <w:gridCol w:w="60"/>
        <w:gridCol w:w="1550"/>
      </w:tblGrid>
      <w:tr>
        <w:trPr/>
        <w:tc>
          <w:tcPr>
            <w:tcW w:w="2045"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3965"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550"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/s/ Harel Gadot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Chairman, President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sz w:val="20"/>
              </w:rPr>
            </w:pPr>
            <w:r>
              <w:rPr>
                <w:sz w:val="20"/>
              </w:rPr>
              <w:t>March 27, 2025</w:t>
            </w:r>
          </w:p>
        </w:tc>
      </w:tr>
      <w:tr>
        <w:trPr/>
        <w:tc>
          <w:tcPr>
            <w:tcW w:w="2045" w:type="dxa"/>
            <w:tcBorders/>
            <w:tcMar>
              <w:bottom w:w="0" w:type="dxa"/>
            </w:tcMar>
            <w:vAlign w:val="center"/>
          </w:tcPr>
          <w:p>
            <w:pPr>
              <w:pStyle w:val="TableContents"/>
              <w:bidi w:val="0"/>
              <w:spacing w:before="0" w:after="283"/>
              <w:jc w:val="left"/>
              <w:rPr>
                <w:b/>
                <w:sz w:val="20"/>
              </w:rPr>
            </w:pPr>
            <w:r>
              <w:rPr>
                <w:b/>
                <w:sz w:val="20"/>
              </w:rPr>
              <w:t>Harel Gadot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/s/ Rachel Vaknin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sz w:val="20"/>
              </w:rPr>
            </w:pPr>
            <w:r>
              <w:rPr>
                <w:sz w:val="20"/>
              </w:rPr>
              <w:t>March 27, 2025</w:t>
            </w:r>
          </w:p>
        </w:tc>
      </w:tr>
      <w:tr>
        <w:trPr/>
        <w:tc>
          <w:tcPr>
            <w:tcW w:w="2045" w:type="dxa"/>
            <w:tcBorders/>
            <w:tcMar>
              <w:bottom w:w="0" w:type="dxa"/>
            </w:tcMar>
            <w:vAlign w:val="center"/>
          </w:tcPr>
          <w:p>
            <w:pPr>
              <w:pStyle w:val="TableContents"/>
              <w:bidi w:val="0"/>
              <w:spacing w:before="0" w:after="283"/>
              <w:jc w:val="left"/>
              <w:rPr>
                <w:b/>
                <w:sz w:val="20"/>
              </w:rPr>
            </w:pPr>
            <w:r>
              <w:rPr>
                <w:b/>
                <w:sz w:val="20"/>
              </w:rPr>
              <w:t>Rachel Vaknin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March 27, 2025</w:t>
            </w:r>
          </w:p>
        </w:tc>
      </w:tr>
      <w:tr>
        <w:trPr/>
        <w:tc>
          <w:tcPr>
            <w:tcW w:w="2045" w:type="dxa"/>
            <w:tcBorders/>
            <w:tcMar>
              <w:bottom w:w="0" w:type="dxa"/>
            </w:tcMar>
            <w:vAlign w:val="center"/>
          </w:tcPr>
          <w:p>
            <w:pPr>
              <w:pStyle w:val="TableContents"/>
              <w:bidi w:val="0"/>
              <w:spacing w:before="0" w:after="283"/>
              <w:jc w:val="left"/>
              <w:rPr>
                <w:b/>
                <w:sz w:val="20"/>
              </w:rPr>
            </w:pPr>
            <w:r>
              <w:rPr>
                <w:b/>
                <w:sz w:val="20"/>
              </w:rPr>
              <w:t>Tal Wenderow</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sz w:val="20"/>
              </w:rPr>
            </w:pPr>
            <w:r>
              <w:rPr>
                <w:sz w:val="20"/>
              </w:rPr>
              <w:t>March 27, 2025</w:t>
            </w:r>
          </w:p>
        </w:tc>
      </w:tr>
      <w:tr>
        <w:trPr/>
        <w:tc>
          <w:tcPr>
            <w:tcW w:w="2045" w:type="dxa"/>
            <w:tcBorders/>
            <w:tcMar>
              <w:bottom w:w="0" w:type="dxa"/>
            </w:tcMar>
            <w:vAlign w:val="center"/>
          </w:tcPr>
          <w:p>
            <w:pPr>
              <w:pStyle w:val="TableContents"/>
              <w:bidi w:val="0"/>
              <w:spacing w:before="0" w:after="283"/>
              <w:jc w:val="left"/>
              <w:rPr>
                <w:b/>
                <w:sz w:val="20"/>
              </w:rPr>
            </w:pPr>
            <w:r>
              <w:rPr>
                <w:b/>
                <w:sz w:val="20"/>
              </w:rPr>
              <w:t>David J. Wilson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sz w:val="20"/>
              </w:rPr>
            </w:pPr>
            <w:r>
              <w:rPr>
                <w:sz w:val="20"/>
              </w:rPr>
              <w:t>March 27, 2025</w:t>
            </w:r>
          </w:p>
        </w:tc>
      </w:tr>
      <w:tr>
        <w:trPr/>
        <w:tc>
          <w:tcPr>
            <w:tcW w:w="2045" w:type="dxa"/>
            <w:tcBorders/>
            <w:tcMar>
              <w:bottom w:w="0" w:type="dxa"/>
            </w:tcMar>
            <w:vAlign w:val="center"/>
          </w:tcPr>
          <w:p>
            <w:pPr>
              <w:pStyle w:val="TableContents"/>
              <w:bidi w:val="0"/>
              <w:spacing w:before="0" w:after="283"/>
              <w:jc w:val="left"/>
              <w:rPr>
                <w:b/>
                <w:sz w:val="20"/>
              </w:rPr>
            </w:pPr>
            <w:r>
              <w:rPr>
                <w:b/>
                <w:sz w:val="20"/>
              </w:rPr>
              <w:t>Prattipati Laxminarain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sz w:val="20"/>
              </w:rPr>
            </w:pPr>
            <w:r>
              <w:rPr>
                <w:sz w:val="20"/>
              </w:rPr>
              <w:t>March 27, 2025</w:t>
            </w:r>
          </w:p>
        </w:tc>
      </w:tr>
      <w:tr>
        <w:trPr/>
        <w:tc>
          <w:tcPr>
            <w:tcW w:w="2045" w:type="dxa"/>
            <w:tcBorders/>
            <w:tcMar>
              <w:bottom w:w="0" w:type="dxa"/>
            </w:tcMar>
            <w:vAlign w:val="center"/>
          </w:tcPr>
          <w:p>
            <w:pPr>
              <w:pStyle w:val="TableContents"/>
              <w:bidi w:val="0"/>
              <w:spacing w:before="0" w:after="283"/>
              <w:jc w:val="left"/>
              <w:rPr>
                <w:b/>
                <w:sz w:val="20"/>
              </w:rPr>
            </w:pPr>
            <w:r>
              <w:rPr>
                <w:b/>
                <w:sz w:val="20"/>
              </w:rPr>
              <w:t>Scott Burell</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sz w:val="20"/>
              </w:rPr>
            </w:pPr>
            <w:r>
              <w:rPr>
                <w:sz w:val="20"/>
              </w:rPr>
              <w:t>March 27, 2025</w:t>
            </w:r>
          </w:p>
        </w:tc>
      </w:tr>
      <w:tr>
        <w:trPr/>
        <w:tc>
          <w:tcPr>
            <w:tcW w:w="2045" w:type="dxa"/>
            <w:tcBorders/>
            <w:tcMar>
              <w:bottom w:w="0" w:type="dxa"/>
            </w:tcMar>
            <w:vAlign w:val="center"/>
          </w:tcPr>
          <w:p>
            <w:pPr>
              <w:pStyle w:val="TableContents"/>
              <w:bidi w:val="0"/>
              <w:spacing w:before="0" w:after="283"/>
              <w:jc w:val="left"/>
              <w:rPr>
                <w:b/>
                <w:sz w:val="20"/>
              </w:rPr>
            </w:pPr>
            <w:r>
              <w:rPr>
                <w:b/>
                <w:sz w:val="20"/>
              </w:rPr>
              <w:t>Martin Madden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sz w:val="20"/>
              </w:rPr>
            </w:pPr>
            <w:r>
              <w:rPr>
                <w:sz w:val="20"/>
              </w:rPr>
              <w:t>March 27, 2025</w:t>
            </w:r>
          </w:p>
        </w:tc>
      </w:tr>
      <w:tr>
        <w:trPr/>
        <w:tc>
          <w:tcPr>
            <w:tcW w:w="2045" w:type="dxa"/>
            <w:tcBorders/>
            <w:tcMar>
              <w:bottom w:w="0" w:type="dxa"/>
            </w:tcMar>
            <w:vAlign w:val="center"/>
          </w:tcPr>
          <w:p>
            <w:pPr>
              <w:pStyle w:val="TableContents"/>
              <w:bidi w:val="0"/>
              <w:spacing w:before="0" w:after="283"/>
              <w:jc w:val="left"/>
              <w:rPr>
                <w:b/>
                <w:sz w:val="20"/>
              </w:rPr>
            </w:pPr>
            <w:r>
              <w:rPr>
                <w:b/>
                <w:sz w:val="20"/>
              </w:rPr>
              <w:t>Aileen Stockburger</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589" w:type="dxa"/>
        <w:jc w:val="left"/>
        <w:tblInd w:w="0" w:type="dxa"/>
        <w:tblLayout w:type="fixed"/>
        <w:tblCellMar>
          <w:top w:w="0" w:type="dxa"/>
          <w:left w:w="0" w:type="dxa"/>
          <w:bottom w:w="0" w:type="dxa"/>
          <w:right w:w="0" w:type="dxa"/>
        </w:tblCellMar>
      </w:tblPr>
      <w:tblGrid>
        <w:gridCol w:w="140"/>
        <w:gridCol w:w="538"/>
        <w:gridCol w:w="1911"/>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24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 Attorney-in-Fact</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Agreement and Plan of Merger and Reorganization, dated as of August 15, 2016, by and among StemCells, Inc., C&amp;RD Israel Ltd. and Microbot Medical Ltd. (incorporated by reference to the Company’s Current Report on Form 8-K filed on August 15, 2016)</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Restated Certificate of Incorporation of the Company (incorporated by reference to the Company’s Annual Report on Form 10-K for the fiscal year ended December 31, 2006 and filed on March 15, 2007).</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Certificate of Amendment to the Restated Certificate of Incorporation of the Company (incorporated by reference to the Company’s Current Report on Form 8-K filed on November 29, 2016)</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4, 2018)</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Amended and Restated By-Laws of the Company (incorporated by reference to the Company’s Current Report on Form 8-K filed on May 3, 2016)</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Certificate of Elimination (incorporated by reference to the Company’s Current Report on Form 8-K filed on December 12, 2018)</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11, 2019)</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Amendment to Section 5 of the Amended and Restated By-Laws of the Company (incorporated by reference to the Company’s Current Report on Form 8-K filed on May 3, 2021)</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Description of the Company’s Securities (incorporated by reference to the Registrant’s Annual Report on Form 10-K for the fiscal year ended December 31, 2019)</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Form of Series A Warrant (incorporated by reference to the Registrant’s Current Report on Form 8-K filed on October 25, 2022)</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October 25, 2022)</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23,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24,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Warrant Amendment Agreement (incorporated by reference to the Registrant’s Current Report on Form 8-K filed on May 24,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Series C Warrant (incorporated by reference to the Registrant’s Current Report on Form 8-K filed on June 6,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6,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Series D Warrant (incorporated by reference to the Registrant’s Current Report on Form 8-K filed on June 28,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28,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Inducement Investment Option (incorporated by reference to the Registrant’s Current Report on Form 8-K filed on January 2,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2,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Series F Preferred Investment Option (incorporated by reference to the Registrant’s Current Report on Form 8-K filed on June 4,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June 4,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Series G Preferred Investment Option (incorporated by reference to the Registrant’s Current Report on Form 8-K filed on January 7,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7,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Form of Series H Preferred Investment Option (incorporated by reference to the Registrant’s Current Report on Form 8-K filed on January 10,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10,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Form of Series I Preferred Investment Option (incorporated by reference to the Registrant’s Current Report on Form 8-K filed on February 11,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February 11,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shd w:fill="FFFFFF" w:val="clear"/>
                </w:rPr>
                <w:t>Opinion of Ruskin Moscou Faltischek, P.C.</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Consent of Ruskin Moscou Faltischek, P.C. (contained in Exhibit 5.1)</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shd w:fill="FFFFFF" w:val="clear"/>
                </w:rPr>
                <w:t>Consent of Brightman Almagor Zohar &amp; Co., a firm in the Deloitte Global Network</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"https://www.sec.gov/Archives/edgar/data/883975/000149315225004863/forms-1.htm" \l "sm_002"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 (included on the signature page hereto)</w:t>
            </w:r>
            <w:r>
              <w:rPr>
                <w:rStyle w:val="InternetLink"/>
                <w:smallCaps w:val="false"/>
                <w:caps w:val="false"/>
                <w:sz w:val="20"/>
                <w:i w:val="false"/>
                <w:b w:val="false"/>
                <w:rFonts w:ascii="Times New Roman;Times;Serif" w:hAnsi="Times New Roman;Times;Serif"/>
              </w:rPr>
              <w:fldChar w:fldCharType="end"/>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735" w:type="dxa"/>
        <w:jc w:val="left"/>
        <w:tblInd w:w="0" w:type="dxa"/>
        <w:tblLayout w:type="fixed"/>
        <w:tblCellMar>
          <w:top w:w="0" w:type="dxa"/>
          <w:left w:w="0" w:type="dxa"/>
          <w:bottom w:w="0" w:type="dxa"/>
          <w:right w:w="0" w:type="dxa"/>
        </w:tblCellMar>
      </w:tblPr>
      <w:tblGrid>
        <w:gridCol w:w="155"/>
        <w:gridCol w:w="1580"/>
      </w:tblGrid>
      <w:tr>
        <w:trPr/>
        <w:tc>
          <w:tcPr>
            <w:tcW w:w="15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left"/>
              <w:rPr/>
            </w:pPr>
            <w:r>
              <w:rPr/>
              <w:t>Previously filed.</w:t>
            </w:r>
          </w:p>
        </w:tc>
      </w:tr>
    </w:tbl>
    <w:p>
      <w:pPr>
        <w:pStyle w:val="TextBody"/>
        <w:bidi w:val="0"/>
        <w:spacing w:before="0" w:after="0"/>
        <w:ind w:left="0" w:right="0" w:hanging="0"/>
        <w:jc w:val="righ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5" w:name="ex23-2.htm"/>
      <w:bookmarkStart w:id="16" w:name="ksex232"/>
      <w:bookmarkEnd w:id="15"/>
      <w:bookmarkEnd w:id="1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Post-Effective Amendment No. 1 to Form S-1 on Form S-3 (Registration No.: 333-284688) of our report dated March 25, 2025, relating to the financial statements of Microbot Medical Inc. appearing in the Annual Report on Form 10-K of Microbot Medical Inc. for the year ended December 31, 2024.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Brightman Almagor Zohar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Brightman Almagor Zohar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Firm in the Deloitte Global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83975/000164117225000614/form10-k.htm" TargetMode="External"/><Relationship Id="rId4" Type="http://schemas.openxmlformats.org/officeDocument/2006/relationships/hyperlink" Target="https://www.sec.gov/Archives/edgar/data/883975/000149315225000366/form8-k.htm" TargetMode="External"/><Relationship Id="rId5" Type="http://schemas.openxmlformats.org/officeDocument/2006/relationships/hyperlink" Target="https://www.sec.gov/Archives/edgar/data/883975/000149315225001133/form8-k.htm" TargetMode="External"/><Relationship Id="rId6" Type="http://schemas.openxmlformats.org/officeDocument/2006/relationships/hyperlink" Target="https://www.sec.gov/Archives/edgar/data/883975/000149315225001559/form8-k.htm" TargetMode="External"/><Relationship Id="rId7" Type="http://schemas.openxmlformats.org/officeDocument/2006/relationships/hyperlink" Target="https://www.sec.gov/Archives/edgar/data/883975/000149315225003582/form8-k.htm" TargetMode="External"/><Relationship Id="rId8" Type="http://schemas.openxmlformats.org/officeDocument/2006/relationships/hyperlink" Target="https://www.sec.gov/Archives/edgar/data/883975/000149315225003818/form8-k.htm" TargetMode="External"/><Relationship Id="rId9" Type="http://schemas.openxmlformats.org/officeDocument/2006/relationships/hyperlink" Target="https://www.sec.gov/Archives/edgar/data/883975/000149315225005410/form8-k.htm" TargetMode="External"/><Relationship Id="rId10" Type="http://schemas.openxmlformats.org/officeDocument/2006/relationships/hyperlink" Target="https://www.sec.gov/Archives/edgar/data/883975/000149315225005489/form8-k.htm" TargetMode="External"/><Relationship Id="rId11" Type="http://schemas.openxmlformats.org/officeDocument/2006/relationships/hyperlink" Target="https://www.sec.gov/Archives/edgar/data/883975/000149315225005820/form8-k.htm" TargetMode="External"/><Relationship Id="rId12" Type="http://schemas.openxmlformats.org/officeDocument/2006/relationships/hyperlink" Target="https://www.sec.gov/Archives/edgar/data/883975/000149315225005967/form8-k.htm" TargetMode="External"/><Relationship Id="rId13" Type="http://schemas.openxmlformats.org/officeDocument/2006/relationships/hyperlink" Target="https://www.sec.gov/Archives/edgar/data/883975/000149315225008140/form8-k.htm" TargetMode="External"/><Relationship Id="rId14" Type="http://schemas.openxmlformats.org/officeDocument/2006/relationships/hyperlink" Target="https://www.sec.gov/Archives/edgar/data/883975/000119312516682077/d161430dex21.htm" TargetMode="External"/><Relationship Id="rId15" Type="http://schemas.openxmlformats.org/officeDocument/2006/relationships/hyperlink" Target="https://www.sec.gov/Archives/edgar/data/883975/000095013407005808/f27726exv3w1.htm" TargetMode="External"/><Relationship Id="rId16" Type="http://schemas.openxmlformats.org/officeDocument/2006/relationships/hyperlink" Target="https://www.sec.gov/Archives/edgar/data/883975/000119312516779597/d296933dex31.htm" TargetMode="External"/><Relationship Id="rId17" Type="http://schemas.openxmlformats.org/officeDocument/2006/relationships/hyperlink" Target="https://www.sec.gov/Archives/edgar/data/883975/000149315218012872/ex3-1.htm" TargetMode="External"/><Relationship Id="rId18" Type="http://schemas.openxmlformats.org/officeDocument/2006/relationships/hyperlink" Target="https://www.sec.gov/Archives/edgar/data/883975/000129993316002374/exhibit1.htm" TargetMode="External"/><Relationship Id="rId19" Type="http://schemas.openxmlformats.org/officeDocument/2006/relationships/hyperlink" Target="https://www.sec.gov/Archives/edgar/data/883975/000149315218017395/ex3-1.htm" TargetMode="External"/><Relationship Id="rId20" Type="http://schemas.openxmlformats.org/officeDocument/2006/relationships/hyperlink" Target="https://www.sec.gov/Archives/edgar/data/883975/000149315219013998/ex3-1.htm" TargetMode="External"/><Relationship Id="rId21" Type="http://schemas.openxmlformats.org/officeDocument/2006/relationships/hyperlink" Target="https://www.sec.gov/Archives/edgar/data/883975/000149315221010347/ex3-1.htm" TargetMode="External"/><Relationship Id="rId22" Type="http://schemas.openxmlformats.org/officeDocument/2006/relationships/hyperlink" Target="https://www.sec.gov/Archives/edgar/data/883975/000149315220006338/ex4-10.htm" TargetMode="External"/><Relationship Id="rId23" Type="http://schemas.openxmlformats.org/officeDocument/2006/relationships/hyperlink" Target="https://www.sec.gov/Archives/edgar/data/883975/000149315222029541/ex4-2.htm" TargetMode="External"/><Relationship Id="rId24" Type="http://schemas.openxmlformats.org/officeDocument/2006/relationships/hyperlink" Target="https://www.sec.gov/Archives/edgar/data/883975/000149315222029541/ex4-4.htm" TargetMode="External"/><Relationship Id="rId25" Type="http://schemas.openxmlformats.org/officeDocument/2006/relationships/hyperlink" Target="https://www.sec.gov/Archives/edgar/data/883975/000149315223018718/ex4-1.htm" TargetMode="External"/><Relationship Id="rId26" Type="http://schemas.openxmlformats.org/officeDocument/2006/relationships/hyperlink" Target="https://www.sec.gov/Archives/edgar/data/883975/000149315223018932/ex4-2.htm" TargetMode="External"/><Relationship Id="rId27" Type="http://schemas.openxmlformats.org/officeDocument/2006/relationships/hyperlink" Target="https://www.sec.gov/Archives/edgar/data/883975/000149315223018932/ex10-2.htm" TargetMode="External"/><Relationship Id="rId28" Type="http://schemas.openxmlformats.org/officeDocument/2006/relationships/hyperlink" Target="https://www.sec.gov/Archives/edgar/data/883975/000149315223020309/ex4-1.htm" TargetMode="External"/><Relationship Id="rId29" Type="http://schemas.openxmlformats.org/officeDocument/2006/relationships/hyperlink" Target="https://www.sec.gov/Archives/edgar/data/883975/000149315223020309/ex4-2.htm" TargetMode="External"/><Relationship Id="rId30" Type="http://schemas.openxmlformats.org/officeDocument/2006/relationships/hyperlink" Target="https://www.sec.gov/Archives/edgar/data/883975/000149315223022814/ex4-1.htm" TargetMode="External"/><Relationship Id="rId31" Type="http://schemas.openxmlformats.org/officeDocument/2006/relationships/hyperlink" Target="https://www.sec.gov/Archives/edgar/data/883975/000149315223022814/ex4-2.htm" TargetMode="External"/><Relationship Id="rId32" Type="http://schemas.openxmlformats.org/officeDocument/2006/relationships/hyperlink" Target="https://www.sec.gov/Archives/edgar/data/883975/000149315224000109/ex4-1.htm" TargetMode="External"/><Relationship Id="rId33" Type="http://schemas.openxmlformats.org/officeDocument/2006/relationships/hyperlink" Target="https://www.sec.gov/Archives/edgar/data/883975/000149315224000109/ex4-2.htm" TargetMode="External"/><Relationship Id="rId34" Type="http://schemas.openxmlformats.org/officeDocument/2006/relationships/hyperlink" Target="https://www.sec.gov/Archives/edgar/data/883975/000149315224022560/ex4-1.htm" TargetMode="External"/><Relationship Id="rId35" Type="http://schemas.openxmlformats.org/officeDocument/2006/relationships/hyperlink" Target="https://www.sec.gov/Archives/edgar/data/883975/000149315224022560/ex4-2.htm" TargetMode="External"/><Relationship Id="rId36" Type="http://schemas.openxmlformats.org/officeDocument/2006/relationships/hyperlink" Target="https://www.sec.gov/Archives/edgar/data/883975/000149315225001133/ex4-1.htm" TargetMode="External"/><Relationship Id="rId37" Type="http://schemas.openxmlformats.org/officeDocument/2006/relationships/hyperlink" Target="https://www.sec.gov/Archives/edgar/data/883975/000149315225001133/ex4-2.htm" TargetMode="External"/><Relationship Id="rId38" Type="http://schemas.openxmlformats.org/officeDocument/2006/relationships/hyperlink" Target="https://www.sec.gov/Archives/edgar/data/883975/000149315225001559/ex4-1.htm" TargetMode="External"/><Relationship Id="rId39" Type="http://schemas.openxmlformats.org/officeDocument/2006/relationships/hyperlink" Target="https://www.sec.gov/Archives/edgar/data/883975/000149315225001559/ex4-2.htm" TargetMode="External"/><Relationship Id="rId40" Type="http://schemas.openxmlformats.org/officeDocument/2006/relationships/hyperlink" Target="https://www.sec.gov/ix?doc=/Archives/edgar/data/883975/000149315225005820/form8-k.htm" TargetMode="External"/><Relationship Id="rId41" Type="http://schemas.openxmlformats.org/officeDocument/2006/relationships/hyperlink" Target="https://www.sec.gov/ix?doc=/Archives/edgar/data/883975/000149315225005820/form8-k.htm" TargetMode="External"/><Relationship Id="rId42" Type="http://schemas.openxmlformats.org/officeDocument/2006/relationships/hyperlink" Target="https://www.sec.gov/Archives/edgar/data/883975/000149315225004863/ex5-1.htm" TargetMode="External"/><Relationship Id="rId43" Type="http://schemas.openxmlformats.org/officeDocument/2006/relationships/hyperlink" Target="https://www.sec.gov/Archives/edgar/data/883975/000149315225004863/ex5-1.htm" TargetMode="External"/><Relationship Id="rId44" Type="http://schemas.openxmlformats.org/officeDocument/2006/relationships/hyperlink" Target="https://www.sec.gov/Archives/edgar/data/883975/000149315225004863/ex107.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16404</Words>
  <Characters>88469</Characters>
  <CharactersWithSpaces>105045</CharactersWithSpaces>
  <Paragraphs>1450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