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ind w:left="1280"/>
        <w:spacing w:after="0"/>
        <w:tabs>
          <w:tab w:leader="none" w:pos="7340" w:val="left"/>
        </w:tabs>
        <w:rPr>
          <w:sz w:val="20"/>
          <w:szCs w:val="20"/>
          <w:color w:val="auto"/>
        </w:rPr>
      </w:pPr>
      <w:r>
        <w:rPr>
          <w:rFonts w:ascii="Arial" w:cs="Arial" w:eastAsia="Arial" w:hAnsi="Arial"/>
          <w:sz w:val="18"/>
          <w:szCs w:val="18"/>
          <w:b w:val="1"/>
          <w:bCs w:val="1"/>
          <w:color w:val="auto"/>
        </w:rPr>
        <w:t>For the quarter ended: June 30, 2008</w:t>
      </w:r>
      <w:r>
        <w:rPr>
          <w:sz w:val="20"/>
          <w:szCs w:val="20"/>
          <w:color w:val="auto"/>
        </w:rPr>
        <w:tab/>
      </w:r>
      <w:r>
        <w:rPr>
          <w:rFonts w:ascii="Arial" w:cs="Arial" w:eastAsia="Arial" w:hAnsi="Arial"/>
          <w:sz w:val="16"/>
          <w:szCs w:val="16"/>
          <w:b w:val="1"/>
          <w:bCs w:val="1"/>
          <w:color w:val="auto"/>
        </w:rPr>
        <w:t xml:space="preserve">Commission File Number: </w:t>
      </w:r>
      <w:r>
        <w:rPr>
          <w:rFonts w:ascii="Arial" w:cs="Arial" w:eastAsia="Arial" w:hAnsi="Arial"/>
          <w:sz w:val="16"/>
          <w:szCs w:val="16"/>
          <w:b w:val="1"/>
          <w:bCs w:val="1"/>
          <w:u w:val="single" w:color="auto"/>
          <w:color w:val="auto"/>
        </w:rPr>
        <w:t>0-19871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543"/>
        </w:trPr>
        <w:tc>
          <w:tcPr>
            <w:tcW w:w="3600" w:type="dxa"/>
            <w:vAlign w:val="bottom"/>
          </w:tcPr>
          <w:p>
            <w:pPr>
              <w:spacing w:after="0"/>
              <w:rPr>
                <w:sz w:val="24"/>
                <w:szCs w:val="24"/>
                <w:color w:val="auto"/>
              </w:rPr>
            </w:pPr>
          </w:p>
        </w:tc>
        <w:tc>
          <w:tcPr>
            <w:tcW w:w="4340" w:type="dxa"/>
            <w:vAlign w:val="bottom"/>
            <w:gridSpan w:val="6"/>
          </w:tcPr>
          <w:p>
            <w:pPr>
              <w:jc w:val="center"/>
              <w:ind w:right="100"/>
              <w:spacing w:after="0"/>
              <w:rPr>
                <w:sz w:val="20"/>
                <w:szCs w:val="20"/>
                <w:color w:val="auto"/>
              </w:rPr>
            </w:pPr>
            <w:r>
              <w:rPr>
                <w:rFonts w:ascii="Arial" w:cs="Arial" w:eastAsia="Arial" w:hAnsi="Arial"/>
                <w:sz w:val="43"/>
                <w:szCs w:val="43"/>
                <w:b w:val="1"/>
                <w:bCs w:val="1"/>
                <w:color w:val="auto"/>
              </w:rPr>
              <w:t>STEMCELLS, INC.</w:t>
            </w:r>
          </w:p>
        </w:tc>
        <w:tc>
          <w:tcPr>
            <w:tcW w:w="3480" w:type="dxa"/>
            <w:vAlign w:val="bottom"/>
          </w:tcPr>
          <w:p>
            <w:pPr>
              <w:spacing w:after="0"/>
              <w:rPr>
                <w:sz w:val="24"/>
                <w:szCs w:val="24"/>
                <w:color w:val="auto"/>
              </w:rPr>
            </w:pPr>
          </w:p>
        </w:tc>
      </w:tr>
      <w:tr>
        <w:trPr>
          <w:trHeight w:val="224"/>
        </w:trPr>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18"/>
        </w:trPr>
        <w:tc>
          <w:tcPr>
            <w:tcW w:w="7940" w:type="dxa"/>
            <w:vAlign w:val="bottom"/>
            <w:gridSpan w:val="7"/>
          </w:tcPr>
          <w:p>
            <w:pPr>
              <w:jc w:val="center"/>
              <w:ind w:right="2520"/>
              <w:spacing w:after="0"/>
              <w:rPr>
                <w:sz w:val="20"/>
                <w:szCs w:val="20"/>
                <w:color w:val="auto"/>
              </w:rPr>
            </w:pPr>
            <w:r>
              <w:rPr>
                <w:rFonts w:ascii="Arial" w:cs="Arial" w:eastAsia="Arial" w:hAnsi="Arial"/>
                <w:sz w:val="18"/>
                <w:szCs w:val="18"/>
                <w:color w:val="auto"/>
                <w:w w:val="96"/>
              </w:rPr>
              <w:t>DELAWARE</w:t>
            </w:r>
          </w:p>
        </w:tc>
        <w:tc>
          <w:tcPr>
            <w:tcW w:w="3480" w:type="dxa"/>
            <w:vAlign w:val="bottom"/>
          </w:tcPr>
          <w:p>
            <w:pPr>
              <w:jc w:val="center"/>
              <w:ind w:right="1850"/>
              <w:spacing w:after="0"/>
              <w:rPr>
                <w:sz w:val="20"/>
                <w:szCs w:val="20"/>
                <w:color w:val="auto"/>
              </w:rPr>
            </w:pPr>
            <w:r>
              <w:rPr>
                <w:rFonts w:ascii="Arial" w:cs="Arial" w:eastAsia="Arial" w:hAnsi="Arial"/>
                <w:sz w:val="18"/>
                <w:szCs w:val="18"/>
                <w:color w:val="auto"/>
                <w:w w:val="89"/>
              </w:rPr>
              <w:t>94-3078125</w:t>
            </w:r>
          </w:p>
        </w:tc>
      </w:tr>
      <w:tr>
        <w:trPr>
          <w:trHeight w:val="209"/>
        </w:trPr>
        <w:tc>
          <w:tcPr>
            <w:tcW w:w="5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1850"/>
              <w:spacing w:after="0"/>
              <w:rPr>
                <w:sz w:val="20"/>
                <w:szCs w:val="20"/>
                <w:color w:val="auto"/>
              </w:rPr>
            </w:pPr>
            <w:r>
              <w:rPr>
                <w:rFonts w:ascii="Arial" w:cs="Arial" w:eastAsia="Arial" w:hAnsi="Arial"/>
                <w:sz w:val="18"/>
                <w:szCs w:val="18"/>
                <w:color w:val="auto"/>
                <w:w w:val="92"/>
              </w:rPr>
              <w:t>(I.R.S. Employer</w:t>
            </w:r>
          </w:p>
        </w:tc>
      </w:tr>
      <w:tr>
        <w:trPr>
          <w:trHeight w:val="230"/>
        </w:trPr>
        <w:tc>
          <w:tcPr>
            <w:tcW w:w="7940" w:type="dxa"/>
            <w:vAlign w:val="bottom"/>
            <w:gridSpan w:val="7"/>
          </w:tcPr>
          <w:p>
            <w:pPr>
              <w:jc w:val="center"/>
              <w:ind w:right="2500"/>
              <w:spacing w:after="0"/>
              <w:rPr>
                <w:sz w:val="20"/>
                <w:szCs w:val="20"/>
                <w:color w:val="auto"/>
              </w:rPr>
            </w:pPr>
            <w:r>
              <w:rPr>
                <w:rFonts w:ascii="Arial" w:cs="Arial" w:eastAsia="Arial" w:hAnsi="Arial"/>
                <w:sz w:val="18"/>
                <w:szCs w:val="18"/>
                <w:color w:val="auto"/>
                <w:w w:val="92"/>
              </w:rPr>
              <w:t>incorporation or organization)</w:t>
            </w:r>
          </w:p>
        </w:tc>
        <w:tc>
          <w:tcPr>
            <w:tcW w:w="3480" w:type="dxa"/>
            <w:vAlign w:val="bottom"/>
          </w:tcPr>
          <w:p>
            <w:pPr>
              <w:jc w:val="center"/>
              <w:ind w:right="18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80" w:type="dxa"/>
            <w:vAlign w:val="bottom"/>
            <w:gridSpan w:val="5"/>
          </w:tcPr>
          <w:p>
            <w:pPr>
              <w:jc w:val="center"/>
              <w:ind w:right="360"/>
              <w:spacing w:after="0"/>
              <w:rPr>
                <w:sz w:val="20"/>
                <w:szCs w:val="20"/>
                <w:color w:val="auto"/>
              </w:rPr>
            </w:pPr>
            <w:r>
              <w:rPr>
                <w:rFonts w:ascii="Arial" w:cs="Arial" w:eastAsia="Arial" w:hAnsi="Arial"/>
                <w:sz w:val="18"/>
                <w:szCs w:val="18"/>
                <w:color w:val="auto"/>
                <w:w w:val="93"/>
              </w:rPr>
              <w:t>3155 PORTER DRIVE</w:t>
            </w:r>
          </w:p>
        </w:tc>
        <w:tc>
          <w:tcPr>
            <w:tcW w:w="3480" w:type="dxa"/>
            <w:vAlign w:val="bottom"/>
          </w:tcPr>
          <w:p>
            <w:pPr>
              <w:spacing w:after="0"/>
              <w:rPr>
                <w:sz w:val="24"/>
                <w:szCs w:val="24"/>
                <w:color w:val="auto"/>
              </w:rPr>
            </w:pPr>
          </w:p>
        </w:tc>
      </w:tr>
      <w:tr>
        <w:trPr>
          <w:trHeight w:val="230"/>
        </w:trPr>
        <w:tc>
          <w:tcPr>
            <w:tcW w:w="3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5"/>
          </w:tcPr>
          <w:p>
            <w:pPr>
              <w:jc w:val="center"/>
              <w:ind w:right="360"/>
              <w:spacing w:after="0"/>
              <w:rPr>
                <w:sz w:val="20"/>
                <w:szCs w:val="20"/>
                <w:color w:val="auto"/>
              </w:rPr>
            </w:pPr>
            <w:r>
              <w:rPr>
                <w:rFonts w:ascii="Arial" w:cs="Arial" w:eastAsia="Arial" w:hAnsi="Arial"/>
                <w:sz w:val="18"/>
                <w:szCs w:val="18"/>
                <w:color w:val="auto"/>
                <w:w w:val="94"/>
              </w:rPr>
              <w:t>PALO ALTO, CA 94304</w:t>
            </w:r>
          </w:p>
        </w:tc>
        <w:tc>
          <w:tcPr>
            <w:tcW w:w="3480" w:type="dxa"/>
            <w:vAlign w:val="bottom"/>
          </w:tcPr>
          <w:p>
            <w:pPr>
              <w:spacing w:after="0"/>
              <w:rPr>
                <w:sz w:val="20"/>
                <w:szCs w:val="20"/>
                <w:color w:val="auto"/>
              </w:rPr>
            </w:pPr>
          </w:p>
        </w:tc>
      </w:tr>
      <w:tr>
        <w:trPr>
          <w:trHeight w:val="224"/>
        </w:trPr>
        <w:tc>
          <w:tcPr>
            <w:tcW w:w="3600" w:type="dxa"/>
            <w:vAlign w:val="bottom"/>
          </w:tcPr>
          <w:p>
            <w:pPr>
              <w:spacing w:after="0"/>
              <w:rPr>
                <w:sz w:val="19"/>
                <w:szCs w:val="19"/>
                <w:color w:val="auto"/>
              </w:rPr>
            </w:pPr>
          </w:p>
        </w:tc>
        <w:tc>
          <w:tcPr>
            <w:tcW w:w="42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 475-3100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380" w:space="720"/>
            <w:col w:w="1480" w:space="720"/>
            <w:col w:w="3340" w:space="500"/>
            <w:col w:w="2280"/>
          </w:cols>
          <w:pgMar w:left="240" w:top="122" w:right="239" w:bottom="1440" w:gutter="0" w:footer="0" w:header="0"/>
          <w:type w:val="continuous"/>
        </w:sectPr>
      </w:pPr>
    </w:p>
    <w:p>
      <w:pPr>
        <w:ind w:right="2100" w:firstLine="225"/>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At July 28, 2008, there were 80,890,578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2"/>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660" w:type="dxa"/>
            <w:vAlign w:val="bottom"/>
            <w:gridSpan w:val="10"/>
            <w:vMerge w:val="restart"/>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Page Number</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2"/>
            <w:vMerge w:val="continue"/>
          </w:tcPr>
          <w:p>
            <w:pPr>
              <w:spacing w:after="0"/>
              <w:rPr>
                <w:sz w:val="14"/>
                <w:szCs w:val="14"/>
                <w:color w:val="auto"/>
              </w:rPr>
            </w:pPr>
          </w:p>
        </w:tc>
        <w:tc>
          <w:tcPr>
            <w:tcW w:w="7660" w:type="dxa"/>
            <w:vAlign w:val="bottom"/>
            <w:gridSpan w:val="10"/>
            <w:vMerge w:val="continue"/>
          </w:tcPr>
          <w:p>
            <w:pPr>
              <w:spacing w:after="0"/>
              <w:rPr>
                <w:sz w:val="14"/>
                <w:szCs w:val="14"/>
                <w:color w:val="auto"/>
              </w:rPr>
            </w:pPr>
          </w:p>
        </w:tc>
        <w:tc>
          <w:tcPr>
            <w:tcW w:w="860" w:type="dxa"/>
            <w:vAlign w:val="bottom"/>
          </w:tcPr>
          <w:p>
            <w:pPr>
              <w:jc w:val="center"/>
              <w:spacing w:after="0" w:line="170"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2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June 30, 2008 and December 31, 2007</w:t>
              </w:r>
            </w:hyperlink>
          </w:p>
        </w:tc>
        <w:tc>
          <w:tcPr>
            <w:tcW w:w="4420" w:type="dxa"/>
            <w:vAlign w:val="bottom"/>
            <w:gridSpan w:val="4"/>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4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six months ended June 30, 2008 and 2007</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40" w:type="dxa"/>
            <w:vAlign w:val="bottom"/>
            <w:tcBorders>
              <w:top w:val="single" w:sz="8" w:color="0000EE"/>
            </w:tcBorders>
            <w:gridSpan w:val="19"/>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six months ended June 30, 2008 and 2007</w:t>
              </w:r>
            </w:hyperlink>
          </w:p>
        </w:tc>
        <w:tc>
          <w:tcPr>
            <w:tcW w:w="240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3060" w:type="dxa"/>
            <w:vAlign w:val="bottom"/>
            <w:gridSpan w:val="2"/>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2. Management’s Discussion and Analysis of Financial Condition and Results of Operations</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540" w:type="dxa"/>
            <w:vAlign w:val="bottom"/>
            <w:gridSpan w:val="3"/>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Item 4. Controls and Procedures</w:t>
              </w:r>
            </w:hyperlink>
          </w:p>
        </w:tc>
        <w:tc>
          <w:tcPr>
            <w:tcW w:w="8220" w:type="dxa"/>
            <w:vAlign w:val="bottom"/>
            <w:gridSpan w:val="13"/>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PART II. OTHER INFORMATION</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17"/>
                <w:szCs w:val="17"/>
                <w:color w:val="auto"/>
              </w:rPr>
            </w:pPr>
          </w:p>
        </w:tc>
        <w:tc>
          <w:tcPr>
            <w:tcW w:w="7980" w:type="dxa"/>
            <w:vAlign w:val="bottom"/>
            <w:gridSpan w:val="12"/>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Item 1A. Risk Factors</w:t>
              </w:r>
            </w:hyperlink>
          </w:p>
        </w:tc>
        <w:tc>
          <w:tcPr>
            <w:tcW w:w="8960" w:type="dxa"/>
            <w:vAlign w:val="bottom"/>
            <w:gridSpan w:val="16"/>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Item 2. Unregistered Sales of Equity Securities and Use of Proceeds</w:t>
              </w:r>
            </w:hyperlink>
          </w:p>
        </w:tc>
        <w:tc>
          <w:tcPr>
            <w:tcW w:w="5640" w:type="dxa"/>
            <w:vAlign w:val="bottom"/>
            <w:gridSpan w:val="6"/>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3. Defaults Upon Senior Securities</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22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4. Submission of Matters to a Vote of Security-Holders</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96"/>
        </w:trPr>
        <w:tc>
          <w:tcPr>
            <w:tcW w:w="18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Item 5. Other Information</w:t>
              </w:r>
            </w:hyperlink>
          </w:p>
        </w:tc>
        <w:tc>
          <w:tcPr>
            <w:tcW w:w="2460" w:type="dxa"/>
            <w:vAlign w:val="bottom"/>
            <w:tcBorders>
              <w:top w:val="single" w:sz="8" w:color="0000EE"/>
            </w:tcBorders>
            <w:gridSpan w:val="8"/>
          </w:tcPr>
          <w:p>
            <w:pPr>
              <w:spacing w:after="0"/>
              <w:rPr>
                <w:sz w:val="17"/>
                <w:szCs w:val="17"/>
                <w:color w:val="auto"/>
              </w:rPr>
            </w:pPr>
          </w:p>
        </w:tc>
        <w:tc>
          <w:tcPr>
            <w:tcW w:w="6220" w:type="dxa"/>
            <w:vAlign w:val="bottom"/>
            <w:gridSpan w:val="7"/>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6. Exhibits</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96"/>
        </w:trPr>
        <w:tc>
          <w:tcPr>
            <w:tcW w:w="11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SIGNATURES</w:t>
              </w:r>
            </w:hyperlink>
          </w:p>
        </w:tc>
        <w:tc>
          <w:tcPr>
            <w:tcW w:w="40" w:type="dxa"/>
            <w:vAlign w:val="bottom"/>
            <w:tcBorders>
              <w:top w:val="single" w:sz="8" w:color="0000EE"/>
            </w:tcBorders>
          </w:tcPr>
          <w:p>
            <w:pPr>
              <w:spacing w:after="0"/>
              <w:rPr>
                <w:sz w:val="17"/>
                <w:szCs w:val="17"/>
                <w:color w:val="auto"/>
              </w:rPr>
            </w:pPr>
          </w:p>
        </w:tc>
        <w:tc>
          <w:tcPr>
            <w:tcW w:w="9400" w:type="dxa"/>
            <w:vAlign w:val="bottom"/>
            <w:gridSpan w:val="17"/>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1"/>
          </w:tcPr>
          <w:p>
            <w:pPr>
              <w:spacing w:after="0" w:line="196" w:lineRule="exact"/>
              <w:rPr>
                <w:sz w:val="20"/>
                <w:szCs w:val="20"/>
                <w:color w:val="auto"/>
              </w:rPr>
            </w:pPr>
            <w:r>
              <w:rPr>
                <w:rFonts w:ascii="Arial" w:cs="Arial" w:eastAsia="Arial" w:hAnsi="Arial"/>
                <w:sz w:val="18"/>
                <w:szCs w:val="18"/>
                <w:color w:val="0000EE"/>
              </w:rPr>
              <w:t>EXHIBIT 31.1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460" w:type="dxa"/>
            <w:vAlign w:val="bottom"/>
            <w:gridSpan w:val="1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1"/>
          </w:tcPr>
          <w:p>
            <w:pPr>
              <w:spacing w:after="0" w:line="196" w:lineRule="exact"/>
              <w:rPr>
                <w:sz w:val="20"/>
                <w:szCs w:val="20"/>
                <w:color w:val="auto"/>
              </w:rPr>
            </w:pPr>
            <w:r>
              <w:rPr>
                <w:rFonts w:ascii="Arial" w:cs="Arial" w:eastAsia="Arial" w:hAnsi="Arial"/>
                <w:sz w:val="18"/>
                <w:szCs w:val="18"/>
                <w:color w:val="0000EE"/>
              </w:rPr>
              <w:t>EXHIBIT 31.2</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460" w:type="dxa"/>
            <w:vAlign w:val="bottom"/>
            <w:gridSpan w:val="1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1"/>
          </w:tcPr>
          <w:p>
            <w:pPr>
              <w:spacing w:after="0" w:line="196" w:lineRule="exact"/>
              <w:rPr>
                <w:sz w:val="20"/>
                <w:szCs w:val="20"/>
                <w:color w:val="auto"/>
              </w:rPr>
            </w:pPr>
            <w:r>
              <w:rPr>
                <w:rFonts w:ascii="Arial" w:cs="Arial" w:eastAsia="Arial" w:hAnsi="Arial"/>
                <w:sz w:val="18"/>
                <w:szCs w:val="18"/>
                <w:color w:val="0000EE"/>
              </w:rPr>
              <w:t>EXHIBIT 32.1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460" w:type="dxa"/>
            <w:vAlign w:val="bottom"/>
            <w:gridSpan w:val="1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1"/>
          </w:tcPr>
          <w:p>
            <w:pPr>
              <w:spacing w:after="0" w:line="196" w:lineRule="exact"/>
              <w:rPr>
                <w:sz w:val="20"/>
                <w:szCs w:val="20"/>
                <w:color w:val="auto"/>
              </w:rPr>
            </w:pPr>
            <w:r>
              <w:rPr>
                <w:rFonts w:ascii="Arial" w:cs="Arial" w:eastAsia="Arial" w:hAnsi="Arial"/>
                <w:sz w:val="18"/>
                <w:szCs w:val="18"/>
                <w:color w:val="0000EE"/>
              </w:rPr>
              <w:t>EXHIBIT 32.2</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REFERENCES TO OUR COMMON STOCK</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Throughout this Form 10-Q, the words “we,” “us,” “our,” and “StemCells” refer to StemCells, Inc., including StemCells California, Inc., our wholly-owned subsidiary, and the owner or licensee of most of our intellectual property. “Common stock” refers to our common stock, $.01 par value.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0"/>
              </w:rPr>
              <w:t>June 30, 2008</w:t>
            </w:r>
          </w:p>
        </w:tc>
        <w:tc>
          <w:tcPr>
            <w:tcW w:w="1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18,592,723</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9,759,169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Marketable securities, 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7,610,694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26,696,413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Note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833,235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1,032,482</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27,158,906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38,752,695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Marketable securities, non-current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551,915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3,150,971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3,633,625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3,905,404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 non-current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1,752,645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1,710,829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687,227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33,784,318</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48,282,566</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916,978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1,813,595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2,010,247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Accrued wind-down expenses, 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1,379,325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1,374,632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rent, 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319,074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Deferred revenue, 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23,597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 lease obligation, 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18,125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Bonds payable, current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201,250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4,868,596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Capital lease obligation, non-current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16,055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Bonds payable, non-current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879,166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Deposits and other long-term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527,804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527,804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 non-current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4,369,933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4,768,859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Deferred rent, non-current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270,643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437,144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non-current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155,452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163,865</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11,087,649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13,070,666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Commitment and contingencies (Note 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$.01 par value; 125,000,000 shares authorized; issued and outstanding 80,858,002 at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June 30, 2008 and 80,681,087 at December 31, 2007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808,579</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266,766,740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264,603,711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9"/>
              </w:rPr>
              <w:t>(243,175,212)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(229,914,747)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(1,703,438)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22,696,669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35,211,900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33,784,318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48,282,566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Revenue from licensing agreements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504"/>
              <w:spacing w:after="0"/>
              <w:rPr>
                <w:sz w:val="20"/>
                <w:szCs w:val="20"/>
                <w:color w:val="auto"/>
              </w:rPr>
            </w:pPr>
            <w:r>
              <w:rPr>
                <w:rFonts w:ascii="Arial" w:cs="Arial" w:eastAsia="Arial" w:hAnsi="Arial"/>
                <w:sz w:val="18"/>
                <w:szCs w:val="18"/>
                <w:color w:val="auto"/>
              </w:rPr>
              <w:t>29,832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7,840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04"/>
              <w:spacing w:after="0"/>
              <w:rPr>
                <w:sz w:val="20"/>
                <w:szCs w:val="20"/>
                <w:color w:val="auto"/>
              </w:rPr>
            </w:pPr>
            <w:r>
              <w:rPr>
                <w:rFonts w:ascii="Arial" w:cs="Arial" w:eastAsia="Arial" w:hAnsi="Arial"/>
                <w:sz w:val="18"/>
                <w:szCs w:val="18"/>
                <w:color w:val="auto"/>
              </w:rPr>
              <w:t>47,182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400" w:type="dxa"/>
            <w:vAlign w:val="bottom"/>
            <w:gridSpan w:val="2"/>
          </w:tcPr>
          <w:p>
            <w:pPr>
              <w:jc w:val="right"/>
              <w:ind w:right="504"/>
              <w:spacing w:after="0"/>
              <w:rPr>
                <w:sz w:val="20"/>
                <w:szCs w:val="20"/>
                <w:color w:val="auto"/>
              </w:rPr>
            </w:pPr>
            <w:r>
              <w:rPr>
                <w:rFonts w:ascii="Arial" w:cs="Arial" w:eastAsia="Arial" w:hAnsi="Arial"/>
                <w:sz w:val="18"/>
                <w:szCs w:val="18"/>
                <w:color w:val="auto"/>
                <w:w w:val="99"/>
              </w:rPr>
              <w:t>4,415,615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4,498,204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4"/>
              <w:spacing w:after="0"/>
              <w:rPr>
                <w:sz w:val="20"/>
                <w:szCs w:val="20"/>
                <w:color w:val="auto"/>
              </w:rPr>
            </w:pPr>
            <w:r>
              <w:rPr>
                <w:rFonts w:ascii="Arial" w:cs="Arial" w:eastAsia="Arial" w:hAnsi="Arial"/>
                <w:sz w:val="18"/>
                <w:szCs w:val="18"/>
                <w:color w:val="auto"/>
              </w:rPr>
              <w:t>8,915,366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8,517,342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w w:val="99"/>
              </w:rPr>
              <w:t>2,345,846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1,408,657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4,600,049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3,673,205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167,250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134,045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504"/>
              <w:spacing w:after="0"/>
              <w:rPr>
                <w:sz w:val="20"/>
                <w:szCs w:val="20"/>
                <w:color w:val="auto"/>
              </w:rPr>
            </w:pPr>
            <w:r>
              <w:rPr>
                <w:rFonts w:ascii="Arial" w:cs="Arial" w:eastAsia="Arial" w:hAnsi="Arial"/>
                <w:sz w:val="18"/>
                <w:szCs w:val="18"/>
                <w:color w:val="auto"/>
              </w:rPr>
              <w:t>327,500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355,810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6,928,711</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6,040,906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13,842,915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12,546,357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(6,898,879)</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(6,033,066)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4"/>
              </w:rPr>
              <w:t>(13,795,733)</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6"/>
              </w:rPr>
              <w:t>(12,532,571)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License and settlement agreement, net</w:t>
            </w:r>
          </w:p>
        </w:tc>
        <w:tc>
          <w:tcPr>
            <w:tcW w:w="100" w:type="dxa"/>
            <w:vAlign w:val="bottom"/>
          </w:tcPr>
          <w:p>
            <w:pPr>
              <w:spacing w:after="0"/>
              <w:rPr>
                <w:sz w:val="18"/>
                <w:szCs w:val="18"/>
                <w:color w:val="auto"/>
              </w:rPr>
            </w:pPr>
          </w:p>
        </w:tc>
        <w:tc>
          <w:tcPr>
            <w:tcW w:w="1400" w:type="dxa"/>
            <w:vAlign w:val="bottom"/>
            <w:gridSpan w:val="2"/>
          </w:tcPr>
          <w:p>
            <w:pPr>
              <w:jc w:val="right"/>
              <w:ind w:right="50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Realized gain on sale of marketable securities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400" w:type="dxa"/>
            <w:vAlign w:val="bottom"/>
            <w:gridSpan w:val="2"/>
          </w:tcPr>
          <w:p>
            <w:pPr>
              <w:jc w:val="right"/>
              <w:ind w:right="504"/>
              <w:spacing w:after="0"/>
              <w:rPr>
                <w:sz w:val="20"/>
                <w:szCs w:val="20"/>
                <w:color w:val="auto"/>
              </w:rPr>
            </w:pPr>
            <w:r>
              <w:rPr>
                <w:rFonts w:ascii="Arial" w:cs="Arial" w:eastAsia="Arial" w:hAnsi="Arial"/>
                <w:sz w:val="18"/>
                <w:szCs w:val="18"/>
                <w:color w:val="auto"/>
              </w:rPr>
              <w:t>216,109</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655,531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4"/>
              <w:spacing w:after="0"/>
              <w:rPr>
                <w:sz w:val="20"/>
                <w:szCs w:val="20"/>
                <w:color w:val="auto"/>
              </w:rPr>
            </w:pPr>
            <w:r>
              <w:rPr>
                <w:rFonts w:ascii="Arial" w:cs="Arial" w:eastAsia="Arial" w:hAnsi="Arial"/>
                <w:sz w:val="18"/>
                <w:szCs w:val="18"/>
                <w:color w:val="auto"/>
              </w:rPr>
              <w:t>599,774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1,309,137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(28,970)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(57,161)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1400" w:type="dxa"/>
            <w:vAlign w:val="bottom"/>
            <w:gridSpan w:val="2"/>
          </w:tcPr>
          <w:p>
            <w:pPr>
              <w:jc w:val="right"/>
              <w:ind w:right="444"/>
              <w:spacing w:after="0"/>
              <w:rPr>
                <w:sz w:val="20"/>
                <w:szCs w:val="20"/>
                <w:color w:val="auto"/>
              </w:rPr>
            </w:pPr>
            <w:r>
              <w:rPr>
                <w:rFonts w:ascii="Arial" w:cs="Arial" w:eastAsia="Arial" w:hAnsi="Arial"/>
                <w:sz w:val="18"/>
                <w:szCs w:val="18"/>
                <w:color w:val="auto"/>
              </w:rPr>
              <w:t>(3,736)</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(12,400)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44"/>
              <w:spacing w:after="0"/>
              <w:rPr>
                <w:sz w:val="20"/>
                <w:szCs w:val="20"/>
                <w:color w:val="auto"/>
              </w:rPr>
            </w:pPr>
            <w:r>
              <w:rPr>
                <w:rFonts w:ascii="Arial" w:cs="Arial" w:eastAsia="Arial" w:hAnsi="Arial"/>
                <w:sz w:val="18"/>
                <w:szCs w:val="18"/>
                <w:color w:val="auto"/>
              </w:rPr>
              <w:t>(7,345)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(21,024)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183,403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609,076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535,268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2,488,829</w:t>
            </w: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(6,715,476</w:t>
            </w:r>
          </w:p>
        </w:tc>
        <w:tc>
          <w:tcPr>
            <w:tcW w:w="580" w:type="dxa"/>
            <w:vAlign w:val="bottom"/>
          </w:tcPr>
          <w:p>
            <w:pPr>
              <w:jc w:val="right"/>
              <w:ind w:right="444"/>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(5,423,990</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(13,260,465</w:t>
            </w:r>
          </w:p>
        </w:tc>
        <w:tc>
          <w:tcPr>
            <w:tcW w:w="580" w:type="dxa"/>
            <w:vAlign w:val="bottom"/>
          </w:tcPr>
          <w:p>
            <w:pPr>
              <w:jc w:val="right"/>
              <w:ind w:right="444"/>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(10,043,742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(0.16)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Shares used to compute basic and diluted loss per share</w:t>
            </w:r>
          </w:p>
        </w:tc>
        <w:tc>
          <w:tcPr>
            <w:tcW w:w="100" w:type="dxa"/>
            <w:vAlign w:val="bottom"/>
          </w:tcPr>
          <w:p>
            <w:pPr>
              <w:spacing w:after="0"/>
              <w:rPr>
                <w:sz w:val="20"/>
                <w:szCs w:val="20"/>
                <w:color w:val="auto"/>
              </w:rPr>
            </w:pPr>
          </w:p>
        </w:tc>
        <w:tc>
          <w:tcPr>
            <w:tcW w:w="1400" w:type="dxa"/>
            <w:vAlign w:val="bottom"/>
            <w:gridSpan w:val="2"/>
          </w:tcPr>
          <w:p>
            <w:pPr>
              <w:jc w:val="right"/>
              <w:ind w:right="504"/>
              <w:spacing w:after="0"/>
              <w:rPr>
                <w:sz w:val="20"/>
                <w:szCs w:val="20"/>
                <w:color w:val="auto"/>
              </w:rPr>
            </w:pPr>
            <w:r>
              <w:rPr>
                <w:rFonts w:ascii="Arial" w:cs="Arial" w:eastAsia="Arial" w:hAnsi="Arial"/>
                <w:sz w:val="18"/>
                <w:szCs w:val="18"/>
                <w:color w:val="auto"/>
                <w:w w:val="88"/>
              </w:rPr>
              <w:t>80,814,838</w:t>
            </w: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79,787,273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504"/>
              <w:spacing w:after="0"/>
              <w:rPr>
                <w:sz w:val="20"/>
                <w:szCs w:val="20"/>
                <w:color w:val="auto"/>
              </w:rPr>
            </w:pPr>
            <w:r>
              <w:rPr>
                <w:rFonts w:ascii="Arial" w:cs="Arial" w:eastAsia="Arial" w:hAnsi="Arial"/>
                <w:sz w:val="18"/>
                <w:szCs w:val="18"/>
                <w:color w:val="auto"/>
                <w:w w:val="95"/>
              </w:rPr>
              <w:t>80,759,400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79,180,107</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Six months ended</w:t>
      </w:r>
    </w:p>
    <w:p>
      <w:pPr>
        <w:jc w:val="center"/>
        <w:ind w:left="85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(13,260,465)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(10,043,742)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602,239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568,532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2,041,545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Gain on sale of marketable securities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(717,621)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income from license and settlement agreement,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interest and other receivables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142,377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Prepaid and other assets, current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199,247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(74,242)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(41,816)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(1,348,622)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wind-down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(394,233)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(28,725)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(137,818)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Deposits and other long-term liabilities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(81,181)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(12,226,271)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(10,105,693)</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maturities of marketable securities,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20,265,211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3,076,691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Prepayment of advance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1,000,000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(255,020)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(307,554)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Acquisition of other assets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21,010,191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3,547,376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123,253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exercise of warrants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(Repayment) proceeds of capital lease obligations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(8,619)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debt obligations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49,634</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4,772,504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8,833,554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(2,613,427)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9,759,169</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51,795,529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18,592,723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49,182,102</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57,161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67,372</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issued for licensing agreement</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6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Under terms of a license agreement with the California Institute of Technology (Cal Tech), annual fees of $5,000 were due on each of two patents to which we hold a license from Cal Tech, payable in cash or stock at our choice. We elected to pay the fees in stock and issued shares of 3,865 in 2007 to Cal Tech.</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2008 and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StemCells, Inc., a Delaware corporation, is a biopharmaceutical company that operates in one segment, the development of novel cell-based therapeutics designed to treat human diseases and disorders.</w:t>
      </w:r>
    </w:p>
    <w:p>
      <w:pPr>
        <w:spacing w:after="0" w:line="62"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accompanying financial data as of and for the three and six months ended June 30, 2008 and 2007 has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(US GAAP) have been condensed or omitted pursuant to such rules and regulations. The December 31, 2007 condensed consolidated balance sheet was derived from audited financial statements, but does not include all disclosures required by US GAAP. However, we believe that the disclosures are adequate to make the information presented not misleading. These condensed consolidated financial statements should be read in conjunction with the consolidated financial statements and the notes thereto, included in our Annual Report on Form 10-K for the fiscal year ended December 31, 2007.</w:t>
      </w:r>
    </w:p>
    <w:p>
      <w:pPr>
        <w:spacing w:after="0" w:line="70"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expect to incur additional operating losses over the foreseeable future. We have very limited liquidity and capital resources and must obtain significant additional capital and other resources in order to sustain our product development efforts, to provide funding for the acquisition of technologies, businesses and intellectual property rights, preclinical and clinical testing of our anticipated products, pursuit of regulatory approvals, acquisition of capital equipment, laboratory and office facilities, establishment of production capabilities, general and administrative expenses and other working capital requirements. We rely on our cash reserves, proceeds from equity and debt offerings, proceeds from the transfer or sale of intellectual property rights, equipment, facilities or investments, government grants and funding from collaborative arrangements, to fund our operations. If we exhaust our cash reserves and are unable to obtain adequate financing, we may be unable to meet our operating obligations and we may be required to initiate bankruptcy proceedings.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condensed consolidated financial statements include the accounts of StemCells, Inc., and our wholly-owned subsidiary, StemCells California,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Material intercompany accounts and transactions have been eliminated.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20" w:firstLine="222"/>
        <w:spacing w:after="0" w:line="342" w:lineRule="auto"/>
        <w:rPr>
          <w:sz w:val="20"/>
          <w:szCs w:val="20"/>
          <w:color w:val="auto"/>
        </w:rPr>
      </w:pPr>
      <w:r>
        <w:rPr>
          <w:rFonts w:ascii="Arial" w:cs="Arial" w:eastAsia="Arial" w:hAnsi="Arial"/>
          <w:sz w:val="16"/>
          <w:szCs w:val="16"/>
          <w:color w:val="auto"/>
        </w:rPr>
        <w:t>The preparation of financial statements in conformity with US GAAP requires management to make judgments, assumptions and estimates that affect the amounts reported in our condensed consolidated financial statements and accompanying notes. Actual results could differ materially from those estimates.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Significant estimates include the following:</w:t>
      </w:r>
    </w:p>
    <w:p>
      <w:pPr>
        <w:spacing w:after="0" w:line="117" w:lineRule="exact"/>
        <w:rPr>
          <w:sz w:val="20"/>
          <w:szCs w:val="20"/>
          <w:color w:val="auto"/>
        </w:rPr>
      </w:pPr>
    </w:p>
    <w:p>
      <w:pPr>
        <w:ind w:left="560" w:right="400" w:hanging="444"/>
        <w:spacing w:after="0" w:line="277" w:lineRule="auto"/>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 xml:space="preserve">The grant date fair value of stock-based awards recognized as compensation expense in accordance with the provisions of Statement of Financial Accounting Standards No. 123 (Revised 2004) </w:t>
      </w:r>
      <w:r>
        <w:rPr>
          <w:rFonts w:ascii="Arial" w:cs="Arial" w:eastAsia="Arial" w:hAnsi="Arial"/>
          <w:sz w:val="18"/>
          <w:szCs w:val="18"/>
          <w:i w:val="1"/>
          <w:iCs w:val="1"/>
          <w:color w:val="auto"/>
        </w:rPr>
        <w:t>Share Based Payment</w:t>
      </w:r>
      <w:r>
        <w:rPr>
          <w:rFonts w:ascii="Arial" w:cs="Arial" w:eastAsia="Arial" w:hAnsi="Arial"/>
          <w:sz w:val="18"/>
          <w:szCs w:val="18"/>
          <w:color w:val="auto"/>
        </w:rPr>
        <w:t xml:space="preserve"> (SFAS 123R). (See Note 4).</w:t>
      </w:r>
    </w:p>
    <w:p>
      <w:pPr>
        <w:spacing w:after="0" w:line="75" w:lineRule="exact"/>
        <w:rPr>
          <w:rFonts w:ascii="Arial" w:cs="Arial" w:eastAsia="Arial" w:hAnsi="Arial"/>
          <w:sz w:val="18"/>
          <w:szCs w:val="18"/>
          <w:b w:val="1"/>
          <w:bCs w:val="1"/>
          <w:color w:val="auto"/>
        </w:rPr>
      </w:pPr>
    </w:p>
    <w:p>
      <w:pPr>
        <w:ind w:left="560" w:hanging="444"/>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Accrued wind-down expenses. (See Note 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Certain reclassifications of prior year amounts have been made to conform to the current year presentation. Deferred rent of approximately $290,000 as of December 31, 2007 has been reclassified from “Deferred rent, non- current” to “Deferred rent, current”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the condensed consolidated balance sheet to conform to the current year presentation. The reclassifications had no effect on total assets, liabilities, equity, or net loss previously reported.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consider money market accounts and investments with a maturity of 90 days or less at the date of purchase to be cash equivalents.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Marketable Securities</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Our existing marketable debt and equity securities are designated as available-for-sale securities. These securities are carried at fair value (see Note 2, “Financial Assets”), with the unrealized gains and losses reported as a component of stockholders’ equity. The balance sheet classification of our marketable debt securities as current or non-current is based on their maturity dates. Investments with remaining maturities of 365 days or less not classified as cash equivalents are classified as marketable securities, current. Investments with remaining maturities greater than 365 days are classified as marketable securities, non-current. Management determines the appropriate designation of its investments in marketable debt and equity securities at the time of purchase and reevaluates such designation as of each balance sheet date. The cost of securities sold is based upon the specific identification method.</w:t>
      </w:r>
    </w:p>
    <w:p>
      <w:pPr>
        <w:spacing w:after="0" w:line="5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If the estimated fair value of a security is below its carrying value, we evaluate whether we have the intent and ability to retain our investment for a period of time sufficient to allow for any anticipated recovery to the cost of the investment, and whether evidence indicating that the cost of the investment is recoverable within a reasonable period of time outweighs evidence to the contrary. Other-than-temporary declines in estimated fair value of all marketable securities are charged to “other income (expense), net.” No such impairment was recognized during the three and six months ended June 30, 2008 and June 30, 2007.</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Receivables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receivables generally consist of interest income on our financial instruments, revenue from licensing agreements and rent from our sub-lease tenants.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00" w:firstLine="222"/>
        <w:spacing w:after="0" w:line="272" w:lineRule="auto"/>
        <w:rPr>
          <w:sz w:val="20"/>
          <w:szCs w:val="20"/>
          <w:color w:val="auto"/>
        </w:rPr>
      </w:pPr>
      <w:r>
        <w:rPr>
          <w:rFonts w:ascii="Arial" w:cs="Arial" w:eastAsia="Arial" w:hAnsi="Arial"/>
          <w:sz w:val="17"/>
          <w:szCs w:val="17"/>
          <w:color w:val="auto"/>
        </w:rPr>
        <w:t>We currently recognize revenue resulting from the licensing and use of our technology and intellectual property. Such licensing agreements may contain multiple elements, such as upfront fees, payments related to the achievement of particular milestones and royalties. Revenue from upfront fees for licensing agreements that contain multiple elements are generally deferred and recognized on a straight-line basis over the term of the agreement. Fees associated with substantive at risk performance-based milestones are recognized as revenue upon completion of the scientific or regulatory event specified in the agreement, and royalties received are recognized as earned. Revenue from collaborative agreements and grants are recognized as earned upon either the incurring of reimbursable expenses directly related to the particular research plan or the completion of certain development milestones as defined within the terms of the relevant collaborative agreement or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00" w:firstLine="222"/>
        <w:spacing w:after="0" w:line="342" w:lineRule="auto"/>
        <w:rPr>
          <w:sz w:val="20"/>
          <w:szCs w:val="20"/>
          <w:color w:val="auto"/>
        </w:rPr>
      </w:pPr>
      <w:r>
        <w:rPr>
          <w:rFonts w:ascii="Arial" w:cs="Arial" w:eastAsia="Arial" w:hAnsi="Arial"/>
          <w:sz w:val="16"/>
          <w:szCs w:val="16"/>
          <w:color w:val="auto"/>
        </w:rPr>
        <w:t>We account for stock-based compensation awards to employees in accordance with SFAS 123R. The compensation expense we record for these awards is based on their grant date fair value as calculated and amortized over their vesting period. See Note 4, “Stock-Based Compensation” for further information.</w:t>
      </w:r>
    </w:p>
    <w:p>
      <w:pPr>
        <w:spacing w:after="0" w:line="16"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 xml:space="preserve">We account for stock-based awards granted to non-employees in accordance with SFAS 123 and Emerging Issues Task Force (EITF) 96-18,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Equity Instruments That Are Issued To Other Than Employees For Acquiring, Or In Conjunction With Selling, Goods Or Services</w:t>
      </w:r>
      <w:r>
        <w:rPr>
          <w:rFonts w:ascii="Arial" w:cs="Arial" w:eastAsia="Arial" w:hAnsi="Arial"/>
          <w:sz w:val="18"/>
          <w:szCs w:val="18"/>
          <w:color w:val="auto"/>
        </w:rPr>
        <w:t>, and accordingly,</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the estimated fair value of such options as calculated using the Black-Scholes-Merton (Black-Scholes) model. The estimated fair value is re-measured at each reporting date and is amortized over the remaining vesting period.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340" w:firstLine="225"/>
        <w:spacing w:after="0" w:line="264" w:lineRule="auto"/>
        <w:rPr>
          <w:sz w:val="20"/>
          <w:szCs w:val="20"/>
          <w:color w:val="auto"/>
        </w:rPr>
      </w:pPr>
      <w:r>
        <w:rPr>
          <w:rFonts w:ascii="Arial" w:cs="Arial" w:eastAsia="Arial" w:hAnsi="Arial"/>
          <w:sz w:val="18"/>
          <w:szCs w:val="18"/>
          <w:color w:val="auto"/>
        </w:rPr>
        <w:t>Basic net loss per share is computed by dividing net loss by the weighted-average number of shares of common stock outstanding during the period. Diluted net loss per share is computed based on the weighted-average number of shares of common stock and other dilutive securities. To the extent these securities are anti-dilutive, they are excluded from the calculation of diluted earnings per share.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reconciliation of the numerators and denominators of the basic and diluted earnings per share computations: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5"/>
          </w:tcPr>
          <w:p>
            <w:pPr>
              <w:jc w:val="right"/>
              <w:ind w:right="81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5"/>
          </w:tcPr>
          <w:p>
            <w:pPr>
              <w:jc w:val="right"/>
              <w:ind w:right="974"/>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9"/>
              </w:rPr>
              <w:t>June 30,</w:t>
            </w:r>
          </w:p>
        </w:tc>
        <w:tc>
          <w:tcPr>
            <w:tcW w:w="10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9"/>
              </w:rPr>
              <w:t>June 30,</w:t>
            </w:r>
          </w:p>
        </w:tc>
        <w:tc>
          <w:tcPr>
            <w:tcW w:w="1140" w:type="dxa"/>
            <w:vAlign w:val="bottom"/>
            <w:tcBorders>
              <w:bottom w:val="single" w:sz="8" w:color="auto"/>
            </w:tcBorders>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(6,715,476)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1"/>
              </w:rPr>
              <w:t>(5,423,990)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(13,260,465)</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0"/>
              </w:rPr>
              <w:t>(10,043,742)</w:t>
            </w:r>
          </w:p>
        </w:tc>
      </w:tr>
      <w:tr>
        <w:trPr>
          <w:trHeight w:val="202"/>
        </w:trPr>
        <w:tc>
          <w:tcPr>
            <w:tcW w:w="4720" w:type="dxa"/>
            <w:vAlign w:val="bottom"/>
          </w:tcPr>
          <w:p>
            <w:pPr>
              <w:spacing w:after="0" w:line="201" w:lineRule="exact"/>
              <w:rPr>
                <w:sz w:val="20"/>
                <w:szCs w:val="20"/>
                <w:color w:val="auto"/>
              </w:rPr>
            </w:pPr>
            <w:r>
              <w:rPr>
                <w:rFonts w:ascii="Arial" w:cs="Arial" w:eastAsia="Arial" w:hAnsi="Arial"/>
                <w:sz w:val="18"/>
                <w:szCs w:val="18"/>
                <w:color w:val="auto"/>
              </w:rPr>
              <w:t>Weighted average shares outstanding used to compute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tcPr>
          <w:p>
            <w:pPr>
              <w:spacing w:after="0"/>
              <w:rPr>
                <w:sz w:val="20"/>
                <w:szCs w:val="20"/>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w w:val="86"/>
              </w:rPr>
              <w:t>80,814,838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w w:val="86"/>
              </w:rPr>
              <w:t>79,787,273</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w w:val="95"/>
              </w:rPr>
              <w:t>80,759,400</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74"/>
              <w:spacing w:after="0"/>
              <w:rPr>
                <w:sz w:val="20"/>
                <w:szCs w:val="20"/>
                <w:color w:val="auto"/>
              </w:rPr>
            </w:pPr>
            <w:r>
              <w:rPr>
                <w:rFonts w:ascii="Arial" w:cs="Arial" w:eastAsia="Arial" w:hAnsi="Arial"/>
                <w:sz w:val="18"/>
                <w:szCs w:val="18"/>
                <w:color w:val="auto"/>
                <w:w w:val="95"/>
              </w:rPr>
              <w:t>79,180,107</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(0.07)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(0.13)</w:t>
            </w:r>
          </w:p>
        </w:tc>
      </w:tr>
    </w:tbl>
    <w:p>
      <w:pPr>
        <w:spacing w:after="0" w:line="94"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following outstanding potentially dilutive common stock equivalents were excluded from the computation of diluted net loss per share because the effect would have been anti-dilutive as of June 30: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8,629,392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9,037,194</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1,650,000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1,255,000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1,355,000</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11,534,392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10,392,194</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420" w:firstLine="225"/>
        <w:spacing w:after="0" w:line="264" w:lineRule="auto"/>
        <w:rPr>
          <w:sz w:val="20"/>
          <w:szCs w:val="20"/>
          <w:color w:val="auto"/>
        </w:rPr>
      </w:pPr>
      <w:r>
        <w:rPr>
          <w:rFonts w:ascii="Arial" w:cs="Arial" w:eastAsia="Arial" w:hAnsi="Arial"/>
          <w:sz w:val="18"/>
          <w:szCs w:val="18"/>
          <w:color w:val="auto"/>
        </w:rPr>
        <w:t>Comprehensive loss is comprised of net losses and other comprehensive loss (or OCL). OCL includes certain changes in stockholders’ equity that are excluded from net losses. Specifically, we include in OCL changes in unrealized gains and losses on our marketable securities. Accumulated other comprehensive loss was $1,703,438 as of June 30, 2008 and $283,874 as of December 31, 2007.</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Comprehensive loss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6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8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8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8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 (6,715,476)</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 (5,423,990)</w:t>
            </w:r>
          </w:p>
        </w:tc>
        <w:tc>
          <w:tcPr>
            <w:tcW w:w="184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 (13,260,465)</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 (10,043,742)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6"/>
              </w:rPr>
              <w:t>Net change in unrealized gains and losses on marketable securities</w:t>
            </w:r>
          </w:p>
        </w:tc>
        <w:tc>
          <w:tcPr>
            <w:tcW w:w="480" w:type="dxa"/>
            <w:vAlign w:val="bottom"/>
          </w:tcPr>
          <w:p>
            <w:pPr>
              <w:spacing w:after="0"/>
              <w:rPr>
                <w:sz w:val="18"/>
                <w:szCs w:val="18"/>
                <w:color w:val="auto"/>
              </w:rPr>
            </w:pPr>
          </w:p>
        </w:tc>
        <w:tc>
          <w:tcPr>
            <w:tcW w:w="1500" w:type="dxa"/>
            <w:vAlign w:val="bottom"/>
            <w:gridSpan w:val="2"/>
          </w:tcPr>
          <w:p>
            <w:pPr>
              <w:jc w:val="right"/>
              <w:ind w:right="488"/>
              <w:spacing w:after="0"/>
              <w:rPr>
                <w:sz w:val="20"/>
                <w:szCs w:val="20"/>
                <w:color w:val="auto"/>
              </w:rPr>
            </w:pPr>
            <w:r>
              <w:rPr>
                <w:rFonts w:ascii="Arial" w:cs="Arial" w:eastAsia="Arial" w:hAnsi="Arial"/>
                <w:sz w:val="18"/>
                <w:szCs w:val="18"/>
                <w:color w:val="auto"/>
              </w:rPr>
              <w:t>(557,071)</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(332,099)</w:t>
            </w:r>
          </w:p>
        </w:tc>
        <w:tc>
          <w:tcPr>
            <w:tcW w:w="1840" w:type="dxa"/>
            <w:vAlign w:val="bottom"/>
            <w:gridSpan w:val="3"/>
          </w:tcPr>
          <w:p>
            <w:pPr>
              <w:jc w:val="right"/>
              <w:ind w:right="448"/>
              <w:spacing w:after="0"/>
              <w:rPr>
                <w:sz w:val="20"/>
                <w:szCs w:val="20"/>
                <w:color w:val="auto"/>
              </w:rPr>
            </w:pPr>
            <w:r>
              <w:rPr>
                <w:rFonts w:ascii="Arial" w:cs="Arial" w:eastAsia="Arial" w:hAnsi="Arial"/>
                <w:sz w:val="18"/>
                <w:szCs w:val="18"/>
                <w:color w:val="auto"/>
              </w:rPr>
              <w:t>(1,419,565)</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(3,184,232)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98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(7,272,547)</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(5,756,089)</w:t>
            </w:r>
          </w:p>
        </w:tc>
        <w:tc>
          <w:tcPr>
            <w:tcW w:w="184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 (14,680,030)</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 (13,227,974)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60" w:firstLine="225"/>
        <w:spacing w:after="0" w:line="257" w:lineRule="auto"/>
        <w:rPr>
          <w:sz w:val="20"/>
          <w:szCs w:val="20"/>
          <w:color w:val="auto"/>
        </w:rPr>
      </w:pPr>
      <w:r>
        <w:rPr>
          <w:rFonts w:ascii="Arial" w:cs="Arial" w:eastAsia="Arial" w:hAnsi="Arial"/>
          <w:sz w:val="18"/>
          <w:szCs w:val="18"/>
          <w:color w:val="auto"/>
        </w:rPr>
        <w:t xml:space="preserve">In September 2006, the Financial Accounting Standards Board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SFAS 157 defines fair value, establishes a framework and gives guidance regarding the methods used for measuring fair value, and expands disclosures about fair value measurements. SFAS 157 is effective for financial statements issued for fiscal years beginning after November 15, 2007, and interim periods within those fiscal years. We adopted the provisions of SFAS 157 that became effective in our first quarter of 2008. See note 3 “Fair Value Measurements” for further information about the adoption of the required provisions of SFAS 157.</w:t>
      </w:r>
    </w:p>
    <w:p>
      <w:pPr>
        <w:spacing w:after="0" w:line="80"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 xml:space="preserve">In February 2008, the FASB issued FASB Staff Position (FSP) No. FAS 157-2, </w:t>
      </w:r>
      <w:r>
        <w:rPr>
          <w:rFonts w:ascii="Arial" w:cs="Arial" w:eastAsia="Arial" w:hAnsi="Arial"/>
          <w:sz w:val="18"/>
          <w:szCs w:val="18"/>
          <w:i w:val="1"/>
          <w:iCs w:val="1"/>
          <w:color w:val="auto"/>
        </w:rPr>
        <w:t>Effective Date of FASB Statement No. 157</w:t>
      </w:r>
      <w:r>
        <w:rPr>
          <w:rFonts w:ascii="Arial" w:cs="Arial" w:eastAsia="Arial" w:hAnsi="Arial"/>
          <w:sz w:val="18"/>
          <w:szCs w:val="18"/>
          <w:color w:val="auto"/>
        </w:rPr>
        <w:t xml:space="preserve"> (FSP 157-2). FSP 157-2 delays the effective date of SFAS 157 for nonfinancial assets and nonfinancial liabilities, except for certain items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that are recognized or disclosed at fair value in the financial statements on a recurring basis (at least annually). We are currently evaluating the impact of SFAS 157 on our consolidated financial statements for items within the scope of FSP 157-2, which will become effective beginning with our first quarter of 2009.</w:t>
      </w:r>
    </w:p>
    <w:p>
      <w:pPr>
        <w:spacing w:after="0" w:line="73"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color w:val="auto"/>
        </w:rPr>
        <w:t xml:space="preserve">In February 2007, the FASB issued SFAS No. 159, </w:t>
      </w:r>
      <w:r>
        <w:rPr>
          <w:rFonts w:ascii="Arial" w:cs="Arial" w:eastAsia="Arial" w:hAnsi="Arial"/>
          <w:sz w:val="16"/>
          <w:szCs w:val="16"/>
          <w:i w:val="1"/>
          <w:iCs w:val="1"/>
          <w:color w:val="auto"/>
        </w:rPr>
        <w:t>The Fair Value Option for Financial Assets and Financial Liabilities—Including 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FASB Statement No. 115 </w:t>
      </w:r>
      <w:r>
        <w:rPr>
          <w:rFonts w:ascii="Arial" w:cs="Arial" w:eastAsia="Arial" w:hAnsi="Arial"/>
          <w:sz w:val="16"/>
          <w:szCs w:val="16"/>
          <w:color w:val="auto"/>
        </w:rPr>
        <w:t>(SFAS 159). Under SFAS 159, a company may choose, at specified election dates, to measure eligible items at fair value and report</w:t>
      </w:r>
      <w:r>
        <w:rPr>
          <w:rFonts w:ascii="Arial" w:cs="Arial" w:eastAsia="Arial" w:hAnsi="Arial"/>
          <w:sz w:val="16"/>
          <w:szCs w:val="16"/>
          <w:i w:val="1"/>
          <w:iCs w:val="1"/>
          <w:color w:val="auto"/>
        </w:rPr>
        <w:t xml:space="preserve"> </w:t>
      </w:r>
      <w:r>
        <w:rPr>
          <w:rFonts w:ascii="Arial" w:cs="Arial" w:eastAsia="Arial" w:hAnsi="Arial"/>
          <w:sz w:val="16"/>
          <w:szCs w:val="16"/>
          <w:color w:val="auto"/>
        </w:rPr>
        <w:t>unrealized gains and losses on items for which the fair value option has been elected in earnings at each subsequent reporting date. SFAS 159 is effective for financial statements issued for fiscal years beginning after November 15, 2007, and interim periods within those fiscal years. SFAS 159 became effective beginning with our first quarter of 2008. At this time, we have chosen not to adopt the provisions of SFAS 159 for our existing financial instruments.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Financial Assets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our cash, cash equivalents and marketable securities: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June 30, 2008</w:t>
            </w:r>
          </w:p>
        </w:tc>
        <w:tc>
          <w:tcPr>
            <w:tcW w:w="1880" w:type="dxa"/>
            <w:vAlign w:val="bottom"/>
            <w:gridSpan w:val="4"/>
          </w:tcPr>
          <w:p>
            <w:pPr>
              <w:ind w:left="620"/>
              <w:spacing w:after="0"/>
              <w:rPr>
                <w:sz w:val="20"/>
                <w:szCs w:val="20"/>
                <w:color w:val="auto"/>
              </w:rPr>
            </w:pPr>
            <w:r>
              <w:rPr>
                <w:rFonts w:ascii="Arial" w:cs="Arial" w:eastAsia="Arial" w:hAnsi="Arial"/>
                <w:sz w:val="14"/>
                <w:szCs w:val="14"/>
                <w:b w:val="1"/>
                <w:bCs w:val="1"/>
                <w:color w:val="auto"/>
                <w:w w:val="98"/>
              </w:rPr>
              <w:t>December 31, 2007</w:t>
            </w: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279,304</w:t>
            </w:r>
          </w:p>
        </w:tc>
        <w:tc>
          <w:tcPr>
            <w:tcW w:w="8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549,544</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Money market accounts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389,906</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5,079,564</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Treasury obligations and corporate debt securities (due within 90 days)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17,923,513</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4,130,061</w:t>
            </w:r>
          </w:p>
        </w:tc>
      </w:tr>
      <w:tr>
        <w:trPr>
          <w:trHeight w:val="230"/>
        </w:trPr>
        <w:tc>
          <w:tcPr>
            <w:tcW w:w="20" w:type="dxa"/>
            <w:vAlign w:val="bottom"/>
          </w:tcPr>
          <w:p>
            <w:pPr>
              <w:spacing w:after="0"/>
              <w:rPr>
                <w:sz w:val="20"/>
                <w:szCs w:val="20"/>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Total cash and cash equivalents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18,592,723</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9,759,169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Corporate debt securities, current (due within 1 year)</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7,610,694</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26,696,413</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debt securities, non-current (due in 1 to 5 years)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1,189,503</w:t>
            </w:r>
          </w:p>
        </w:tc>
      </w:tr>
      <w:tr>
        <w:trPr>
          <w:trHeight w:val="223"/>
        </w:trPr>
        <w:tc>
          <w:tcPr>
            <w:tcW w:w="20" w:type="dxa"/>
            <w:vAlign w:val="bottom"/>
          </w:tcPr>
          <w:p>
            <w:pPr>
              <w:spacing w:after="0"/>
              <w:rPr>
                <w:sz w:val="19"/>
                <w:szCs w:val="19"/>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Equity securities, non-current</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551,915</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1,961,468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marketable securities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8,162,609</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29,847,384</w:t>
            </w:r>
          </w:p>
        </w:tc>
      </w:tr>
      <w:tr>
        <w:trPr>
          <w:trHeight w:val="223"/>
        </w:trPr>
        <w:tc>
          <w:tcPr>
            <w:tcW w:w="20" w:type="dxa"/>
            <w:vAlign w:val="bottom"/>
          </w:tcPr>
          <w:p>
            <w:pPr>
              <w:spacing w:after="0"/>
              <w:rPr>
                <w:sz w:val="19"/>
                <w:szCs w:val="19"/>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Total cash, cash equivalents, and marketable securities, current and non-current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26,755,332</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39,606,553</w:t>
            </w:r>
          </w:p>
        </w:tc>
        <w:tc>
          <w:tcPr>
            <w:tcW w:w="100" w:type="dxa"/>
            <w:vAlign w:val="bottom"/>
          </w:tcPr>
          <w:p>
            <w:pPr>
              <w:spacing w:after="0"/>
              <w:rPr>
                <w:sz w:val="19"/>
                <w:szCs w:val="19"/>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unrealized gains and losses related to our investments in marketable securities designated as available-for-sale: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As of June 30, 2008</w:t>
            </w:r>
          </w:p>
        </w:tc>
        <w:tc>
          <w:tcPr>
            <w:tcW w:w="30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Gross unrealized</w:t>
            </w:r>
          </w:p>
        </w:tc>
        <w:tc>
          <w:tcPr>
            <w:tcW w:w="30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Gross unrealized</w:t>
            </w:r>
          </w:p>
        </w:tc>
        <w:tc>
          <w:tcPr>
            <w:tcW w:w="3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gains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8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7,596,350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23,526</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(9,182)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7,610,694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Equity securities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2,269,697</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(1,717,782)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551,915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8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9,866,047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23,526</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(1,726,964)</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8,162,609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As of December 31, 2007</w:t>
            </w:r>
          </w:p>
        </w:tc>
        <w:tc>
          <w:tcPr>
            <w:tcW w:w="300" w:type="dxa"/>
            <w:vAlign w:val="bottom"/>
          </w:tcPr>
          <w:p>
            <w:pPr>
              <w:spacing w:after="0"/>
              <w:rPr>
                <w:sz w:val="24"/>
                <w:szCs w:val="24"/>
                <w:color w:val="auto"/>
              </w:rPr>
            </w:pPr>
          </w:p>
        </w:tc>
        <w:tc>
          <w:tcPr>
            <w:tcW w:w="10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Estimated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Amortized cost</w:t>
            </w:r>
          </w:p>
        </w:tc>
        <w:tc>
          <w:tcPr>
            <w:tcW w:w="620" w:type="dxa"/>
            <w:vAlign w:val="bottom"/>
            <w:vMerge w:val="restart"/>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Gross unrealized</w:t>
            </w:r>
          </w:p>
        </w:tc>
        <w:tc>
          <w:tcPr>
            <w:tcW w:w="16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Gross unrealized</w:t>
            </w:r>
          </w:p>
        </w:tc>
        <w:tc>
          <w:tcPr>
            <w:tcW w:w="3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losses</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$ 27,861,218</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28,246</w:t>
            </w:r>
          </w:p>
        </w:tc>
        <w:tc>
          <w:tcPr>
            <w:tcW w:w="32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(3,548)</w:t>
            </w: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$ 27,885,916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Equity securities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2,269,697</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(308,229)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1,961,468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18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2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$ 30,130,915</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28,246</w:t>
            </w:r>
          </w:p>
        </w:tc>
        <w:tc>
          <w:tcPr>
            <w:tcW w:w="32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(311,777)</w:t>
            </w: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$ 29,847,384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720" w:firstLine="225"/>
        <w:spacing w:after="0" w:line="308" w:lineRule="auto"/>
        <w:rPr>
          <w:sz w:val="20"/>
          <w:szCs w:val="20"/>
          <w:color w:val="auto"/>
        </w:rPr>
      </w:pPr>
      <w:r>
        <w:rPr>
          <w:rFonts w:ascii="Arial" w:cs="Arial" w:eastAsia="Arial" w:hAnsi="Arial"/>
          <w:sz w:val="17"/>
          <w:szCs w:val="17"/>
          <w:color w:val="auto"/>
        </w:rPr>
        <w:t>Gross unrealized gains and losses on cash equivalents were not material at June 30, 2008 and December 31, 2007. Our investments in marketable corporate debt securities consist primarily of commercial paper, corporate bonds, and asset-backed securities.</w:t>
      </w:r>
    </w:p>
    <w:p>
      <w:pPr>
        <w:spacing w:after="0" w:line="38"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Our investment in marketable equity securities consists of shares in ReNeuron Group plc, a publicly listed UK corporation. In July 2005, we entered into a license and settlement agreement with ReNeuron Limited, a wholly-owned subsidiary of ReNeuron Group plc, (collectively referred to as “ReNeuron”). As part of the agreement, we granted ReNeuron a license that allows ReNeuron to exploit its “c-mycER” conditionally immortalized adult human neural stem cell technology for therapy and other purposes. In return for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license, we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 In February 2007, we sold 5,275,000 ordinary shares of ReNeuron for net proceeds of approximately $3,075,000 and we recognized a realized gain of approximately $716,000. In February 2007, as a consequence of certain anti-dilution provisions in the agreement, ReNeuron issued us an additional 822,000 shares of common stock net of approximately 12,000 shares which were transferred to NeuroSpheres Ltd. (NeuroSpheres), a Canadian corporation from which we have licensed some of the patent rights that are subject to the agreement with ReNeuron. We recorded approximately $550,000 as other income for the additional shares. We owned 4,821,924 ordinary shares of ReNeuron at June 30, 2008 and December 31, 2007 and the fair value of those shares was approximately $552,000 at June 30, 2008 and approximately $1,961,000 at December 31, 2007.</w:t>
      </w:r>
    </w:p>
    <w:p>
      <w:pPr>
        <w:spacing w:after="0" w:line="70"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Changes in the market value of our ReNeuron shares as a result of changes in market price per share or the exchange rate between the US dollar and the British pound are accounted for under “other comprehensive loss” if deemed temporary and are not recorded as “other income (expense), net” until the shares are disposed of and a gain or loss realized.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w:t>
      </w:r>
    </w:p>
    <w:p>
      <w:pPr>
        <w:spacing w:after="0" w:line="121"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Effective January 1, 2008, we adopted SFAS 157, except as it applies to the nonfinancial assets and nonfinancial liabilities subject to FSP SFAS 157-2. SFAS 157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SFAS 157 establishes a three-tier value hierarchy, which prioritizes the inputs used in the valuation methodologies in measuring fair value:</w:t>
      </w:r>
    </w:p>
    <w:p>
      <w:pPr>
        <w:spacing w:after="0" w:line="30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Observable inputs that reflect quoted prices (unadjusted) for identical assets or liabilities in active markets.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Include other inputs that are directly or indirectly observable in the marketplace.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which are supported by little or no market activity.</w:t>
      </w:r>
    </w:p>
    <w:p>
      <w:pPr>
        <w:spacing w:after="0" w:line="121"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62" w:lineRule="exact"/>
        <w:rPr>
          <w:sz w:val="20"/>
          <w:szCs w:val="20"/>
          <w:color w:val="auto"/>
        </w:rPr>
      </w:pPr>
    </w:p>
    <w:p>
      <w:pPr>
        <w:ind w:right="300" w:firstLine="225"/>
        <w:spacing w:after="0" w:line="312" w:lineRule="auto"/>
        <w:rPr>
          <w:sz w:val="20"/>
          <w:szCs w:val="20"/>
          <w:color w:val="auto"/>
        </w:rPr>
      </w:pPr>
      <w:r>
        <w:rPr>
          <w:rFonts w:ascii="Arial" w:cs="Arial" w:eastAsia="Arial" w:hAnsi="Arial"/>
          <w:sz w:val="16"/>
          <w:szCs w:val="16"/>
          <w:color w:val="auto"/>
        </w:rPr>
        <w:t>In accordance with SFAS 157, we measure our financial assets and liabilities at fair value. Our cash equivalents and marketable securities are primarily classified within Level 1 or Level 2. This is because our cash equivalents and marketable securities are valued primarily using quoted market prices or alternative pricing sources and models utilizing market observable inputs. We currently do not have any Level 3 financial assets or liabilities.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assets and liabilities measured at fair value: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380" w:type="dxa"/>
            <w:vAlign w:val="bottom"/>
            <w:gridSpan w:val="6"/>
          </w:tcPr>
          <w:p>
            <w:pPr>
              <w:jc w:val="right"/>
              <w:ind w:right="1380"/>
              <w:spacing w:after="0"/>
              <w:rPr>
                <w:sz w:val="20"/>
                <w:szCs w:val="20"/>
                <w:color w:val="auto"/>
              </w:rPr>
            </w:pPr>
            <w:r>
              <w:rPr>
                <w:rFonts w:ascii="Arial" w:cs="Arial" w:eastAsia="Arial" w:hAnsi="Arial"/>
                <w:sz w:val="14"/>
                <w:szCs w:val="14"/>
                <w:b w:val="1"/>
                <w:bCs w:val="1"/>
                <w:color w:val="auto"/>
                <w:w w:val="94"/>
              </w:rPr>
              <w:t>Fair value measurement at reporting date using</w:t>
            </w:r>
          </w:p>
        </w:tc>
        <w:tc>
          <w:tcPr>
            <w:tcW w:w="10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Quoted Prices in Active</w:t>
            </w:r>
          </w:p>
        </w:tc>
        <w:tc>
          <w:tcPr>
            <w:tcW w:w="2460" w:type="dxa"/>
            <w:vAlign w:val="bottom"/>
            <w:gridSpan w:val="3"/>
          </w:tcPr>
          <w:p>
            <w:pPr>
              <w:jc w:val="right"/>
              <w:ind w:right="1340"/>
              <w:spacing w:after="0" w:line="149" w:lineRule="exact"/>
              <w:rPr>
                <w:sz w:val="20"/>
                <w:szCs w:val="20"/>
                <w:color w:val="auto"/>
              </w:rPr>
            </w:pPr>
            <w:r>
              <w:rPr>
                <w:rFonts w:ascii="Arial" w:cs="Arial" w:eastAsia="Arial" w:hAnsi="Arial"/>
                <w:sz w:val="14"/>
                <w:szCs w:val="14"/>
                <w:b w:val="1"/>
                <w:bCs w:val="1"/>
                <w:color w:val="auto"/>
                <w:w w:val="97"/>
              </w:rPr>
              <w:t>Significant Other</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4100" w:type="dxa"/>
            <w:vAlign w:val="bottom"/>
            <w:gridSpan w:val="4"/>
          </w:tcPr>
          <w:p>
            <w:pPr>
              <w:ind w:left="2180"/>
              <w:spacing w:after="0" w:line="149" w:lineRule="exact"/>
              <w:rPr>
                <w:sz w:val="20"/>
                <w:szCs w:val="20"/>
                <w:color w:val="auto"/>
              </w:rPr>
            </w:pPr>
            <w:r>
              <w:rPr>
                <w:rFonts w:ascii="Arial" w:cs="Arial" w:eastAsia="Arial" w:hAnsi="Arial"/>
                <w:sz w:val="14"/>
                <w:szCs w:val="14"/>
                <w:b w:val="1"/>
                <w:bCs w:val="1"/>
                <w:color w:val="auto"/>
              </w:rPr>
              <w:t>Markets for Identical Assets</w:t>
            </w:r>
          </w:p>
        </w:tc>
        <w:tc>
          <w:tcPr>
            <w:tcW w:w="2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 Inputs</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2260" w:type="dxa"/>
            <w:vAlign w:val="bottom"/>
            <w:gridSpan w:val="2"/>
          </w:tcPr>
          <w:p>
            <w:pPr>
              <w:jc w:val="right"/>
              <w:ind w:right="16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82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Cash Equivalents: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389,906</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U.S. Treasury obligations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17,923,513</w:t>
            </w:r>
          </w:p>
        </w:tc>
        <w:tc>
          <w:tcPr>
            <w:tcW w:w="200" w:type="dxa"/>
            <w:vAlign w:val="bottom"/>
          </w:tcPr>
          <w:p>
            <w:pPr>
              <w:spacing w:after="0"/>
              <w:rPr>
                <w:sz w:val="18"/>
                <w:szCs w:val="18"/>
                <w:color w:val="auto"/>
              </w:rPr>
            </w:pPr>
          </w:p>
        </w:tc>
        <w:tc>
          <w:tcPr>
            <w:tcW w:w="226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17,923,513</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Equity securities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551,915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551,915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998,381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998,381</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60" w:type="dxa"/>
            <w:vAlign w:val="bottom"/>
            <w:gridSpan w:val="2"/>
          </w:tcPr>
          <w:p>
            <w:pPr>
              <w:jc w:val="right"/>
              <w:ind w:right="1320"/>
              <w:spacing w:after="0"/>
              <w:rPr>
                <w:sz w:val="20"/>
                <w:szCs w:val="20"/>
                <w:color w:val="auto"/>
              </w:rPr>
            </w:pPr>
            <w:r>
              <w:rPr>
                <w:rFonts w:ascii="Arial" w:cs="Arial" w:eastAsia="Arial" w:hAnsi="Arial"/>
                <w:sz w:val="18"/>
                <w:szCs w:val="18"/>
                <w:color w:val="auto"/>
              </w:rPr>
              <w:t>2,805,305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2,805,305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3,807,008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3,807,008</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Total assets</w:t>
            </w:r>
          </w:p>
        </w:tc>
        <w:tc>
          <w:tcPr>
            <w:tcW w:w="2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18,865,334</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7,610,694</w:t>
            </w:r>
          </w:p>
        </w:tc>
        <w:tc>
          <w:tcPr>
            <w:tcW w:w="1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26,476,028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Bond obligation</w:t>
            </w:r>
          </w:p>
        </w:tc>
        <w:tc>
          <w:tcPr>
            <w:tcW w:w="2300" w:type="dxa"/>
            <w:vAlign w:val="bottom"/>
            <w:gridSpan w:val="2"/>
          </w:tcPr>
          <w:p>
            <w:pPr>
              <w:ind w:left="218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320"/>
              <w:spacing w:after="0"/>
              <w:rPr>
                <w:sz w:val="20"/>
                <w:szCs w:val="20"/>
                <w:color w:val="auto"/>
              </w:rPr>
            </w:pPr>
            <w:r>
              <w:rPr>
                <w:rFonts w:ascii="Arial" w:cs="Arial" w:eastAsia="Arial" w:hAnsi="Arial"/>
                <w:sz w:val="18"/>
                <w:szCs w:val="18"/>
                <w:color w:val="auto"/>
              </w:rPr>
              <w:t>1,080,416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1,080,416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180" w:type="dxa"/>
            <w:vAlign w:val="bottom"/>
            <w:vMerge w:val="restart"/>
          </w:tcPr>
          <w:p>
            <w:pPr>
              <w:jc w:val="right"/>
              <w:ind w:right="134"/>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4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Stock-Based Compensation</w:t>
      </w:r>
    </w:p>
    <w:p>
      <w:pPr>
        <w:spacing w:after="0" w:line="121"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We currently grant stock-based awards under three equity incentive plans. We had 15,227,244 shares authorized under the three plans as of June 30, 2008. Under these plans we may grant incentive stock options, nonqualified stock options, stock appreciation rights, restricted stock, restricted stock units, and performance-based shares to our employees, directors and consultants, at prices determined by our Board of Directors. Incentive stock options may only be granted to employees under these plans with a grant price not less than the fair market value on the date of grant.</w:t>
      </w:r>
    </w:p>
    <w:p>
      <w:pPr>
        <w:spacing w:after="0" w:line="63"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Our compensation expense for stock options and restricted stock units issued from our equity incentive plans for the three and six months ended June 30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40" w:type="dxa"/>
            <w:vAlign w:val="bottom"/>
            <w:gridSpan w:val="6"/>
          </w:tcPr>
          <w:p>
            <w:pPr>
              <w:ind w:lef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475,980</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305,322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956,329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567,602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487,859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338,215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978,437</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employee stock-based compensation expense and effect on net loss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963,839</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643,537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1,934,766</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1,262,522</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Effect on basic and diluted net loss per common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15"/>
        <w:spacing w:after="0" w:line="308" w:lineRule="auto"/>
        <w:rPr>
          <w:sz w:val="20"/>
          <w:szCs w:val="20"/>
          <w:color w:val="auto"/>
        </w:rPr>
      </w:pPr>
      <w:r>
        <w:rPr>
          <w:rFonts w:ascii="Arial" w:cs="Arial" w:eastAsia="Arial" w:hAnsi="Arial"/>
          <w:sz w:val="17"/>
          <w:szCs w:val="17"/>
          <w:color w:val="auto"/>
        </w:rPr>
        <w:t>As of June 30, 2008, we have approximately $6,780,000 of total unrecognized compensation expense related to unvested options and restricted stock units granted under our various stock-based plans that we expect to recognize over a weighted-average vesting period of 2.5 years.</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Incentive Stock Options</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Generally, stock options granted to employees have a maximum term of ten years, and vest over a four year period from the date of grant; 25% vest at the end of one year, and 75% vest monthly over the remaining three years. We may grant options with different vesting terms from time to time. Upon employee termination of service, any unexercised vested option will be forfeited three months following termination or the expiration of the option, whichever is earlier. Unvested options are forfeited on termination.</w:t>
      </w:r>
    </w:p>
    <w:p>
      <w:pPr>
        <w:spacing w:after="0" w:line="79"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fair value of options granted is estimated as of the date of grant using the Black-Scholes option pricing model, which requires certain assumptions as of the date of grant. The weighted-average assumptions used as of June 30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58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860" w:type="dxa"/>
            <w:vAlign w:val="bottom"/>
            <w:gridSpan w:val="3"/>
          </w:tcPr>
          <w:p>
            <w:pPr>
              <w:jc w:val="center"/>
              <w:ind w:left="668"/>
              <w:spacing w:after="0"/>
              <w:rPr>
                <w:sz w:val="20"/>
                <w:szCs w:val="20"/>
                <w:color w:val="auto"/>
              </w:rPr>
            </w:pPr>
            <w:r>
              <w:rPr>
                <w:rFonts w:ascii="Arial" w:cs="Arial" w:eastAsia="Arial" w:hAnsi="Arial"/>
                <w:sz w:val="14"/>
                <w:szCs w:val="14"/>
                <w:b w:val="1"/>
                <w:bCs w:val="1"/>
                <w:color w:val="auto"/>
                <w:w w:val="89"/>
              </w:rPr>
              <w:t>Six months ended</w:t>
            </w:r>
          </w:p>
        </w:tc>
        <w:tc>
          <w:tcPr>
            <w:tcW w:w="740" w:type="dxa"/>
            <w:vAlign w:val="bottom"/>
          </w:tcPr>
          <w:p>
            <w:pPr>
              <w:spacing w:after="0"/>
              <w:rPr>
                <w:sz w:val="14"/>
                <w:szCs w:val="14"/>
                <w:color w:val="auto"/>
              </w:rPr>
            </w:pPr>
          </w:p>
        </w:tc>
      </w:tr>
      <w:tr>
        <w:trPr>
          <w:trHeight w:val="171"/>
        </w:trPr>
        <w:tc>
          <w:tcPr>
            <w:tcW w:w="57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9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104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(years)(1)</w:t>
            </w:r>
          </w:p>
        </w:tc>
        <w:tc>
          <w:tcPr>
            <w:tcW w:w="9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7.97</w:t>
            </w:r>
          </w:p>
        </w:tc>
        <w:tc>
          <w:tcPr>
            <w:tcW w:w="162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6.25</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6.36</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6.25</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Risk-free interest rate(2)</w:t>
            </w:r>
          </w:p>
        </w:tc>
        <w:tc>
          <w:tcPr>
            <w:tcW w:w="960" w:type="dxa"/>
            <w:vAlign w:val="bottom"/>
          </w:tcPr>
          <w:p>
            <w:pPr>
              <w:jc w:val="right"/>
              <w:spacing w:after="0"/>
              <w:rPr>
                <w:sz w:val="20"/>
                <w:szCs w:val="20"/>
                <w:color w:val="auto"/>
              </w:rPr>
            </w:pPr>
            <w:r>
              <w:rPr>
                <w:rFonts w:ascii="Arial" w:cs="Arial" w:eastAsia="Arial" w:hAnsi="Arial"/>
                <w:sz w:val="18"/>
                <w:szCs w:val="18"/>
                <w:color w:val="auto"/>
              </w:rPr>
              <w:t>3.85%</w:t>
            </w:r>
          </w:p>
        </w:tc>
        <w:tc>
          <w:tcPr>
            <w:tcW w:w="1620" w:type="dxa"/>
            <w:vAlign w:val="bottom"/>
            <w:gridSpan w:val="3"/>
          </w:tcPr>
          <w:p>
            <w:pPr>
              <w:jc w:val="right"/>
              <w:ind w:right="88"/>
              <w:spacing w:after="0"/>
              <w:rPr>
                <w:sz w:val="20"/>
                <w:szCs w:val="20"/>
                <w:color w:val="auto"/>
              </w:rPr>
            </w:pPr>
            <w:r>
              <w:rPr>
                <w:rFonts w:ascii="Arial" w:cs="Arial" w:eastAsia="Arial" w:hAnsi="Arial"/>
                <w:sz w:val="18"/>
                <w:szCs w:val="18"/>
                <w:color w:val="auto"/>
              </w:rPr>
              <w:t>4.68%</w:t>
            </w:r>
          </w:p>
        </w:tc>
        <w:tc>
          <w:tcPr>
            <w:tcW w:w="1540" w:type="dxa"/>
            <w:vAlign w:val="bottom"/>
            <w:gridSpan w:val="2"/>
          </w:tcPr>
          <w:p>
            <w:pPr>
              <w:jc w:val="right"/>
              <w:ind w:right="88"/>
              <w:spacing w:after="0"/>
              <w:rPr>
                <w:sz w:val="20"/>
                <w:szCs w:val="20"/>
                <w:color w:val="auto"/>
              </w:rPr>
            </w:pPr>
            <w:r>
              <w:rPr>
                <w:rFonts w:ascii="Arial" w:cs="Arial" w:eastAsia="Arial" w:hAnsi="Arial"/>
                <w:sz w:val="18"/>
                <w:szCs w:val="18"/>
                <w:color w:val="auto"/>
              </w:rPr>
              <w:t>2.89%</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4.59%</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62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98.17%</w:t>
            </w:r>
          </w:p>
        </w:tc>
        <w:tc>
          <w:tcPr>
            <w:tcW w:w="15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93.87%</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8"/>
              </w:rPr>
              <w:t>99.13%</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Expected dividend yield(4)</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620" w:type="dxa"/>
            <w:vAlign w:val="bottom"/>
            <w:gridSpan w:val="3"/>
          </w:tcPr>
          <w:p>
            <w:pPr>
              <w:jc w:val="right"/>
              <w:ind w:right="88"/>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88"/>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6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term represents the period during which our stock-based awards are expected to be outstanding. In 2008 we estimated this amount based on historical experience of similar awards, giving consideration to the contractual terms of the awards, vesting requirements, and expectation of future employee behavior, including post-vesting terminations. In 2007 the expected term is equal to the average of the contractual life of the stock option and its vesting period as of the date of grant.</w:t>
      </w:r>
    </w:p>
    <w:p>
      <w:pPr>
        <w:spacing w:after="0" w:line="3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risk-free interest rate is based on U.S. Treasury debt securities with maturities close to the expected term of the option as of the date of grant.</w:t>
      </w:r>
    </w:p>
    <w:p>
      <w:pPr>
        <w:spacing w:after="0" w:line="99" w:lineRule="exact"/>
        <w:rPr>
          <w:rFonts w:ascii="Arial" w:cs="Arial" w:eastAsia="Arial" w:hAnsi="Arial"/>
          <w:sz w:val="16"/>
          <w:szCs w:val="16"/>
          <w:color w:val="auto"/>
        </w:rPr>
      </w:pPr>
    </w:p>
    <w:p>
      <w:pPr>
        <w:ind w:left="460" w:right="1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volatility is based on historical volatility over the most recent historical period equal to the length of the expected term of the option as of the date of grant.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(4) We have not historically issued any dividends and we do not expect to in the foreseeable future.</w:t>
      </w:r>
    </w:p>
    <w:p>
      <w:pPr>
        <w:spacing w:after="0" w:line="117" w:lineRule="exact"/>
        <w:rPr>
          <w:sz w:val="20"/>
          <w:szCs w:val="20"/>
          <w:color w:val="auto"/>
        </w:rPr>
      </w:pPr>
    </w:p>
    <w:p>
      <w:pPr>
        <w:ind w:right="380" w:firstLine="215"/>
        <w:spacing w:after="0" w:line="277" w:lineRule="auto"/>
        <w:rPr>
          <w:sz w:val="20"/>
          <w:szCs w:val="20"/>
          <w:color w:val="auto"/>
        </w:rPr>
      </w:pPr>
      <w:r>
        <w:rPr>
          <w:rFonts w:ascii="Arial" w:cs="Arial" w:eastAsia="Arial" w:hAnsi="Arial"/>
          <w:sz w:val="18"/>
          <w:szCs w:val="18"/>
          <w:color w:val="auto"/>
        </w:rPr>
        <w:t>At the end of each reporting period, we estimate forfeiture rates based on our historical experience within separate groups of employees and adjust the stock-based compensation expense accordingly.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our stock option activity for the three months ended June 30, 2008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7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Number of options</w:t>
            </w:r>
          </w:p>
        </w:tc>
        <w:tc>
          <w:tcPr>
            <w:tcW w:w="50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w w:val="96"/>
              </w:rPr>
              <w:t>Weighted-average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700" w:type="dxa"/>
            <w:vAlign w:val="bottom"/>
            <w:tcBorders>
              <w:bottom w:val="single" w:sz="8" w:color="auto"/>
            </w:tcBorders>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March 31, 2008</w:t>
            </w:r>
          </w:p>
        </w:tc>
        <w:tc>
          <w:tcPr>
            <w:tcW w:w="1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8,798,903</w:t>
            </w:r>
          </w:p>
        </w:tc>
        <w:tc>
          <w:tcPr>
            <w:tcW w:w="17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Granted</w:t>
            </w:r>
          </w:p>
        </w:tc>
        <w:tc>
          <w:tcPr>
            <w:tcW w:w="1700" w:type="dxa"/>
            <w:vAlign w:val="bottom"/>
            <w:gridSpan w:val="3"/>
          </w:tcPr>
          <w:p>
            <w:pPr>
              <w:jc w:val="right"/>
              <w:ind w:right="480"/>
              <w:spacing w:after="0"/>
              <w:rPr>
                <w:sz w:val="20"/>
                <w:szCs w:val="20"/>
                <w:color w:val="auto"/>
              </w:rPr>
            </w:pPr>
            <w:r>
              <w:rPr>
                <w:rFonts w:ascii="Arial" w:cs="Arial" w:eastAsia="Arial" w:hAnsi="Arial"/>
                <w:sz w:val="18"/>
                <w:szCs w:val="18"/>
                <w:color w:val="auto"/>
              </w:rPr>
              <w:t>10,000</w:t>
            </w:r>
          </w:p>
        </w:tc>
        <w:tc>
          <w:tcPr>
            <w:tcW w:w="1760" w:type="dxa"/>
            <w:vAlign w:val="bottom"/>
            <w:gridSpan w:val="2"/>
          </w:tcPr>
          <w:p>
            <w:pPr>
              <w:jc w:val="right"/>
              <w:ind w:right="408"/>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(47,700)</w:t>
            </w:r>
          </w:p>
        </w:tc>
        <w:tc>
          <w:tcPr>
            <w:tcW w:w="17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Cancelled</w:t>
            </w:r>
          </w:p>
        </w:tc>
        <w:tc>
          <w:tcPr>
            <w:tcW w:w="48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(131,811)</w:t>
            </w:r>
          </w:p>
        </w:tc>
        <w:tc>
          <w:tcPr>
            <w:tcW w:w="1760" w:type="dxa"/>
            <w:vAlign w:val="bottom"/>
            <w:gridSpan w:val="2"/>
          </w:tcPr>
          <w:p>
            <w:pPr>
              <w:jc w:val="right"/>
              <w:ind w:right="408"/>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June 30, 2008</w:t>
            </w:r>
          </w:p>
        </w:tc>
        <w:tc>
          <w:tcPr>
            <w:tcW w:w="48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8,629,392</w:t>
            </w:r>
          </w:p>
        </w:tc>
        <w:tc>
          <w:tcPr>
            <w:tcW w:w="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estimated weighted average fair value per share of options granted was approximately $1.19 in the three months ended June 30, 2008, based on the Black-Scholes model and the assumptions discussed above. For the three months ended June 30, 2008, the total intrinsic value of options exercised, as of the time of exercise, was approximately $3,000.</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changes in unvested options for the three months ended June 30, 2008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w w:val="96"/>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7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Number of options</w:t>
            </w:r>
          </w:p>
        </w:tc>
        <w:tc>
          <w:tcPr>
            <w:tcW w:w="500" w:type="dxa"/>
            <w:vAlign w:val="bottom"/>
          </w:tcPr>
          <w:p>
            <w:pPr>
              <w:spacing w:after="0"/>
              <w:rPr>
                <w:sz w:val="12"/>
                <w:szCs w:val="12"/>
                <w:color w:val="auto"/>
              </w:rPr>
            </w:pPr>
          </w:p>
        </w:tc>
        <w:tc>
          <w:tcPr>
            <w:tcW w:w="1260" w:type="dxa"/>
            <w:vAlign w:val="bottom"/>
          </w:tcPr>
          <w:p>
            <w:pPr>
              <w:jc w:val="right"/>
              <w:ind w:right="388"/>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Unvested options at March 31, 2008</w:t>
            </w:r>
          </w:p>
        </w:tc>
        <w:tc>
          <w:tcPr>
            <w:tcW w:w="17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4,115,705</w:t>
            </w:r>
          </w:p>
        </w:tc>
        <w:tc>
          <w:tcPr>
            <w:tcW w:w="17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gridSpan w:val="3"/>
          </w:tcPr>
          <w:p>
            <w:pPr>
              <w:jc w:val="right"/>
              <w:ind w:right="500"/>
              <w:spacing w:after="0"/>
              <w:rPr>
                <w:sz w:val="20"/>
                <w:szCs w:val="20"/>
                <w:color w:val="auto"/>
              </w:rPr>
            </w:pPr>
            <w:r>
              <w:rPr>
                <w:rFonts w:ascii="Arial" w:cs="Arial" w:eastAsia="Arial" w:hAnsi="Arial"/>
                <w:sz w:val="18"/>
                <w:szCs w:val="18"/>
                <w:color w:val="auto"/>
              </w:rPr>
              <w:t>10,000</w:t>
            </w:r>
          </w:p>
        </w:tc>
        <w:tc>
          <w:tcPr>
            <w:tcW w:w="1760" w:type="dxa"/>
            <w:vAlign w:val="bottom"/>
            <w:gridSpan w:val="2"/>
          </w:tcPr>
          <w:p>
            <w:pPr>
              <w:jc w:val="right"/>
              <w:ind w:right="408"/>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7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(407,201)</w:t>
            </w:r>
          </w:p>
        </w:tc>
        <w:tc>
          <w:tcPr>
            <w:tcW w:w="17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Cancelled</w:t>
            </w:r>
          </w:p>
        </w:tc>
        <w:tc>
          <w:tcPr>
            <w:tcW w:w="5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(62,252)</w:t>
            </w:r>
          </w:p>
        </w:tc>
        <w:tc>
          <w:tcPr>
            <w:tcW w:w="1760" w:type="dxa"/>
            <w:vAlign w:val="bottom"/>
            <w:gridSpan w:val="2"/>
          </w:tcPr>
          <w:p>
            <w:pPr>
              <w:jc w:val="right"/>
              <w:ind w:right="408"/>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Unvested options at June 30, 2008</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3,656,252</w:t>
            </w:r>
          </w:p>
        </w:tc>
        <w:tc>
          <w:tcPr>
            <w:tcW w:w="17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estimated fair value of options vested was approximately $857,000 for the three months ended June 30, 2008.</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In March 2008, we granted restricted stock units to certain employees that entitle the holders to receive shares of our common stock upon vesting. These restricted stock units vest over a three-year period from the date of grant: one-third of the award will vest on each grant date anniversary over the following three years. The fair value of restricted stock units granted are based upon the market price of the underlying common stock as if it were vested and issued on the date of grant.</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our restricted stock unit activity for the three months ended June 30, 2008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Weighted 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Number of RSUs</w:t>
            </w:r>
          </w:p>
        </w:tc>
        <w:tc>
          <w:tcPr>
            <w:tcW w:w="5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2008</w:t>
            </w:r>
          </w:p>
        </w:tc>
        <w:tc>
          <w:tcPr>
            <w:tcW w:w="51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1,650,000</w:t>
            </w:r>
          </w:p>
        </w:tc>
        <w:tc>
          <w:tcPr>
            <w:tcW w:w="2060" w:type="dxa"/>
            <w:vAlign w:val="bottom"/>
            <w:gridSpan w:val="2"/>
            <w:shd w:val="clear" w:color="auto" w:fill="CCEEFF"/>
          </w:tcPr>
          <w:p>
            <w:pPr>
              <w:jc w:val="right"/>
              <w:ind w:right="538"/>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Granted</w:t>
            </w:r>
          </w:p>
        </w:tc>
        <w:tc>
          <w:tcPr>
            <w:tcW w:w="3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560" w:type="dxa"/>
            <w:vAlign w:val="bottom"/>
          </w:tcPr>
          <w:p>
            <w:pPr>
              <w:jc w:val="right"/>
              <w:ind w:right="5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Cancelled</w:t>
            </w:r>
          </w:p>
        </w:tc>
        <w:tc>
          <w:tcPr>
            <w:tcW w:w="3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560" w:type="dxa"/>
            <w:vAlign w:val="bottom"/>
          </w:tcPr>
          <w:p>
            <w:pPr>
              <w:jc w:val="right"/>
              <w:ind w:right="5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at June 30, 2008</w:t>
            </w:r>
          </w:p>
        </w:tc>
        <w:tc>
          <w:tcPr>
            <w:tcW w:w="400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1,650,000</w:t>
            </w:r>
          </w:p>
        </w:tc>
        <w:tc>
          <w:tcPr>
            <w:tcW w:w="2060" w:type="dxa"/>
            <w:vAlign w:val="bottom"/>
            <w:gridSpan w:val="2"/>
            <w:shd w:val="clear" w:color="auto" w:fill="CCEEFF"/>
          </w:tcPr>
          <w:p>
            <w:pPr>
              <w:jc w:val="right"/>
              <w:ind w:right="538"/>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RSUs vested at June 30, 2008</w:t>
            </w:r>
          </w:p>
        </w:tc>
        <w:tc>
          <w:tcPr>
            <w:tcW w:w="3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vMerge w:val="restart"/>
          </w:tcPr>
          <w:p>
            <w:pPr>
              <w:jc w:val="right"/>
              <w:ind w:right="538"/>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4200" w:type="dxa"/>
            <w:vAlign w:val="bottom"/>
            <w:gridSpan w:val="2"/>
            <w:vMerge w:val="continue"/>
          </w:tcPr>
          <w:p>
            <w:pPr>
              <w:spacing w:after="0"/>
              <w:rPr>
                <w:sz w:val="18"/>
                <w:szCs w:val="18"/>
                <w:color w:val="auto"/>
              </w:rPr>
            </w:pPr>
          </w:p>
        </w:tc>
        <w:tc>
          <w:tcPr>
            <w:tcW w:w="3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180" w:type="dxa"/>
            <w:vAlign w:val="bottom"/>
          </w:tcPr>
          <w:p>
            <w:pPr>
              <w:ind w:left="80"/>
              <w:spacing w:after="0"/>
              <w:rPr>
                <w:sz w:val="20"/>
                <w:szCs w:val="20"/>
                <w:color w:val="auto"/>
              </w:rPr>
            </w:pPr>
            <w:r>
              <w:rPr>
                <w:rFonts w:ascii="Arial" w:cs="Arial" w:eastAsia="Arial" w:hAnsi="Arial"/>
                <w:sz w:val="18"/>
                <w:szCs w:val="18"/>
                <w:i w:val="1"/>
                <w:iCs w:val="1"/>
                <w:color w:val="auto"/>
              </w:rPr>
              <w:t>Stock Appreciation Rights</w:t>
            </w:r>
          </w:p>
        </w:tc>
        <w:tc>
          <w:tcPr>
            <w:tcW w:w="3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540" w:type="dxa"/>
            <w:vAlign w:val="bottom"/>
          </w:tcPr>
          <w:p>
            <w:pPr>
              <w:jc w:val="right"/>
              <w:ind w:right="1850"/>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In July 2006, we granted cash-settled Stock Appreciation Rights (SARs) to certain employees that give the holder the right, upon exercise, to the difference between the price per share of our common stock at the time of exercise and the exercise price of the SAR. The exercise price of the SAR is equal to the market price of our common stock at the date of grant. The SARs vest over a four year period from the date of grant; 25% vest at the end of one year, and 75% vest monthly over the remaining three years. Compensation expense is based on the fair value of SARs which is calculated using the Black-Scholes option pricing model. The stock-based compensation expense and liability are re-measured at each reporting date through the date of settlement.</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changes in SARs for the three months ended June 30, 2008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6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Number of SARs</w:t>
            </w:r>
          </w:p>
        </w:tc>
        <w:tc>
          <w:tcPr>
            <w:tcW w:w="5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average 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620" w:type="dxa"/>
            <w:vAlign w:val="bottom"/>
            <w:tcBorders>
              <w:bottom w:val="single" w:sz="8" w:color="auto"/>
            </w:tcBorders>
            <w:gridSpan w:val="4"/>
            <w:vMerge w:val="continue"/>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2008</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1,430,849</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Granted</w:t>
            </w:r>
          </w:p>
        </w:tc>
        <w:tc>
          <w:tcPr>
            <w:tcW w:w="440" w:type="dxa"/>
            <w:vAlign w:val="bottom"/>
          </w:tcPr>
          <w:p>
            <w:pPr>
              <w:spacing w:after="0"/>
              <w:rPr>
                <w:sz w:val="18"/>
                <w:szCs w:val="18"/>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80" w:type="dxa"/>
            <w:vAlign w:val="bottom"/>
          </w:tcPr>
          <w:p>
            <w:pPr>
              <w:jc w:val="right"/>
              <w:ind w:right="3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Forfeited and expired</w:t>
            </w:r>
          </w:p>
        </w:tc>
        <w:tc>
          <w:tcPr>
            <w:tcW w:w="440" w:type="dxa"/>
            <w:vAlign w:val="bottom"/>
          </w:tcPr>
          <w:p>
            <w:pPr>
              <w:spacing w:after="0"/>
              <w:rPr>
                <w:sz w:val="19"/>
                <w:szCs w:val="19"/>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80" w:type="dxa"/>
            <w:vAlign w:val="bottom"/>
          </w:tcPr>
          <w:p>
            <w:pPr>
              <w:jc w:val="right"/>
              <w:ind w:right="3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Outstanding SARs at June 30, 2008</w:t>
            </w:r>
          </w:p>
        </w:tc>
        <w:tc>
          <w:tcPr>
            <w:tcW w:w="4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1,430,849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8120" w:type="dxa"/>
            <w:vAlign w:val="bottom"/>
            <w:gridSpan w:val="2"/>
          </w:tcPr>
          <w:p>
            <w:pPr>
              <w:spacing w:after="0"/>
              <w:rPr>
                <w:sz w:val="20"/>
                <w:szCs w:val="20"/>
                <w:color w:val="auto"/>
              </w:rPr>
            </w:pPr>
            <w:r>
              <w:rPr>
                <w:rFonts w:ascii="Arial" w:cs="Arial" w:eastAsia="Arial" w:hAnsi="Arial"/>
                <w:sz w:val="18"/>
                <w:szCs w:val="18"/>
                <w:color w:val="auto"/>
              </w:rPr>
              <w:t>SARs exercisable at June 30, 2008</w:t>
            </w:r>
          </w:p>
        </w:tc>
        <w:tc>
          <w:tcPr>
            <w:tcW w:w="4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685,610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359"/>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For the three months ended June 30, 2008 we re-measured the compensation expense and liability related to the SARs and reduced total compensation expense by approximately $116,000 due to a decrease in the price per share of our common stock. The total compensation expense related to SARs was approximately $55,000 for the three months ended June 30, 2007.</w:t>
      </w:r>
    </w:p>
    <w:p>
      <w:pPr>
        <w:spacing w:after="0" w:line="73" w:lineRule="exact"/>
        <w:rPr>
          <w:sz w:val="20"/>
          <w:szCs w:val="20"/>
          <w:color w:val="auto"/>
        </w:rPr>
      </w:pPr>
    </w:p>
    <w:p>
      <w:pPr>
        <w:ind w:right="180" w:firstLine="215"/>
        <w:spacing w:after="0" w:line="259" w:lineRule="auto"/>
        <w:rPr>
          <w:sz w:val="20"/>
          <w:szCs w:val="20"/>
          <w:color w:val="auto"/>
        </w:rPr>
      </w:pPr>
      <w:r>
        <w:rPr>
          <w:rFonts w:ascii="Arial" w:cs="Arial" w:eastAsia="Arial" w:hAnsi="Arial"/>
          <w:sz w:val="18"/>
          <w:szCs w:val="18"/>
          <w:color w:val="auto"/>
        </w:rPr>
        <w:t>At June 30, 2008, approximately $476,000 of unrecognized compensation expense related to SARs is expected to be recognized over a weighted average vesting period of approximately 1.1 years. The resulting effect on net loss and net loss per share attributable to common stockholders is not likely to be representative of the effects in future periods, due to changes in the fair value calculation which is dependent on the stock price, volatility, interest and forfeiture rates, additional grants and subsequent periods of vesting.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Wind-down expenses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October 1999, we relocated to California from Rhode Island and established a wind-down reserve for the estimated lease payments and operating costs of the scientific and administrative facility in Rhode Island. Even though we intend to dispose of the facility at the earliest possible time, we cannot determine with certainty a fixed date by which such disposal will occur. In light of this uncertainty, we periodically re-evaluate and adjust the reserve. We consider various factors such as our lease payments through to the end of the lease, operating expenses, the current real estate market in Rhode Island, and estimated subtenant income based on actual and projected occupancy.</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summary of the changes to our wind-down reserve as of March 31, 2008, June 30, 3008 and December 31, 2007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w w:val="88"/>
              </w:rPr>
              <w:t>January to</w:t>
            </w:r>
          </w:p>
        </w:tc>
        <w:tc>
          <w:tcPr>
            <w:tcW w:w="138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2"/>
              </w:rPr>
              <w:t>April to</w:t>
            </w:r>
          </w:p>
        </w:tc>
        <w:tc>
          <w:tcPr>
            <w:tcW w:w="10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January to</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5"/>
              </w:rPr>
              <w:t>January to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1360" w:type="dxa"/>
            <w:vAlign w:val="bottom"/>
            <w:gridSpan w:val="2"/>
          </w:tcPr>
          <w:p>
            <w:pPr>
              <w:jc w:val="center"/>
              <w:ind w:right="660"/>
              <w:spacing w:after="0" w:line="135" w:lineRule="exact"/>
              <w:rPr>
                <w:sz w:val="20"/>
                <w:szCs w:val="20"/>
                <w:color w:val="auto"/>
              </w:rPr>
            </w:pPr>
            <w:r>
              <w:rPr>
                <w:rFonts w:ascii="Arial" w:cs="Arial" w:eastAsia="Arial" w:hAnsi="Arial"/>
                <w:sz w:val="13"/>
                <w:szCs w:val="13"/>
                <w:b w:val="1"/>
                <w:bCs w:val="1"/>
                <w:color w:val="auto"/>
                <w:w w:val="89"/>
              </w:rPr>
              <w:t>March 31,</w:t>
            </w:r>
          </w:p>
        </w:tc>
        <w:tc>
          <w:tcPr>
            <w:tcW w:w="1380" w:type="dxa"/>
            <w:vAlign w:val="bottom"/>
            <w:gridSpan w:val="2"/>
          </w:tcPr>
          <w:p>
            <w:pPr>
              <w:jc w:val="center"/>
              <w:ind w:right="680"/>
              <w:spacing w:after="0" w:line="135" w:lineRule="exact"/>
              <w:rPr>
                <w:sz w:val="20"/>
                <w:szCs w:val="20"/>
                <w:color w:val="auto"/>
              </w:rPr>
            </w:pPr>
            <w:r>
              <w:rPr>
                <w:rFonts w:ascii="Arial" w:cs="Arial" w:eastAsia="Arial" w:hAnsi="Arial"/>
                <w:sz w:val="13"/>
                <w:szCs w:val="13"/>
                <w:b w:val="1"/>
                <w:bCs w:val="1"/>
                <w:color w:val="auto"/>
                <w:w w:val="88"/>
              </w:rPr>
              <w:t>June 30,</w:t>
            </w:r>
          </w:p>
        </w:tc>
        <w:tc>
          <w:tcPr>
            <w:tcW w:w="10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4"/>
              </w:rPr>
              <w:t>June 30,</w:t>
            </w:r>
          </w:p>
        </w:tc>
        <w:tc>
          <w:tcPr>
            <w:tcW w:w="32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2008</w:t>
            </w:r>
          </w:p>
        </w:tc>
        <w:tc>
          <w:tcPr>
            <w:tcW w:w="66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2008</w:t>
            </w:r>
          </w:p>
        </w:tc>
        <w:tc>
          <w:tcPr>
            <w:tcW w:w="68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2008</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Accrued wind-down reserve at beginning of period</w:t>
            </w:r>
          </w:p>
        </w:tc>
        <w:tc>
          <w:tcPr>
            <w:tcW w:w="1360" w:type="dxa"/>
            <w:vAlign w:val="bottom"/>
            <w:gridSpan w:val="2"/>
            <w:shd w:val="clear" w:color="auto" w:fill="CCEEFF"/>
          </w:tcPr>
          <w:p>
            <w:pPr>
              <w:jc w:val="right"/>
              <w:ind w:right="660"/>
              <w:spacing w:after="0" w:line="142" w:lineRule="exact"/>
              <w:rPr>
                <w:sz w:val="20"/>
                <w:szCs w:val="20"/>
                <w:color w:val="auto"/>
              </w:rPr>
            </w:pPr>
            <w:r>
              <w:rPr>
                <w:rFonts w:ascii="Arial" w:cs="Arial" w:eastAsia="Arial" w:hAnsi="Arial"/>
                <w:sz w:val="14"/>
                <w:szCs w:val="14"/>
                <w:color w:val="auto"/>
                <w:w w:val="91"/>
              </w:rPr>
              <w:t>$ 4,875,000</w:t>
            </w:r>
          </w:p>
        </w:tc>
        <w:tc>
          <w:tcPr>
            <w:tcW w:w="1380" w:type="dxa"/>
            <w:vAlign w:val="bottom"/>
            <w:gridSpan w:val="2"/>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w w:val="91"/>
              </w:rPr>
              <w:t>$ 4,704,000</w:t>
            </w:r>
          </w:p>
        </w:tc>
        <w:tc>
          <w:tcPr>
            <w:tcW w:w="104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w w:val="89"/>
              </w:rPr>
              <w:t>$ 4,875,000</w:t>
            </w:r>
          </w:p>
        </w:tc>
        <w:tc>
          <w:tcPr>
            <w:tcW w:w="40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5,512,000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Arial" w:cs="Arial" w:eastAsia="Arial" w:hAnsi="Arial"/>
                <w:sz w:val="14"/>
                <w:szCs w:val="14"/>
                <w:color w:val="auto"/>
              </w:rPr>
              <w:t>Less actual expenses recorded against estimated reserve during the period</w:t>
            </w: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(331,000)</w:t>
            </w: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(288,000)</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(619,000)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(1,420,000)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expense recorded to revise estimated reserve at period-end</w:t>
            </w:r>
          </w:p>
        </w:tc>
        <w:tc>
          <w:tcPr>
            <w:tcW w:w="13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160,000</w:t>
            </w:r>
          </w:p>
        </w:tc>
        <w:tc>
          <w:tcPr>
            <w:tcW w:w="13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167,000</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327,000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783,000</w:t>
            </w:r>
          </w:p>
        </w:tc>
        <w:tc>
          <w:tcPr>
            <w:tcW w:w="0" w:type="dxa"/>
            <w:vAlign w:val="bottom"/>
          </w:tcPr>
          <w:p>
            <w:pPr>
              <w:spacing w:after="0"/>
              <w:rPr>
                <w:sz w:val="1"/>
                <w:szCs w:val="1"/>
                <w:color w:val="auto"/>
              </w:rPr>
            </w:pPr>
          </w:p>
        </w:tc>
      </w:tr>
      <w:tr>
        <w:trPr>
          <w:trHeight w:val="156"/>
        </w:trPr>
        <w:tc>
          <w:tcPr>
            <w:tcW w:w="6460" w:type="dxa"/>
            <w:vAlign w:val="bottom"/>
            <w:gridSpan w:val="2"/>
          </w:tcPr>
          <w:p>
            <w:pPr>
              <w:spacing w:after="0" w:line="155" w:lineRule="exact"/>
              <w:rPr>
                <w:sz w:val="20"/>
                <w:szCs w:val="20"/>
                <w:color w:val="auto"/>
              </w:rPr>
            </w:pPr>
            <w:r>
              <w:rPr>
                <w:rFonts w:ascii="Arial" w:cs="Arial" w:eastAsia="Arial" w:hAnsi="Arial"/>
                <w:sz w:val="14"/>
                <w:szCs w:val="14"/>
                <w:color w:val="auto"/>
              </w:rPr>
              <w:t>Revised reserve at period-end</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4,704,000</w:t>
            </w:r>
          </w:p>
        </w:tc>
        <w:tc>
          <w:tcPr>
            <w:tcW w:w="66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4,583,000</w:t>
            </w:r>
          </w:p>
        </w:tc>
        <w:tc>
          <w:tcPr>
            <w:tcW w:w="68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4,583,000</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4,875,000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 deferred rent at period-end</w:t>
            </w:r>
          </w:p>
        </w:tc>
        <w:tc>
          <w:tcPr>
            <w:tcW w:w="13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1,218,000</w:t>
            </w:r>
          </w:p>
        </w:tc>
        <w:tc>
          <w:tcPr>
            <w:tcW w:w="13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1,166,000</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1,166,000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1,268,000</w:t>
            </w:r>
          </w:p>
        </w:tc>
        <w:tc>
          <w:tcPr>
            <w:tcW w:w="0" w:type="dxa"/>
            <w:vAlign w:val="bottom"/>
          </w:tcPr>
          <w:p>
            <w:pPr>
              <w:spacing w:after="0"/>
              <w:rPr>
                <w:sz w:val="1"/>
                <w:szCs w:val="1"/>
                <w:color w:val="auto"/>
              </w:rPr>
            </w:pPr>
          </w:p>
        </w:tc>
      </w:tr>
      <w:tr>
        <w:trPr>
          <w:trHeight w:val="156"/>
        </w:trPr>
        <w:tc>
          <w:tcPr>
            <w:tcW w:w="6460" w:type="dxa"/>
            <w:vAlign w:val="bottom"/>
            <w:gridSpan w:val="2"/>
          </w:tcPr>
          <w:p>
            <w:pPr>
              <w:spacing w:after="0" w:line="155" w:lineRule="exact"/>
              <w:rPr>
                <w:sz w:val="20"/>
                <w:szCs w:val="20"/>
                <w:color w:val="auto"/>
              </w:rPr>
            </w:pPr>
            <w:r>
              <w:rPr>
                <w:rFonts w:ascii="Arial" w:cs="Arial" w:eastAsia="Arial" w:hAnsi="Arial"/>
                <w:sz w:val="14"/>
                <w:szCs w:val="14"/>
                <w:color w:val="auto"/>
              </w:rPr>
              <w:t>Total accrued wind-down expenses at period-end (current and non current)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$ 5,922,000</w:t>
            </w:r>
          </w:p>
        </w:tc>
        <w:tc>
          <w:tcPr>
            <w:tcW w:w="6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$ 5,749,000</w:t>
            </w:r>
          </w:p>
        </w:tc>
        <w:tc>
          <w:tcPr>
            <w:tcW w:w="6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$ 5,749,000</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6,143,000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4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Accrued wind-down expenses, current</w:t>
            </w:r>
          </w:p>
        </w:tc>
        <w:tc>
          <w:tcPr>
            <w:tcW w:w="1360" w:type="dxa"/>
            <w:vAlign w:val="bottom"/>
            <w:gridSpan w:val="2"/>
            <w:shd w:val="clear" w:color="auto" w:fill="CCEEFF"/>
          </w:tcPr>
          <w:p>
            <w:pPr>
              <w:jc w:val="right"/>
              <w:ind w:right="660"/>
              <w:spacing w:after="0" w:line="143" w:lineRule="exact"/>
              <w:rPr>
                <w:sz w:val="20"/>
                <w:szCs w:val="20"/>
                <w:color w:val="auto"/>
              </w:rPr>
            </w:pPr>
            <w:r>
              <w:rPr>
                <w:rFonts w:ascii="Arial" w:cs="Arial" w:eastAsia="Arial" w:hAnsi="Arial"/>
                <w:sz w:val="14"/>
                <w:szCs w:val="14"/>
                <w:color w:val="auto"/>
                <w:w w:val="91"/>
              </w:rPr>
              <w:t>$ 1,383,000</w:t>
            </w:r>
          </w:p>
        </w:tc>
        <w:tc>
          <w:tcPr>
            <w:tcW w:w="1380" w:type="dxa"/>
            <w:vAlign w:val="bottom"/>
            <w:gridSpan w:val="2"/>
            <w:shd w:val="clear" w:color="auto" w:fill="CCEEFF"/>
          </w:tcPr>
          <w:p>
            <w:pPr>
              <w:jc w:val="right"/>
              <w:ind w:right="680"/>
              <w:spacing w:after="0" w:line="143" w:lineRule="exact"/>
              <w:rPr>
                <w:sz w:val="20"/>
                <w:szCs w:val="20"/>
                <w:color w:val="auto"/>
              </w:rPr>
            </w:pPr>
            <w:r>
              <w:rPr>
                <w:rFonts w:ascii="Arial" w:cs="Arial" w:eastAsia="Arial" w:hAnsi="Arial"/>
                <w:sz w:val="14"/>
                <w:szCs w:val="14"/>
                <w:color w:val="auto"/>
                <w:w w:val="91"/>
              </w:rPr>
              <w:t>$ 1,379,000</w:t>
            </w:r>
          </w:p>
        </w:tc>
        <w:tc>
          <w:tcPr>
            <w:tcW w:w="1040" w:type="dxa"/>
            <w:vAlign w:val="bottom"/>
            <w:gridSpan w:val="2"/>
            <w:shd w:val="clear" w:color="auto" w:fill="CCEEFF"/>
          </w:tcPr>
          <w:p>
            <w:pPr>
              <w:jc w:val="right"/>
              <w:ind w:right="360"/>
              <w:spacing w:after="0" w:line="143" w:lineRule="exact"/>
              <w:rPr>
                <w:sz w:val="20"/>
                <w:szCs w:val="20"/>
                <w:color w:val="auto"/>
              </w:rPr>
            </w:pPr>
            <w:r>
              <w:rPr>
                <w:rFonts w:ascii="Arial" w:cs="Arial" w:eastAsia="Arial" w:hAnsi="Arial"/>
                <w:sz w:val="14"/>
                <w:szCs w:val="14"/>
                <w:color w:val="auto"/>
                <w:w w:val="89"/>
              </w:rPr>
              <w:t>$ 1,379,000</w:t>
            </w:r>
          </w:p>
        </w:tc>
        <w:tc>
          <w:tcPr>
            <w:tcW w:w="400" w:type="dxa"/>
            <w:vAlign w:val="bottom"/>
            <w:gridSpan w:val="2"/>
            <w:shd w:val="clear" w:color="auto" w:fill="CCEEFF"/>
          </w:tcPr>
          <w:p>
            <w:pPr>
              <w:ind w:left="320"/>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1,374,000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Arial" w:cs="Arial" w:eastAsia="Arial" w:hAnsi="Arial"/>
                <w:sz w:val="14"/>
                <w:szCs w:val="14"/>
                <w:color w:val="auto"/>
              </w:rPr>
              <w:t>Accrued wind-down expenses, non-current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4,539,000</w:t>
            </w:r>
          </w:p>
        </w:tc>
        <w:tc>
          <w:tcPr>
            <w:tcW w:w="6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4,370,000</w:t>
            </w:r>
          </w:p>
        </w:tc>
        <w:tc>
          <w:tcPr>
            <w:tcW w:w="6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4,370,000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4,769,000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accrued wind-down expenses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$ 5,922,000</w:t>
            </w: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$ 5,749,000</w:t>
            </w:r>
          </w:p>
        </w:tc>
        <w:tc>
          <w:tcPr>
            <w:tcW w:w="6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9"/>
              </w:rPr>
              <w:t>$ 5,749,000</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6,143,000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Capital leases</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entered into direct financing transactions with the State of Rhode Island and received proceeds from the issuance of industrial revenue bonds totaling $5,000,000 to finance the construction of our pilot manufacturing facility in Rhode Island. The related lease agreements are structured such that lease payments fully fund all semiannual interest payments and annual principal payments through maturity in August 2014. The interest rate for the remaining bond series is 9.5%. The bond contains certain restrictive covenants which limit, among other things, the payment of cash dividends and the sale of the related assets. The outstanding principal was approximately $1,080,000 at June 30, 2008 and $1,145,000 at December 31, 2007.</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We entered into a fifteen-year lease agreement for a scientific and administrative facility in Rhode Island in connection with a sale and leaseback arrangement in 1997. The lease term expires June 30, 2013. The lease contains escalating rent payments, which we recognize on a straight-line basis. Deferred rent expense for this facility was approximately $1,166,000 at June 30, 2008 and $1,268,000 at December 31, 2007, and is included as part of the wind-down accrual on the accompanying condensed consolidated balance sheet.</w:t>
      </w:r>
    </w:p>
    <w:p>
      <w:pPr>
        <w:spacing w:after="0" w:line="79" w:lineRule="exact"/>
        <w:rPr>
          <w:sz w:val="20"/>
          <w:szCs w:val="20"/>
          <w:color w:val="auto"/>
        </w:rPr>
      </w:pPr>
    </w:p>
    <w:p>
      <w:pPr>
        <w:ind w:right="20" w:firstLine="222"/>
        <w:spacing w:after="0" w:line="289" w:lineRule="auto"/>
        <w:rPr>
          <w:sz w:val="20"/>
          <w:szCs w:val="20"/>
          <w:color w:val="auto"/>
        </w:rPr>
      </w:pPr>
      <w:r>
        <w:rPr>
          <w:rFonts w:ascii="Arial" w:cs="Arial" w:eastAsia="Arial" w:hAnsi="Arial"/>
          <w:sz w:val="16"/>
          <w:szCs w:val="16"/>
          <w:color w:val="auto"/>
        </w:rPr>
        <w:t>We entered into and amended a lease agreement for an approximately 68,000 square foot facility located at the Stanford Research Park in Palo Alto, California. The facility includes space for laboratories, offices, and a GMP (Good Manufacturing Practices) suite. GMP facilities can be used to manufacture materials for clinical trials. The lease term expires March 31, 2010. Under the terms of the agreement we are required to provide a letter of credit for a total of approximately $778,000, which serves as a security deposit for the duration of the lease term. The letter of credit issued by our financial institution is collateralized by a certificate of deposit for the same amount, which is reflected as restricted cash in other assets, non-current on our condensed consolidated balance sheets. The lease contains escalating rent payments, which we recognize as operating lease expense on a straight-line basis. Deferred rent was approximately $589,717 as of June 30, 2008 and $728,000 as of December 31, 2007, and is reflected as deferred rent on our condensed consolidated balance sheet. At June 30, 2008, we had a space-sharing agreement covering approximately 10,451 square feet of this facility. We receive base payments plus a proportionate share of the operating expenses based on square footage over the term of the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In July 2006, we filed suit against Neuralstem, Inc., in the Federal District Court for the District of Maryland, alleging that Neuralstem’s activities violate claims in four of the patents we exclusively licensed from NeuroSpheres. Neuralstem has filed a motion for dismissal or summary judgment in the alternative, citing Title 35, Section 271(e)(1) of the United States Code, which says that it is not an act of patent infringement to make, use or sell a patented invention “solely for uses reasonably related to the development and submission of information” to the FDA. Neuralstem argues that because it does not have any therapeutic products on the market yet, the activities complained of fall within the protection of Section 271(e)(1) — that is, basically, that the suit is premature. This issue will be decided after discovery is complete. Subsequent to filing its motion to dismiss, in December 2006, Neuralstem petitioned the U.S. Patent and Trademark Office (PTO) to reexamine two of the patents in our infringement action against Neuralstem, namely U.S. Patent No. 6,294,346 (claiming the use of human neural stem 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 stem cells) and U.S. Patent No. 6,497,872 (claiming methods for transplanting human neural stem cells). These requests were granted by the PTO and, in June 2007, the parties voluntarily agreed to stay the pending litigation while the PTO considers these reexamination requests. In October 2007, Neuralstem petitioned the PTO to reexamine a fifth patent, namely U.S. Patent No. 6,103,530, which claims a culture medium for proliferating mammalian neural stem cells. In April 2008, the PTO upheld the ‘832 and ‘872 patents, as amended, and issued Notices of Intent to Issue an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Certificate for both.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In May 2008, we filed a second patent infringement suit against Neuralstem and its two founders, Karl Johe and Richard Garr. In this suit, which we filed in the Federal District Court for the Northern District of California, we allege that Neuralstem’s activities infringe claims in two patents we exclusively license from NeuroSpheres, specifically U.S. Patent No. 7,361,505 (claiming composition of matter of human neural stem cells derived from any source material) and U.S. Patent No. 7,115,418 (claiming methods for proliferating human neural stem cells). In addition, we allege various state law causes of action against Neuralstem arising out of its repeated derogatory statements to the public about our patent portfolio. Also in May 2008, Neuralstem filed suit against us and NeuroSpheres in the Federal District Court for the District of Maryland seeking a declaratory judgment that the ‘505 and ‘418 patents are either invalid or are not infringed by Neuralstem and that Neuralstem has not violated California state law. Preliminary motions in both these cases are pending.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right="40" w:firstLine="222"/>
        <w:spacing w:after="0" w:line="285" w:lineRule="auto"/>
        <w:rPr>
          <w:sz w:val="20"/>
          <w:szCs w:val="20"/>
          <w:color w:val="auto"/>
        </w:rPr>
      </w:pPr>
      <w:r>
        <w:rPr>
          <w:rFonts w:ascii="Arial" w:cs="Arial" w:eastAsia="Arial" w:hAnsi="Arial"/>
          <w:sz w:val="16"/>
          <w:szCs w:val="16"/>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or other regulatory authorities will permit us to proceed with clinical testing of proposed products despite the novel and unproven nature of our technologies; the risk that our initial clinical trial and any other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potential cell-based therapeutics products; the uncertainty regarding the outcome of our Phase I clinical trial in NCL and any other clinical trials or studies we may conduct in the future; the uncertainty regarding the validity and enforceability of our issued patents; the uncertainty whether any products that may be generated in our cell-based therapeutics programs will prove clinically safe and effective; the uncertainty whether we will achieve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in Part I, Item 1A included in our Annual Report on Form 10-K for the fiscal year ended December 31, 2007.</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Our research and development (R&amp;D) programs are focused on identifying and developing potential cell-based therapeutics which can either restore or support organ function. Since we relocated our corporate headquarters and research laboratories to California in 1999, our R&amp;D efforts have primarily been directed at refining our methods for identifying, isolating, culturing, and purifying the human neural stem cell and human liver engrafting cells (hLEC) and developing these as potential cell-based therapeutics for the central nervous system (CNS) and the liver, respectively. We are currently conducting a Phase I clinical trial of our HuCNS-SC</w:t>
      </w:r>
      <w:r>
        <w:rPr>
          <w:rFonts w:ascii="Arial" w:cs="Arial" w:eastAsia="Arial" w:hAnsi="Arial"/>
          <w:sz w:val="13"/>
          <w:szCs w:val="13"/>
          <w:color w:val="auto"/>
        </w:rPr>
        <w:t>®</w:t>
      </w:r>
      <w:r>
        <w:rPr>
          <w:rFonts w:ascii="Arial" w:cs="Arial" w:eastAsia="Arial" w:hAnsi="Arial"/>
          <w:sz w:val="16"/>
          <w:szCs w:val="16"/>
          <w:color w:val="auto"/>
        </w:rPr>
        <w:t xml:space="preserve"> product candidate (purified human neural stem cells) as a treatment for infantile and late infantile neuronal ceroid lipofuscinosis (NCL), a fatal neurodegenerative disease often referred to as Batten disease. We have completed enrollment and dosing for this six-patient trial and expect it to be completed in early 2009. Our CNS Program is continuing research and preclinical development for additional potential indications in the CNS field. We are targeting to initiate clinical trials to test our HuCNS-SC product candidate for a spinal cord indication and for a myelin disorder in the brain in 2008. In our Liver Program, we are in preclinical development with our human liver engrafting cells and are exploring their applicability as a cellular therapy to restore function to liver tissue by replacing dysfunctional or damaged cells. For a brief description of our significant research and development programs see Overview “Research and Development Programs” in the Business Section of Part I, Item 1 included in our Annual Report on Form 10-K for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fiscal year ended December 31, 2007. We have also conducted research on several other cell types and in other areas, which could lead to other possible product candidates, process improvements or further research activities.</w:t>
      </w:r>
    </w:p>
    <w:p>
      <w:pPr>
        <w:spacing w:after="0" w:line="62" w:lineRule="exact"/>
        <w:rPr>
          <w:sz w:val="20"/>
          <w:szCs w:val="20"/>
          <w:color w:val="auto"/>
        </w:rPr>
      </w:pPr>
    </w:p>
    <w:p>
      <w:pPr>
        <w:ind w:right="160" w:firstLine="222"/>
        <w:spacing w:after="0" w:line="297" w:lineRule="auto"/>
        <w:rPr>
          <w:sz w:val="20"/>
          <w:szCs w:val="20"/>
          <w:color w:val="auto"/>
        </w:rPr>
      </w:pPr>
      <w:r>
        <w:rPr>
          <w:rFonts w:ascii="Arial" w:cs="Arial" w:eastAsia="Arial" w:hAnsi="Arial"/>
          <w:sz w:val="16"/>
          <w:szCs w:val="16"/>
          <w:color w:val="auto"/>
        </w:rPr>
        <w:t>We have not derived any revenue or cash flows from the sale or commercialization of any products except for license revenue for certain of our patented cells and media for use in research. As a result, we have incurred annual operating losses since inception and expect to incur substantial operating losses in the future. Therefore, we are dependent upon external financing from equity and debt offerings, federal and state grants, and revenue from collaborative research arrangements with corporate sponsors to finance our operations. We have no such collaborative research arrangements at this time and there can be no assurance that such financing or partnering revenue will be available when needed or on terms acceptable to us.</w:t>
      </w:r>
    </w:p>
    <w:p>
      <w:pPr>
        <w:spacing w:after="0" w:line="5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Before we can derive revenue or cash inflows from the commercialization of any of our product candidates, we will need to: (i) conduct substantial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and characterization of our proprietary cell types, (ii) undertake preclinical and clinical testing for specific disease indications; (iii) develop, validate and scale-up manufacturing processes to produce these cell-based therapeutics, and (iv) pursue required regulatory approvals. These steps are risky, expensive and time consuming.</w:t>
      </w:r>
    </w:p>
    <w:p>
      <w:pPr>
        <w:spacing w:after="0" w:line="79"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Overall, we expect our R&amp;D expenses to be substantial and to increase for the foreseeable future as we continue the development and clinical investigation of our current and future product candidates. However, expenditures on R&amp;D programs are subject to many uncertainties, including whether we develop our product candidates with a partner or independently. We cannot forecast with any degree of certainty which of our current product candidates will be subject to future collaboration, when such collaboration agreements will be secured, if at all, and to what degree such arrangements would affect our development plans and capital requirements. In addition, there are numerous factors associated with the successful commercialization of any of our cell-based therapeutics, including future trial design and regulatory requirements, many of which cannot be determined with accuracy at this time given the stage of our development and the novel nature of stem cell technologies. The regulatory pathways, both in the United States and internationally, are complex and fluid given the novel and, in general, clinically unproven nature of stem cell technologies. At this time, due to such uncertainties and inherent risks, we cannot estimate in a meaningful way the duration of, or the costs to complete, our R&amp;D programs or whether, when or to what extent we will generate revenues or cash inflows from the commercialization and sale of any of our product candidates. While we are currently focused on advancing each of our product development programs, our future R&amp;D expenses will depend on the determinations we make as to the scientific and clinical prospects of each product candidate, as well as our ongoing assessment of the regulatory requirements and each product candidate’s commercial potential.</w:t>
      </w:r>
    </w:p>
    <w:p>
      <w:pPr>
        <w:spacing w:after="0" w:line="61" w:lineRule="exact"/>
        <w:rPr>
          <w:sz w:val="20"/>
          <w:szCs w:val="20"/>
          <w:color w:val="auto"/>
        </w:rPr>
      </w:pPr>
    </w:p>
    <w:p>
      <w:pPr>
        <w:ind w:right="140" w:firstLine="225"/>
        <w:spacing w:after="0" w:line="291" w:lineRule="auto"/>
        <w:rPr>
          <w:sz w:val="20"/>
          <w:szCs w:val="20"/>
          <w:color w:val="auto"/>
        </w:rPr>
      </w:pPr>
      <w:r>
        <w:rPr>
          <w:rFonts w:ascii="Arial" w:cs="Arial" w:eastAsia="Arial" w:hAnsi="Arial"/>
          <w:sz w:val="16"/>
          <w:szCs w:val="16"/>
          <w:color w:val="auto"/>
        </w:rPr>
        <w:t>Given the early stage of development of our product candidates, any estimates of when we may be able to commercialize one or more of these products would not be meaningful. Moreover, any estimate of the time and investment required to develop potential products based upon our proprietary HuCNS-SC and hLEC technologies will change depending on the ultimate approach or approaches we take to pursue them, the results of preclinical and clinical studies, and the content and timing of decisions made by the FDA and other regulatory authorities. There can be no assurance that we will be able to develop any product successfully, or that we will be able to recover our development costs, whether upon commercialization of a developed product or otherwise. We cannot provide assurance that any of these programs will result in products that can be marketed or marketed profitably. If certain of our development-stage programs do not result in commercially viable products, our results of operations could be materially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Events</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In April 2008, the U.S. Patent and Trademark Office (PTO) issued U.S. Patent No. 7,361,505, with broad claims covering human neural stem cells derived from any tissue source, including embryonic, fetal, juvenile, or adult tissue. The ‘505 patent is exclusively licensed to us.</w:t>
      </w:r>
    </w:p>
    <w:p>
      <w:pPr>
        <w:spacing w:after="0" w:line="62"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In June 2008, the PTO issued Patent No. 7,381,561 with claims covering the use of additional monoclonal antibodies for the prospective isolation of rare cells from human neural tissue, such as the Company’s HuCNS-SC® product candidate (purified human neural stem cells). The ‘561 patent is owned by the Company.</w:t>
      </w:r>
    </w:p>
    <w:p>
      <w:pPr>
        <w:spacing w:after="0" w:line="73" w:lineRule="exact"/>
        <w:rPr>
          <w:sz w:val="20"/>
          <w:szCs w:val="20"/>
          <w:color w:val="auto"/>
        </w:rPr>
      </w:pPr>
    </w:p>
    <w:p>
      <w:pPr>
        <w:jc w:val="both"/>
        <w:ind w:right="60" w:firstLine="225"/>
        <w:spacing w:after="0" w:line="259" w:lineRule="auto"/>
        <w:rPr>
          <w:sz w:val="20"/>
          <w:szCs w:val="20"/>
          <w:color w:val="auto"/>
        </w:rPr>
      </w:pPr>
      <w:r>
        <w:rPr>
          <w:rFonts w:ascii="Arial" w:cs="Arial" w:eastAsia="Arial" w:hAnsi="Arial"/>
          <w:sz w:val="18"/>
          <w:szCs w:val="18"/>
          <w:color w:val="auto"/>
        </w:rPr>
        <w:t>On June 25, 2008 we filed with the U.S. Securities and Exchange Commission (SEC) a universal shelf registration statement, declared effective July 18, 2008, which permits us to issue up to $100 million worth of registered debt and equity securities. Under this shelf, we have the flexibility to issue registered securities, from time to time, in one or more separate offerings or other transactions with the size, price and terms to be determined at the time of issuance. In July 2008, we deregistered the remaining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unissued shares available under the shelf registration statement we had filed in October 2005. See “Liquidity and Capital Resources-Net Cash (Used in) Provided by Financing Activities” below for further discussion.</w:t>
      </w:r>
    </w:p>
    <w:p>
      <w:pPr>
        <w:spacing w:after="0" w:line="62"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On July 22, 2008, at our Annual Meeting of Stockholders, our stockholders approved an increase to our authorized capital by an additional 125,000,000 shares of common stock, increasing the number of authorized shares of capital stock from 126,000,000 total shares to 251,000,000 total shares. We subsequently amended our restated certificate of incorporation to designate an additional 125,000,000 shares of common stock, bringing the total number of authorized shares of common stock to 250,000,000. These securities may be used to raise additional capital to fund the company’s working capital and other corporate needs, for future acquisitions of assets, programs or businesses, and for other corporate purposes.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121"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accompanying discussion and analysis of our financial condition and results of operations are based on our condensed consolidated financial statements and the related disclosures, which have been prepared in accordance with accounting principles generally accepted in the United States. The preparation of these condensed consolidated financial statements requires management to make estimates, assumptions, and judgments that affect the reported amounts in our condensed consolidated financial statements and accompanying notes. These estimates form the basis for making judgments about the carrying values of assets and liabilities. We base our estimates and judgments on historical experience and on various other assumptions that we believe to be reasonable under the circumstances, and we have established internal controls related to the preparation of these estimates. Actual results and the timing of the results could differ materially from these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 xml:space="preserve">Effective January 1, 2006, we adopted Statement of Financial Accounting Standards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SFAS 123R requires us to recognize expense related to the fair value of our stock-based compensation awards, including employee stock options. Under the provisions of SFAS 123R, employee stock-based compensation is estimated at the date of grant based on the award’s fair value using the Black-Scholes-Merton (Black-Scholes) option-pricing model and is recognized as expense ratably over the requisite service period. The Black-Scholes option-pricing model requires the use of certain assumptions, the most significant of which are our estimates of the expected volatility of the market price of our stock and the expected term of the award. Our estimate of the expected volatility is based on historical volatility. The expected term represents the period during which our stock-based awards are expected to be outstanding. From January 1, 2006 to December 31, 2007, and in accordance with Staff Accounting Bulletin 107,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(SAB 107), the expected term was equal to the average of the contractual life of the stock option and its vesting period as of the date of grant (the simplified method). In December 2007, the SEC issued Staff Accounting Bulletin 110,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(SAB 110), extending the availability of SAB 107 beyond its original deadline of December 31, 2007. The extension is available for companies under specified conditions that include a lack of sufficient historical exercise data related to their stock based awards. Effective January 1, 2008, in accordance with SAB 110, we no longer use the simplified method and estimate the expected term based on historical experience of similar awards, giving consideration to the contractual terms of the awards, vesting requirements, and expectation of future employee behavior, including post-vesting terminations. The change of method in estimating the expected term did not have a material impact on our condensed consolidated financial statements.</w:t>
      </w:r>
    </w:p>
    <w:p>
      <w:pPr>
        <w:spacing w:after="0" w:line="64"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As required under SFAS 123R, we review our valuation assumptions at each grant date and, as a result, our assumptions in future periods may change. As of June 30, 2008, total compensation cost related to unvested stock-based awards not yet recognized was approximately $7,255,000, which is expected to be recognized as expense over a weighted-average period of 2.4 years. See also Note 4, “Stock-Based Compensation,” in the notes to condensed consolidated financial statements of Part I, Item 1 of this Form 10-Q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Wind-down expenses</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In connection with exiting our research and manufacturing operations in Lincoln, Rhode Island, and the relocation of our corporate headquarters and remaining research laboratories to California in October 1999, we provided a reserve for our estimate of the exit cost obligation in accordance with EITF 94-3, </w:t>
      </w:r>
      <w:r>
        <w:rPr>
          <w:rFonts w:ascii="Arial" w:cs="Arial" w:eastAsia="Arial" w:hAnsi="Arial"/>
          <w:sz w:val="18"/>
          <w:szCs w:val="18"/>
          <w:i w:val="1"/>
          <w:iCs w:val="1"/>
          <w:color w:val="auto"/>
        </w:rPr>
        <w:t>Liability Recognition for Certain Employee Termination Benefits and Other Costs to Exit an Activity (Including Certain Costs Incurred in a Restructuring)</w:t>
      </w:r>
      <w:r>
        <w:rPr>
          <w:rFonts w:ascii="Arial" w:cs="Arial" w:eastAsia="Arial" w:hAnsi="Arial"/>
          <w:sz w:val="18"/>
          <w:szCs w:val="18"/>
          <w:color w:val="auto"/>
        </w:rPr>
        <w:t>. The reserve reflects estimates of the ongoing costs of our former scientific and administrative facility in Lincoln, which we hold on a lease that terminates on June 30, 2013. We are seeking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sublease, assign, sell, or otherwise divest ourselves of our interest in the facility at the earliest possible time, but we cannot determine with certainty a fixed date by which such events will occur, if at all.</w:t>
      </w:r>
    </w:p>
    <w:p>
      <w:pPr>
        <w:spacing w:after="0" w:line="62"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In determining the facility exit cost reserve amount, we are required to consider our lease payments through to the end of the lease term and estimate other relevant factors such as facility operating expenses, real estate market conditions in Rhode Island for similar facilities, occupancy rates, and sublease rental rates projected over the course of the leasehold. We re-evaluate the estimate each quarter, taking account of changes, if any, in each underlying factor. The process is inherently subjective because it involves projections over time — from the date of the estimate through the end of the lease — and it is not possible to determine any of the factors, except the lease payments, with certainty over that period.</w:t>
      </w:r>
    </w:p>
    <w:p>
      <w:pPr>
        <w:spacing w:after="0" w:line="64"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Management forms its best estimate on a quarterly basis, after considering actual sublease activity, reports from our broker/realtor about current and predicted real estate market conditions in Rhode Island, the likelihood of new subleases in the foreseeable future for the specific facility and significant changes in the actual or projected operating expenses of the property. We discount the projected net outflow over the term of the leasehold to arrive at the present value, and adjust the reserve to that figure. The estimated vacancy rate for the facility is an important assumption in determining the reserve because changes in this assumption have the greatest effect on 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over the last five years (2003 through 2007) was approximately 73%, varying from 66% to 89%. As of June 30, 2008, based on current information available to management, the vacancy rate is projected to be approximately 80% for the remainder of 2008, and approximately 70% from 2009 through the end of the lease. These estimates are based on actual occupancy as of June 30, 2008, predicted lead time for acquiring new subtenants, historical vacancy rates for the area, and assessments by our broker/realtor of future real estate market conditions. If the assumed vacancy rate for 2009 to the end of the lease had been 5% higher or lower at June 30, 2008, then the reserve would have increased or decreased by approximately $195,000. Similarly, a 5% increase or decrease in the operating expenses for the facility from 2009 on would have increased or decreased the reserve by approximately $100,000, and a 5% increase or decrease in the assumed average rental charge per square foot would have increased or decreased the reserve by approximately $65,000. Management does not wait for specific events to change its estimate, but instead uses its best efforts to anticipate them on a quarterly basis. See Note 5 “Wind-down expenses,” in the notes to condensed consolidated financial statements of Part I, Item 1 of this Form 10-Q for further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developments in on-going patent protection and litigation, as well as the on-going expenses to lease and maintain our Rhode Island facilities, and the increasing costs associated with operating our California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for the second quarter and six months ended 2008, as compared with the same periods in 2007, is summarized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Three months ended,</w:t>
            </w:r>
          </w:p>
        </w:tc>
        <w:tc>
          <w:tcPr>
            <w:tcW w:w="212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w w:val="93"/>
              </w:rPr>
              <w:t>Change in 2008 versus 2007</w:t>
            </w:r>
          </w:p>
        </w:tc>
        <w:tc>
          <w:tcPr>
            <w:tcW w:w="180" w:type="dxa"/>
            <w:vAlign w:val="bottom"/>
          </w:tcPr>
          <w:p>
            <w:pPr>
              <w:spacing w:after="0"/>
              <w:rPr>
                <w:sz w:val="14"/>
                <w:szCs w:val="14"/>
                <w:color w:val="auto"/>
              </w:rPr>
            </w:pPr>
          </w:p>
        </w:tc>
        <w:tc>
          <w:tcPr>
            <w:tcW w:w="2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Six months ended,</w:t>
            </w:r>
          </w:p>
        </w:tc>
        <w:tc>
          <w:tcPr>
            <w:tcW w:w="220" w:type="dxa"/>
            <w:vAlign w:val="bottom"/>
          </w:tcPr>
          <w:p>
            <w:pPr>
              <w:spacing w:after="0"/>
              <w:rPr>
                <w:sz w:val="14"/>
                <w:szCs w:val="14"/>
                <w:color w:val="auto"/>
              </w:rPr>
            </w:pPr>
          </w:p>
        </w:tc>
        <w:tc>
          <w:tcPr>
            <w:tcW w:w="194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3"/>
              </w:rPr>
              <w:t>Change in 2008 versus 2007</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jc w:val="center"/>
              <w:ind w:left="568"/>
              <w:spacing w:after="0"/>
              <w:rPr>
                <w:sz w:val="20"/>
                <w:szCs w:val="20"/>
                <w:color w:val="auto"/>
              </w:rPr>
            </w:pPr>
            <w:r>
              <w:rPr>
                <w:rFonts w:ascii="Arial" w:cs="Arial" w:eastAsia="Arial" w:hAnsi="Arial"/>
                <w:sz w:val="14"/>
                <w:szCs w:val="14"/>
                <w:b w:val="1"/>
                <w:bCs w:val="1"/>
                <w:color w:val="auto"/>
                <w:w w:val="91"/>
              </w:rPr>
              <w:t>June 30</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June 30</w:t>
            </w:r>
          </w:p>
        </w:tc>
        <w:tc>
          <w:tcPr>
            <w:tcW w:w="22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220"/>
              <w:spacing w:after="0"/>
              <w:rPr>
                <w:sz w:val="20"/>
                <w:szCs w:val="20"/>
                <w:color w:val="auto"/>
              </w:rPr>
            </w:pPr>
            <w:r>
              <w:rPr>
                <w:rFonts w:ascii="Arial" w:cs="Arial" w:eastAsia="Arial" w:hAnsi="Arial"/>
                <w:sz w:val="18"/>
                <w:szCs w:val="18"/>
                <w:color w:val="auto"/>
              </w:rPr>
              <w:t>Licensing agreements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6"/>
              </w:rPr>
              <w:t>$ 29,832</w:t>
            </w:r>
          </w:p>
        </w:tc>
        <w:tc>
          <w:tcPr>
            <w:tcW w:w="44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  7,840</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$ 21,992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$ 47,182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$ 13,786</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$ 33,396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increases in licensing revenue in the second quarter and six months ended 2008 from the comparable periods in 2007 were primarily attributable to increased licensing fees from existing licensing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Operating expenses for the second quarter and six months ended 2008, as compared with the same periods in 2007, are summarized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20" w:type="dxa"/>
            <w:vAlign w:val="bottom"/>
            <w:gridSpan w:val="5"/>
          </w:tcPr>
          <w:p>
            <w:pPr>
              <w:jc w:val="right"/>
              <w:ind w:right="54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4"/>
          </w:tcPr>
          <w:p>
            <w:pPr>
              <w:jc w:val="center"/>
              <w:ind w:left="11"/>
              <w:spacing w:after="0"/>
              <w:rPr>
                <w:sz w:val="20"/>
                <w:szCs w:val="20"/>
                <w:color w:val="auto"/>
              </w:rPr>
            </w:pPr>
            <w:r>
              <w:rPr>
                <w:rFonts w:ascii="Arial" w:cs="Arial" w:eastAsia="Arial" w:hAnsi="Arial"/>
                <w:sz w:val="13"/>
                <w:szCs w:val="13"/>
                <w:b w:val="1"/>
                <w:bCs w:val="1"/>
                <w:color w:val="auto"/>
                <w:w w:val="85"/>
              </w:rPr>
              <w:t>Change in 2008 versus</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5"/>
          </w:tcPr>
          <w:p>
            <w:pPr>
              <w:jc w:val="right"/>
              <w:ind w:right="700"/>
              <w:spacing w:after="0"/>
              <w:rPr>
                <w:sz w:val="20"/>
                <w:szCs w:val="20"/>
                <w:color w:val="auto"/>
              </w:rPr>
            </w:pPr>
            <w:r>
              <w:rPr>
                <w:rFonts w:ascii="Arial" w:cs="Arial" w:eastAsia="Arial" w:hAnsi="Arial"/>
                <w:sz w:val="13"/>
                <w:szCs w:val="13"/>
                <w:b w:val="1"/>
                <w:bCs w:val="1"/>
                <w:color w:val="auto"/>
              </w:rPr>
              <w:t>Six months ended,</w:t>
            </w:r>
          </w:p>
        </w:tc>
        <w:tc>
          <w:tcPr>
            <w:tcW w:w="220" w:type="dxa"/>
            <w:vAlign w:val="bottom"/>
          </w:tcPr>
          <w:p>
            <w:pPr>
              <w:spacing w:after="0"/>
              <w:rPr>
                <w:sz w:val="13"/>
                <w:szCs w:val="13"/>
                <w:color w:val="auto"/>
              </w:rPr>
            </w:pPr>
          </w:p>
        </w:tc>
        <w:tc>
          <w:tcPr>
            <w:tcW w:w="198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5"/>
              </w:rPr>
              <w:t>Change in 2008 versus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3"/>
          </w:tcPr>
          <w:p>
            <w:pPr>
              <w:jc w:val="right"/>
              <w:ind w:right="900"/>
              <w:spacing w:after="0"/>
              <w:rPr>
                <w:sz w:val="20"/>
                <w:szCs w:val="20"/>
                <w:color w:val="auto"/>
              </w:rPr>
            </w:pPr>
            <w:r>
              <w:rPr>
                <w:rFonts w:ascii="Arial" w:cs="Arial" w:eastAsia="Arial" w:hAnsi="Arial"/>
                <w:sz w:val="13"/>
                <w:szCs w:val="13"/>
                <w:b w:val="1"/>
                <w:bCs w:val="1"/>
                <w:color w:val="auto"/>
                <w:w w:val="82"/>
              </w:rPr>
              <w:t>June 30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2007</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2"/>
              </w:rPr>
              <w:t>June 30</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ind w:right="31"/>
              <w:spacing w:after="0"/>
              <w:rPr>
                <w:sz w:val="20"/>
                <w:szCs w:val="20"/>
                <w:color w:val="auto"/>
              </w:rPr>
            </w:pPr>
            <w:r>
              <w:rPr>
                <w:rFonts w:ascii="Arial" w:cs="Arial" w:eastAsia="Arial" w:hAnsi="Arial"/>
                <w:sz w:val="13"/>
                <w:szCs w:val="13"/>
                <w:b w:val="1"/>
                <w:bCs w:val="1"/>
                <w:color w:val="auto"/>
                <w:w w:val="82"/>
              </w:rPr>
              <w:t>2007</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3"/>
                <w:szCs w:val="13"/>
                <w:b w:val="1"/>
                <w:bCs w:val="1"/>
                <w:color w:val="auto"/>
              </w:rPr>
              <w:t>2008</w:t>
            </w:r>
          </w:p>
        </w:tc>
        <w:tc>
          <w:tcPr>
            <w:tcW w:w="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3"/>
                <w:szCs w:val="13"/>
                <w:b w:val="1"/>
                <w:bCs w:val="1"/>
                <w:color w:val="auto"/>
              </w:rPr>
              <w:t>2007</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231"/>
              <w:spacing w:after="0" w:line="129" w:lineRule="exact"/>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91"/>
              <w:spacing w:after="0" w:line="129" w:lineRule="exact"/>
              <w:rPr>
                <w:sz w:val="20"/>
                <w:szCs w:val="20"/>
                <w:color w:val="auto"/>
              </w:rPr>
            </w:pPr>
            <w:r>
              <w:rPr>
                <w:rFonts w:ascii="Arial" w:cs="Arial" w:eastAsia="Arial" w:hAnsi="Arial"/>
                <w:sz w:val="13"/>
                <w:szCs w:val="13"/>
                <w:b w:val="1"/>
                <w:bCs w:val="1"/>
                <w:color w:val="auto"/>
              </w:rPr>
              <w:t>2008</w:t>
            </w: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70"/>
              <w:spacing w:after="0" w:line="129" w:lineRule="exact"/>
              <w:rPr>
                <w:sz w:val="20"/>
                <w:szCs w:val="20"/>
                <w:color w:val="auto"/>
              </w:rPr>
            </w:pPr>
            <w:r>
              <w:rPr>
                <w:rFonts w:ascii="Arial" w:cs="Arial" w:eastAsia="Arial" w:hAnsi="Arial"/>
                <w:sz w:val="13"/>
                <w:szCs w:val="13"/>
                <w:b w:val="1"/>
                <w:bCs w:val="1"/>
                <w:color w:val="auto"/>
              </w:rPr>
              <w:t>2007</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w:t>
            </w: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Operating expenses:</w:t>
            </w:r>
          </w:p>
        </w:tc>
        <w:tc>
          <w:tcPr>
            <w:tcW w:w="42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200"/>
              <w:spacing w:after="0" w:line="149" w:lineRule="exact"/>
              <w:rPr>
                <w:sz w:val="20"/>
                <w:szCs w:val="20"/>
                <w:color w:val="auto"/>
              </w:rPr>
            </w:pPr>
            <w:r>
              <w:rPr>
                <w:rFonts w:ascii="Arial" w:cs="Arial" w:eastAsia="Arial" w:hAnsi="Arial"/>
                <w:sz w:val="14"/>
                <w:szCs w:val="14"/>
                <w:color w:val="auto"/>
              </w:rPr>
              <w:t>Research &amp; development</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$ 4,415,615</w:t>
            </w:r>
          </w:p>
        </w:tc>
        <w:tc>
          <w:tcPr>
            <w:tcW w:w="13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$ 4,498,204</w:t>
            </w: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( 82,589)</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( 2)%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8,915,366</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8,517,342</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  398,024</w:t>
            </w:r>
          </w:p>
        </w:tc>
        <w:tc>
          <w:tcPr>
            <w:tcW w:w="12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General &amp; administrative</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2,345,846</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1,408,657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937,189</w:t>
            </w: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4,600,049</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3,673,205</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926,844</w:t>
            </w:r>
          </w:p>
        </w:tc>
        <w:tc>
          <w:tcPr>
            <w:tcW w:w="12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200"/>
              <w:spacing w:after="0" w:line="149" w:lineRule="exact"/>
              <w:rPr>
                <w:sz w:val="20"/>
                <w:szCs w:val="20"/>
                <w:color w:val="auto"/>
              </w:rPr>
            </w:pPr>
            <w:r>
              <w:rPr>
                <w:rFonts w:ascii="Arial" w:cs="Arial" w:eastAsia="Arial" w:hAnsi="Arial"/>
                <w:sz w:val="14"/>
                <w:szCs w:val="14"/>
                <w:color w:val="auto"/>
              </w:rPr>
              <w:t>Wind-down expenses</w:t>
            </w:r>
          </w:p>
        </w:tc>
        <w:tc>
          <w:tcPr>
            <w:tcW w:w="42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167,250</w:t>
            </w:r>
          </w:p>
        </w:tc>
        <w:tc>
          <w:tcPr>
            <w:tcW w:w="13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134,045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33,205</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25%</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327,500</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355,810</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(28,310)</w:t>
            </w: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4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9"/>
              </w:rPr>
              <w:t>$ 6,928,711</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$ 6,040,906</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887,805</w:t>
            </w: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13,842,915</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12,546,357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$ 1,296,558</w:t>
            </w:r>
          </w:p>
        </w:tc>
        <w:tc>
          <w:tcPr>
            <w:tcW w:w="8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Our R&amp;D expenses consist primarily of salaries and related personnel expenses; costs associated with clinical trials and regulatory submissions; costs associated with preclinical activities such as toxicology studies; certain patent-related costs such as licensing; facilities-related costs such as depreciation; and lab equipment and supplies. Clinical trial expenses include payments to vendors such as clinical research organizations, contract manufacturers, clinical trial sites, laboratories for testing clinical samples, and consultants. Cumulative R&amp;D costs incurred since we refocused our activities on developing cell-based therapeutics (fiscal years 2000 through the six months ended 2008) were approximately $84 million. Over this period, the majority of these cumulative costs were related to: (i) characterization of our proprietary HuCNS-SC cell, (ii) expenditures for toxicology and other preclinical studies, preparation and submission of our Investigational New Drug (IND) application for our Phase I trial for NCL to the FDA, and obtaining FDA clearance; and (iii) expenditures in connection with our HuCNS-SC Phase I clinical trial.</w:t>
      </w:r>
    </w:p>
    <w:p>
      <w:pPr>
        <w:spacing w:after="0" w:line="71"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We use and manage our R&amp;D resources, including our employees and facilities, across various projects rather than on a project-by-project basis for the following reasons. The allocations of time and resources change as the needs and priorities of individual projects and programs change, and many of our researchers are assigned to more than one project at any given time. Furthermore, we are exploring multiple possible uses for each of our proprietary cell types, so much of our R&amp;D effort is complementary to and supportive of each of these projects. Lastly, much of our R&amp;D effort is focused on manufacturing processes, which can result in process improvements useful across cell types. We also use external service providers to assist in the conduct of our clinical trials, to manufacture certain of our product candidates and to provide various other R&amp;D related products and services. Many of these costs and expenses are complementary to and supportive of each of our programs. Because we do not have a development collaborator for any of our product programs, we are currently responsible for all costs incurred with respect to our product candidates.</w:t>
      </w:r>
    </w:p>
    <w:p>
      <w:pPr>
        <w:spacing w:after="0" w:line="71"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R&amp;D expenses totaled approximately $4,416,000 in the second quarter of 2008 compared with $4,498,000 in the second quarter of 2007, and $8,915,000 for the six months ended 2008 compared with $8,517,000 for the six months ended 2007.</w:t>
      </w:r>
    </w:p>
    <w:p>
      <w:pPr>
        <w:spacing w:after="0" w:line="62"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i w:val="1"/>
          <w:iCs w:val="1"/>
          <w:color w:val="auto"/>
        </w:rPr>
        <w:t xml:space="preserve">Second quarter 2008 versus second quarter 2007. </w:t>
      </w:r>
      <w:r>
        <w:rPr>
          <w:rFonts w:ascii="Arial" w:cs="Arial" w:eastAsia="Arial" w:hAnsi="Arial"/>
          <w:sz w:val="18"/>
          <w:szCs w:val="18"/>
          <w:color w:val="auto"/>
        </w:rPr>
        <w:t>R&amp;D expenses decreased by approximately $83,000, or 2%, in the second quarter of 2008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2007. The decrease was primarily attributable to a decrease in external services of approximately $528,000, which was due mainly to a decrease in expenses related to our Phase I clinical trial; including costs related to manufacturing and testing of our cells and the enrollment and dosing of patients. The decrease of these expenses were mostly offset by (i) an increase in other operating expenses of approximately $291,000, primarily attributable to supplies, and (ii) an increase of in personnel costs of approximately $154,000 to support expanded operations in cell processing and our product development programs. At June 30, 2008, we had 45 full-time employees working in research and development and laboratory support services as compared to 42 at June 30, 2007.</w:t>
      </w:r>
    </w:p>
    <w:p>
      <w:pPr>
        <w:spacing w:after="0" w:line="81"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i w:val="1"/>
          <w:iCs w:val="1"/>
          <w:color w:val="auto"/>
        </w:rPr>
        <w:t xml:space="preserve">Six months ended June 30, 2008 versus six months ended June 30, 2007. </w:t>
      </w:r>
      <w:r>
        <w:rPr>
          <w:rFonts w:ascii="Arial" w:cs="Arial" w:eastAsia="Arial" w:hAnsi="Arial"/>
          <w:sz w:val="18"/>
          <w:szCs w:val="18"/>
          <w:color w:val="auto"/>
        </w:rPr>
        <w:t>R&amp;D expenses increased by approximately $398,000, or 5%,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2008 from the six months ended 2007. The increase was primarily attributable to (i) an increase in personnel costs of approximately $617,000 to support expanded operations in cell processing and our product development programs, and (ii) an increase in other operating expenses of approximately $409,000, primarily attributable to supplies. These increased expenses were partially offset by a decrease in external services of approximately $628,000, which was due mainly to a decrease in expenses related to our Phase I clinical trial; including costs related to manufacturing and testing of our cells and the enrollment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dosing of patients. At June 30, 2008, we had 45 full-time employees working in research and development and laboratory support services as compared to 42 at June 30, 2007.</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General and Administrative (G&amp;A) expenses totaled approximately $2,346,000 in the second quarter of 2008 compared with $1,409,000 in the second quarter of 2007, and $4,600,000 for the six month ended 2008 compared with $3,673,000 for the six months ended 2007.</w:t>
      </w:r>
    </w:p>
    <w:p>
      <w:pPr>
        <w:spacing w:after="0" w:line="6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i w:val="1"/>
          <w:iCs w:val="1"/>
          <w:color w:val="auto"/>
        </w:rPr>
        <w:t xml:space="preserve">Second quarter 2008 versus second quarter 2007. </w:t>
      </w:r>
      <w:r>
        <w:rPr>
          <w:rFonts w:ascii="Arial" w:cs="Arial" w:eastAsia="Arial" w:hAnsi="Arial"/>
          <w:sz w:val="18"/>
          <w:szCs w:val="18"/>
          <w:color w:val="auto"/>
        </w:rPr>
        <w:t>G&amp;A expenses increased by approximately $937,000, or 67%, in the second quarter of 2008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2007. The increase was primarily attributable to (i) an increase in external services of approximately $551,000, primarily due to an increase in external consultants and legal fees, (ii) an increase in personnel costs of approximately $64,000, primarily due to an increase in headcount, and (iii) an increase in other operating expenses of approximately $31,000. In addition, operating expenses for our vacant pilot manufacturing facility in Rhode Island increased approximately $291,000 in the second quarter of 2008 to the comparable period in 2007, primarily attributable to the loss of tenant income to offset operating expense.</w:t>
      </w:r>
    </w:p>
    <w:p>
      <w:pPr>
        <w:spacing w:after="0" w:line="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i w:val="1"/>
          <w:iCs w:val="1"/>
          <w:color w:val="auto"/>
        </w:rPr>
        <w:t xml:space="preserve">Six months ended June 30, 2008 versus six months ended June 30, 2007. </w:t>
      </w:r>
      <w:r>
        <w:rPr>
          <w:rFonts w:ascii="Arial" w:cs="Arial" w:eastAsia="Arial" w:hAnsi="Arial"/>
          <w:sz w:val="17"/>
          <w:szCs w:val="17"/>
          <w:color w:val="auto"/>
        </w:rPr>
        <w:t>G&amp;A expenses increased by approximately $927,000, or 25%,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2008 from the six months ended 2007. The increase was primarily attributable to (i) an increase in external services of approximately $391,000, primarily due to an increase in external consultants and legal fees, and (ii) an increase in personnel costs of approximately $97,000, primarily due to an increase in headcount. In addition, operating expenses for our vacant pilot manufacturing facility in Rhode Island increased approximately $457,000 for the six months ended 2008 to the comparable period in 2007, primarily attributable to the loss of tenant income to offset operating expense. These increased expenses were partially offset by a decrease in other operating expenses of approximately $18,000.</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Wind-down Expenses</w:t>
      </w:r>
    </w:p>
    <w:p>
      <w:pPr>
        <w:spacing w:after="0" w:line="117"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The reserve was approximately $6,143,000 at December 31, 2007. Payments net of subtenant income of approximately $288,000 for the second quarter and $619,000 for the six months ended 2008 were recorded against this reserve. At June 30, 2008, we re-evaluated the estimate and adjusted the reserve to approximately $5,749,000 by recording in aggregate, additional wind-down expenses of approximately $167,000 in the second quarter of 2008, for a total of approximately $327,000 for the six months ended 2008. Payments recorded against the reserve were approximately $342,000 in the second quarter and $723,000 for the six months ended 2007 and additional expenses recorded to adjust the reserve were approximately $134,000 in the second quarter and $356,000 for the six months ended 2007.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See Note 5 “Wind-down expenses,” in the notes to condensed consolidated financial statements of Part I, Item 1 of this Form 10-Q for further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Other income totaled approximately $183,000 in the second quarter of 2008 compared with $609,000 of 2007, and $535,000 for the six months ended 2008 compared with $2,489,000 for the six months ended 2007.</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6"/>
          </w:tcPr>
          <w:p>
            <w:pPr>
              <w:jc w:val="right"/>
              <w:ind w:right="820"/>
              <w:spacing w:after="0"/>
              <w:rPr>
                <w:sz w:val="20"/>
                <w:szCs w:val="20"/>
                <w:color w:val="auto"/>
              </w:rPr>
            </w:pPr>
            <w:r>
              <w:rPr>
                <w:rFonts w:ascii="Arial" w:cs="Arial" w:eastAsia="Arial" w:hAnsi="Arial"/>
                <w:sz w:val="13"/>
                <w:szCs w:val="13"/>
                <w:b w:val="1"/>
                <w:bCs w:val="1"/>
                <w:color w:val="auto"/>
              </w:rPr>
              <w:t>Three months ended,</w:t>
            </w:r>
          </w:p>
        </w:tc>
        <w:tc>
          <w:tcPr>
            <w:tcW w:w="1560" w:type="dxa"/>
            <w:vAlign w:val="bottom"/>
            <w:gridSpan w:val="4"/>
          </w:tcPr>
          <w:p>
            <w:pPr>
              <w:jc w:val="center"/>
              <w:ind w:left="159"/>
              <w:spacing w:after="0"/>
              <w:rPr>
                <w:sz w:val="20"/>
                <w:szCs w:val="20"/>
                <w:color w:val="auto"/>
              </w:rPr>
            </w:pPr>
            <w:r>
              <w:rPr>
                <w:rFonts w:ascii="Arial" w:cs="Arial" w:eastAsia="Arial" w:hAnsi="Arial"/>
                <w:sz w:val="13"/>
                <w:szCs w:val="13"/>
                <w:b w:val="1"/>
                <w:bCs w:val="1"/>
                <w:color w:val="auto"/>
                <w:w w:val="86"/>
              </w:rPr>
              <w:t>Change in 2008 versus</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6"/>
          </w:tcPr>
          <w:p>
            <w:pPr>
              <w:jc w:val="right"/>
              <w:ind w:right="660"/>
              <w:spacing w:after="0"/>
              <w:rPr>
                <w:sz w:val="20"/>
                <w:szCs w:val="20"/>
                <w:color w:val="auto"/>
              </w:rPr>
            </w:pPr>
            <w:r>
              <w:rPr>
                <w:rFonts w:ascii="Arial" w:cs="Arial" w:eastAsia="Arial" w:hAnsi="Arial"/>
                <w:sz w:val="13"/>
                <w:szCs w:val="13"/>
                <w:b w:val="1"/>
                <w:bCs w:val="1"/>
                <w:color w:val="auto"/>
              </w:rPr>
              <w:t>Six months ended,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86"/>
              </w:rPr>
              <w:t>Change in 2008 versus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June 30</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9"/>
              </w:rPr>
              <w:t>2007</w:t>
            </w: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June 30</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9"/>
              </w:rPr>
              <w:t>2007</w:t>
            </w: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57"/>
              <w:spacing w:after="0" w:line="129" w:lineRule="exact"/>
              <w:rPr>
                <w:sz w:val="20"/>
                <w:szCs w:val="20"/>
                <w:color w:val="auto"/>
              </w:rPr>
            </w:pPr>
            <w:r>
              <w:rPr>
                <w:rFonts w:ascii="Arial" w:cs="Arial" w:eastAsia="Arial" w:hAnsi="Arial"/>
                <w:sz w:val="13"/>
                <w:szCs w:val="13"/>
                <w:b w:val="1"/>
                <w:bCs w:val="1"/>
                <w:color w:val="auto"/>
              </w:rPr>
              <w:t>2008</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37"/>
              <w:spacing w:after="0" w:line="129" w:lineRule="exact"/>
              <w:rPr>
                <w:sz w:val="20"/>
                <w:szCs w:val="20"/>
                <w:color w:val="auto"/>
              </w:rPr>
            </w:pPr>
            <w:r>
              <w:rPr>
                <w:rFonts w:ascii="Arial" w:cs="Arial" w:eastAsia="Arial" w:hAnsi="Arial"/>
                <w:sz w:val="13"/>
                <w:szCs w:val="13"/>
                <w:b w:val="1"/>
                <w:bCs w:val="1"/>
                <w:color w:val="auto"/>
              </w:rPr>
              <w:t>2007</w:t>
            </w:r>
          </w:p>
        </w:tc>
        <w:tc>
          <w:tcPr>
            <w:tcW w:w="460" w:type="dxa"/>
            <w:vAlign w:val="bottom"/>
          </w:tcPr>
          <w:p>
            <w:pPr>
              <w:spacing w:after="0"/>
              <w:rPr>
                <w:sz w:val="11"/>
                <w:szCs w:val="11"/>
                <w:color w:val="auto"/>
              </w:rPr>
            </w:pPr>
          </w:p>
        </w:tc>
        <w:tc>
          <w:tcPr>
            <w:tcW w:w="660" w:type="dxa"/>
            <w:vAlign w:val="bottom"/>
          </w:tcPr>
          <w:p>
            <w:pPr>
              <w:jc w:val="right"/>
              <w:ind w:right="239"/>
              <w:spacing w:after="0" w:line="12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40"/>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ind w:right="137"/>
              <w:spacing w:after="0" w:line="129" w:lineRule="exact"/>
              <w:rPr>
                <w:sz w:val="20"/>
                <w:szCs w:val="20"/>
                <w:color w:val="auto"/>
              </w:rPr>
            </w:pPr>
            <w:r>
              <w:rPr>
                <w:rFonts w:ascii="Arial" w:cs="Arial" w:eastAsia="Arial" w:hAnsi="Arial"/>
                <w:sz w:val="13"/>
                <w:szCs w:val="13"/>
                <w:b w:val="1"/>
                <w:bCs w:val="1"/>
                <w:color w:val="auto"/>
              </w:rPr>
              <w:t>2008</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37"/>
              <w:spacing w:after="0" w:line="129" w:lineRule="exact"/>
              <w:rPr>
                <w:sz w:val="20"/>
                <w:szCs w:val="20"/>
                <w:color w:val="auto"/>
              </w:rPr>
            </w:pPr>
            <w:r>
              <w:rPr>
                <w:rFonts w:ascii="Arial" w:cs="Arial" w:eastAsia="Arial" w:hAnsi="Arial"/>
                <w:sz w:val="13"/>
                <w:szCs w:val="13"/>
                <w:b w:val="1"/>
                <w:bCs w:val="1"/>
                <w:color w:val="auto"/>
              </w:rPr>
              <w:t>2007</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257"/>
              <w:spacing w:after="0" w:line="129"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c>
          <w:tcPr>
            <w:tcW w:w="1060" w:type="dxa"/>
            <w:vAlign w:val="bottom"/>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Other income (expense):</w:t>
            </w:r>
          </w:p>
        </w:tc>
        <w:tc>
          <w:tcPr>
            <w:tcW w:w="2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ind w:left="200"/>
              <w:spacing w:after="0" w:line="135" w:lineRule="exact"/>
              <w:rPr>
                <w:sz w:val="20"/>
                <w:szCs w:val="20"/>
                <w:color w:val="auto"/>
              </w:rPr>
            </w:pPr>
            <w:r>
              <w:rPr>
                <w:rFonts w:ascii="Arial" w:cs="Arial" w:eastAsia="Arial" w:hAnsi="Arial"/>
                <w:sz w:val="13"/>
                <w:szCs w:val="13"/>
                <w:color w:val="auto"/>
                <w:w w:val="96"/>
              </w:rPr>
              <w:t>License and settlement agreement, net</w:t>
            </w:r>
          </w:p>
        </w:tc>
        <w:tc>
          <w:tcPr>
            <w:tcW w:w="4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6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539"/>
              <w:spacing w:after="0"/>
              <w:rPr>
                <w:sz w:val="20"/>
                <w:szCs w:val="20"/>
                <w:color w:val="auto"/>
              </w:rPr>
            </w:pPr>
            <w:r>
              <w:rPr>
                <w:rFonts w:ascii="Arial" w:cs="Arial" w:eastAsia="Arial" w:hAnsi="Arial"/>
                <w:sz w:val="9"/>
                <w:szCs w:val="9"/>
                <w:color w:val="auto"/>
                <w:w w:val="78"/>
              </w:rPr>
              <w:t>$</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550,467</w:t>
            </w:r>
          </w:p>
        </w:tc>
        <w:tc>
          <w:tcPr>
            <w:tcW w:w="3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(550,467)</w:t>
            </w:r>
          </w:p>
        </w:tc>
        <w:tc>
          <w:tcPr>
            <w:tcW w:w="12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Gain on sale of marketable securities</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6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717,621</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(717,621)</w:t>
            </w:r>
          </w:p>
        </w:tc>
        <w:tc>
          <w:tcPr>
            <w:tcW w:w="12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ind w:left="200"/>
              <w:spacing w:after="0" w:line="135" w:lineRule="exact"/>
              <w:rPr>
                <w:sz w:val="20"/>
                <w:szCs w:val="20"/>
                <w:color w:val="auto"/>
              </w:rPr>
            </w:pPr>
            <w:r>
              <w:rPr>
                <w:rFonts w:ascii="Arial" w:cs="Arial" w:eastAsia="Arial" w:hAnsi="Arial"/>
                <w:sz w:val="13"/>
                <w:szCs w:val="13"/>
                <w:color w:val="auto"/>
              </w:rPr>
              <w:t>Interest income</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377"/>
              <w:spacing w:after="0" w:line="135" w:lineRule="exact"/>
              <w:rPr>
                <w:sz w:val="20"/>
                <w:szCs w:val="20"/>
                <w:color w:val="auto"/>
              </w:rPr>
            </w:pPr>
            <w:r>
              <w:rPr>
                <w:rFonts w:ascii="Arial" w:cs="Arial" w:eastAsia="Arial" w:hAnsi="Arial"/>
                <w:sz w:val="13"/>
                <w:szCs w:val="13"/>
                <w:color w:val="auto"/>
              </w:rPr>
              <w:t>216,109</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460"/>
              <w:spacing w:after="0" w:line="135" w:lineRule="exact"/>
              <w:rPr>
                <w:sz w:val="20"/>
                <w:szCs w:val="20"/>
                <w:color w:val="auto"/>
              </w:rPr>
            </w:pPr>
            <w:r>
              <w:rPr>
                <w:rFonts w:ascii="Arial" w:cs="Arial" w:eastAsia="Arial" w:hAnsi="Arial"/>
                <w:sz w:val="13"/>
                <w:szCs w:val="13"/>
                <w:color w:val="auto"/>
              </w:rPr>
              <w:t>655,531</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(439,422)</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(67)%</w:t>
            </w:r>
          </w:p>
        </w:tc>
        <w:tc>
          <w:tcPr>
            <w:tcW w:w="140" w:type="dxa"/>
            <w:vAlign w:val="bottom"/>
          </w:tcPr>
          <w:p>
            <w:pPr>
              <w:spacing w:after="0"/>
              <w:rPr>
                <w:sz w:val="11"/>
                <w:szCs w:val="11"/>
                <w:color w:val="auto"/>
              </w:rPr>
            </w:pPr>
          </w:p>
        </w:tc>
        <w:tc>
          <w:tcPr>
            <w:tcW w:w="960" w:type="dxa"/>
            <w:vAlign w:val="bottom"/>
            <w:gridSpan w:val="2"/>
          </w:tcPr>
          <w:p>
            <w:pPr>
              <w:jc w:val="right"/>
              <w:ind w:right="377"/>
              <w:spacing w:after="0" w:line="135" w:lineRule="exact"/>
              <w:rPr>
                <w:sz w:val="20"/>
                <w:szCs w:val="20"/>
                <w:color w:val="auto"/>
              </w:rPr>
            </w:pPr>
            <w:r>
              <w:rPr>
                <w:rFonts w:ascii="Arial" w:cs="Arial" w:eastAsia="Arial" w:hAnsi="Arial"/>
                <w:sz w:val="13"/>
                <w:szCs w:val="13"/>
                <w:color w:val="auto"/>
              </w:rPr>
              <w:t>599,774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89"/>
              </w:rPr>
              <w:t>1,309,137</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(709,363)</w:t>
            </w:r>
          </w:p>
        </w:tc>
        <w:tc>
          <w:tcPr>
            <w:tcW w:w="12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Interest expense</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337"/>
              <w:spacing w:after="0" w:line="135" w:lineRule="exact"/>
              <w:rPr>
                <w:sz w:val="20"/>
                <w:szCs w:val="20"/>
                <w:color w:val="auto"/>
              </w:rPr>
            </w:pPr>
            <w:r>
              <w:rPr>
                <w:rFonts w:ascii="Arial" w:cs="Arial" w:eastAsia="Arial" w:hAnsi="Arial"/>
                <w:sz w:val="13"/>
                <w:szCs w:val="13"/>
                <w:color w:val="auto"/>
              </w:rPr>
              <w:t>(28,970)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(34,055)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5,085</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(15)%</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(57,161)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(67,372)</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10,211</w:t>
            </w:r>
          </w:p>
        </w:tc>
        <w:tc>
          <w:tcPr>
            <w:tcW w:w="1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ind w:left="200"/>
              <w:spacing w:after="0" w:line="135" w:lineRule="exact"/>
              <w:rPr>
                <w:sz w:val="20"/>
                <w:szCs w:val="20"/>
                <w:color w:val="auto"/>
              </w:rPr>
            </w:pPr>
            <w:r>
              <w:rPr>
                <w:rFonts w:ascii="Arial" w:cs="Arial" w:eastAsia="Arial" w:hAnsi="Arial"/>
                <w:sz w:val="13"/>
                <w:szCs w:val="13"/>
                <w:color w:val="auto"/>
              </w:rPr>
              <w:t>Other expense, net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337"/>
              <w:spacing w:after="0" w:line="135" w:lineRule="exact"/>
              <w:rPr>
                <w:sz w:val="20"/>
                <w:szCs w:val="20"/>
                <w:color w:val="auto"/>
              </w:rPr>
            </w:pPr>
            <w:r>
              <w:rPr>
                <w:rFonts w:ascii="Arial" w:cs="Arial" w:eastAsia="Arial" w:hAnsi="Arial"/>
                <w:sz w:val="13"/>
                <w:szCs w:val="13"/>
                <w:color w:val="auto"/>
              </w:rPr>
              <w:t>(3,736)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(12,400)</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8,664</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(70)%</w:t>
            </w:r>
          </w:p>
        </w:tc>
        <w:tc>
          <w:tcPr>
            <w:tcW w:w="140" w:type="dxa"/>
            <w:vAlign w:val="bottom"/>
          </w:tcPr>
          <w:p>
            <w:pPr>
              <w:spacing w:after="0"/>
              <w:rPr>
                <w:sz w:val="11"/>
                <w:szCs w:val="11"/>
                <w:color w:val="auto"/>
              </w:rPr>
            </w:pPr>
          </w:p>
        </w:tc>
        <w:tc>
          <w:tcPr>
            <w:tcW w:w="960" w:type="dxa"/>
            <w:vAlign w:val="bottom"/>
            <w:gridSpan w:val="2"/>
          </w:tcPr>
          <w:p>
            <w:pPr>
              <w:jc w:val="right"/>
              <w:ind w:right="317"/>
              <w:spacing w:after="0" w:line="135" w:lineRule="exact"/>
              <w:rPr>
                <w:sz w:val="20"/>
                <w:szCs w:val="20"/>
                <w:color w:val="auto"/>
              </w:rPr>
            </w:pPr>
            <w:r>
              <w:rPr>
                <w:rFonts w:ascii="Arial" w:cs="Arial" w:eastAsia="Arial" w:hAnsi="Arial"/>
                <w:sz w:val="13"/>
                <w:szCs w:val="13"/>
                <w:color w:val="auto"/>
              </w:rPr>
              <w:t>(7,345)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(21,024)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13,679</w:t>
            </w:r>
          </w:p>
        </w:tc>
        <w:tc>
          <w:tcPr>
            <w:tcW w:w="12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other income</w:t>
            </w:r>
          </w:p>
        </w:tc>
        <w:tc>
          <w:tcPr>
            <w:tcW w:w="4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77"/>
              <w:spacing w:after="0" w:line="135" w:lineRule="exact"/>
              <w:rPr>
                <w:sz w:val="20"/>
                <w:szCs w:val="20"/>
                <w:color w:val="auto"/>
              </w:rPr>
            </w:pPr>
            <w:r>
              <w:rPr>
                <w:rFonts w:ascii="Arial" w:cs="Arial" w:eastAsia="Arial" w:hAnsi="Arial"/>
                <w:sz w:val="13"/>
                <w:szCs w:val="13"/>
                <w:color w:val="auto"/>
              </w:rPr>
              <w:t>183,403</w:t>
            </w:r>
          </w:p>
        </w:tc>
        <w:tc>
          <w:tcPr>
            <w:tcW w:w="1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60"/>
              <w:spacing w:after="0" w:line="135" w:lineRule="exact"/>
              <w:rPr>
                <w:sz w:val="20"/>
                <w:szCs w:val="20"/>
                <w:color w:val="auto"/>
              </w:rPr>
            </w:pPr>
            <w:r>
              <w:rPr>
                <w:rFonts w:ascii="Arial" w:cs="Arial" w:eastAsia="Arial" w:hAnsi="Arial"/>
                <w:sz w:val="13"/>
                <w:szCs w:val="13"/>
                <w:color w:val="auto"/>
              </w:rPr>
              <w:t>609,076</w:t>
            </w: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2"/>
              </w:rPr>
              <w:t>$   (425,673)</w:t>
            </w:r>
          </w:p>
        </w:tc>
        <w:tc>
          <w:tcPr>
            <w:tcW w:w="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(70)%</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377"/>
              <w:spacing w:after="0" w:line="135" w:lineRule="exact"/>
              <w:rPr>
                <w:sz w:val="20"/>
                <w:szCs w:val="20"/>
                <w:color w:val="auto"/>
              </w:rPr>
            </w:pPr>
            <w:r>
              <w:rPr>
                <w:rFonts w:ascii="Arial" w:cs="Arial" w:eastAsia="Arial" w:hAnsi="Arial"/>
                <w:sz w:val="13"/>
                <w:szCs w:val="13"/>
                <w:color w:val="auto"/>
              </w:rPr>
              <w:t>535,268</w:t>
            </w:r>
          </w:p>
        </w:tc>
        <w:tc>
          <w:tcPr>
            <w:tcW w:w="1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89"/>
              </w:rPr>
              <w:t>2,488,829</w:t>
            </w:r>
          </w:p>
        </w:tc>
        <w:tc>
          <w:tcPr>
            <w:tcW w:w="3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1,953,561</w:t>
            </w:r>
          </w:p>
        </w:tc>
        <w:tc>
          <w:tcPr>
            <w:tcW w:w="6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Calculation is not meaningful.</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License and Settlement Agreement</w:t>
      </w:r>
    </w:p>
    <w:p>
      <w:pPr>
        <w:spacing w:after="0" w:line="117" w:lineRule="exact"/>
        <w:rPr>
          <w:sz w:val="20"/>
          <w:szCs w:val="20"/>
          <w:color w:val="auto"/>
        </w:rPr>
      </w:pPr>
    </w:p>
    <w:p>
      <w:pPr>
        <w:ind w:right="200" w:firstLine="225"/>
        <w:spacing w:after="0" w:line="255" w:lineRule="auto"/>
        <w:rPr>
          <w:sz w:val="20"/>
          <w:szCs w:val="20"/>
          <w:color w:val="auto"/>
        </w:rPr>
      </w:pPr>
      <w:r>
        <w:rPr>
          <w:rFonts w:ascii="Arial" w:cs="Arial" w:eastAsia="Arial" w:hAnsi="Arial"/>
          <w:sz w:val="18"/>
          <w:szCs w:val="18"/>
          <w:color w:val="auto"/>
        </w:rPr>
        <w:t>In July 2005, we entered into an agreement with ReNeuron Limited, a wholly-owned subsidiary of ReNeuron Group plc, a listed UK corporation (collectively referred to as “ReNeuron”). As part of the agreement, we granted ReNeuron a license that allows ReNeuron to exploit their “c-mycER” conditionally immortalized adult human neural stem cell technology for therapy and other purposes. We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w:t>
      </w:r>
    </w:p>
    <w:p>
      <w:pPr>
        <w:spacing w:after="0" w:line="81"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Other income from the license and settlement agreement totaled approximately $550,000 for the six months ended 2007, which was the fair value of the ReNeuron shares we received under such agreement, net of legal fees and the value of the shares that were transferred to NeuroSpheres Ltd., a Canadian corporation from which we have licensed some of the patent rights that are the subject of the agreement with ReNeuron. See Note 2 “Financial Assets,” in the notes to condensed consolidated financial statements of Part I, Item 1 of this Form 10-Q for further information regarding this transaction.</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Gain on Sale of Marketable Equity Securities</w:t>
      </w:r>
    </w:p>
    <w:p>
      <w:pPr>
        <w:spacing w:after="0" w:line="117" w:lineRule="exact"/>
        <w:rPr>
          <w:sz w:val="20"/>
          <w:szCs w:val="20"/>
          <w:color w:val="auto"/>
        </w:rPr>
      </w:pPr>
    </w:p>
    <w:p>
      <w:pPr>
        <w:jc w:val="both"/>
        <w:ind w:right="140" w:firstLine="222"/>
        <w:spacing w:after="0" w:line="264" w:lineRule="auto"/>
        <w:rPr>
          <w:sz w:val="20"/>
          <w:szCs w:val="20"/>
          <w:color w:val="auto"/>
        </w:rPr>
      </w:pPr>
      <w:r>
        <w:rPr>
          <w:rFonts w:ascii="Arial" w:cs="Arial" w:eastAsia="Arial" w:hAnsi="Arial"/>
          <w:sz w:val="18"/>
          <w:szCs w:val="18"/>
          <w:color w:val="auto"/>
        </w:rPr>
        <w:t>The gain on sale of marketable equity securities of approximately $716,000 for the six months ended 2007 was attributable to sales of ReNeuron shares. See Note 2 “Financial Assets,” in the notes to condensed consolidated financial statements of Part I, Item 1 of this Form 10-Q for further information on this transaction.</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Interest income decreased 67%, or approximately $439,000, to approximately $216,000 in the second quarter and 54%, or approximately $709,000, to approximately $600,000 for the six months ended 2008 from the comparable periods in 2007. The decreases were primarily as a result of lower average yield and lower average investment balances. See “Cash Used in Investing Activities,” in Liquidity and Capital Resources below for further information.</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Interest expense decreased 15%, or approximately $5,000, to approximately $29,000 in the second quarter and 15%, or approximately $10,000, to approximately $57,000 for the six months ended 2008 from the comparable periods in 2007. The decreases were primarily attributable to lower outstanding debt and capital lease balances. See Note 6 “Commitment and Contingencies,” in the notes to condensed consolidated financial statements of Part I, Item 1 of this Form 10-Q for further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 from collaborative agreements, research grants, license fees, and interest income.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2"/>
          </w:tcPr>
          <w:p>
            <w:pPr>
              <w:jc w:val="center"/>
              <w:ind w:left="744"/>
              <w:spacing w:after="0"/>
              <w:rPr>
                <w:sz w:val="20"/>
                <w:szCs w:val="20"/>
                <w:color w:val="auto"/>
              </w:rPr>
            </w:pPr>
            <w:r>
              <w:rPr>
                <w:rFonts w:ascii="Arial" w:cs="Arial" w:eastAsia="Arial" w:hAnsi="Arial"/>
                <w:sz w:val="14"/>
                <w:szCs w:val="14"/>
                <w:b w:val="1"/>
                <w:bCs w:val="1"/>
                <w:color w:val="auto"/>
                <w:w w:val="91"/>
              </w:rPr>
              <w:t>Change in</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80" w:type="dxa"/>
            <w:vAlign w:val="bottom"/>
            <w:gridSpan w:val="2"/>
          </w:tcPr>
          <w:p>
            <w:pPr>
              <w:jc w:val="center"/>
              <w:ind w:left="744"/>
              <w:spacing w:after="0" w:line="149" w:lineRule="exact"/>
              <w:rPr>
                <w:sz w:val="20"/>
                <w:szCs w:val="20"/>
                <w:color w:val="auto"/>
              </w:rPr>
            </w:pPr>
            <w:r>
              <w:rPr>
                <w:rFonts w:ascii="Arial" w:cs="Arial" w:eastAsia="Arial" w:hAnsi="Arial"/>
                <w:sz w:val="14"/>
                <w:szCs w:val="14"/>
                <w:b w:val="1"/>
                <w:bCs w:val="1"/>
                <w:color w:val="auto"/>
                <w:w w:val="96"/>
              </w:rPr>
              <w:t>2008</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4"/>
                <w:szCs w:val="14"/>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1880" w:type="dxa"/>
            <w:vAlign w:val="bottom"/>
            <w:tcBorders>
              <w:bottom w:val="single" w:sz="8" w:color="auto"/>
            </w:tcBorders>
            <w:gridSpan w:val="2"/>
          </w:tcPr>
          <w:p>
            <w:pPr>
              <w:jc w:val="center"/>
              <w:ind w:left="744"/>
              <w:spacing w:after="0"/>
              <w:rPr>
                <w:sz w:val="20"/>
                <w:szCs w:val="20"/>
                <w:color w:val="auto"/>
              </w:rPr>
            </w:pPr>
            <w:r>
              <w:rPr>
                <w:rFonts w:ascii="Arial" w:cs="Arial" w:eastAsia="Arial" w:hAnsi="Arial"/>
                <w:sz w:val="14"/>
                <w:szCs w:val="14"/>
                <w:b w:val="1"/>
                <w:bCs w:val="1"/>
                <w:color w:val="auto"/>
                <w:w w:val="90"/>
              </w:rPr>
              <w:t>Versus 2007</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vMerge w:val="restart"/>
          </w:tcPr>
          <w:p>
            <w:pPr>
              <w:spacing w:after="0"/>
              <w:rPr>
                <w:sz w:val="20"/>
                <w:szCs w:val="20"/>
                <w:color w:val="auto"/>
              </w:rPr>
            </w:pPr>
            <w:r>
              <w:rPr>
                <w:rFonts w:ascii="Arial" w:cs="Arial" w:eastAsia="Arial" w:hAnsi="Arial"/>
                <w:sz w:val="18"/>
                <w:szCs w:val="18"/>
                <w:color w:val="auto"/>
              </w:rPr>
              <w:t>Cash, cash equivalents and marketable debt securities</w:t>
            </w:r>
          </w:p>
        </w:tc>
        <w:tc>
          <w:tcPr>
            <w:tcW w:w="1360" w:type="dxa"/>
            <w:vAlign w:val="bottom"/>
          </w:tcPr>
          <w:p>
            <w:pPr>
              <w:jc w:val="right"/>
              <w:ind w:right="462"/>
              <w:spacing w:after="0" w:line="142" w:lineRule="exact"/>
              <w:rPr>
                <w:sz w:val="20"/>
                <w:szCs w:val="20"/>
                <w:color w:val="auto"/>
              </w:rPr>
            </w:pPr>
            <w:r>
              <w:rPr>
                <w:rFonts w:ascii="Arial" w:cs="Arial" w:eastAsia="Arial" w:hAnsi="Arial"/>
                <w:sz w:val="14"/>
                <w:szCs w:val="14"/>
                <w:b w:val="1"/>
                <w:bCs w:val="1"/>
                <w:color w:val="auto"/>
              </w:rPr>
              <w:t>2008</w:t>
            </w:r>
          </w:p>
        </w:tc>
        <w:tc>
          <w:tcPr>
            <w:tcW w:w="1820" w:type="dxa"/>
            <w:vAlign w:val="bottom"/>
            <w:gridSpan w:val="2"/>
          </w:tcPr>
          <w:p>
            <w:pPr>
              <w:jc w:val="right"/>
              <w:ind w:right="459"/>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1440" w:type="dxa"/>
            <w:vAlign w:val="bottom"/>
          </w:tcPr>
          <w:p>
            <w:pPr>
              <w:jc w:val="right"/>
              <w:ind w:right="604"/>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820" w:type="dxa"/>
            <w:vAlign w:val="bottom"/>
          </w:tcPr>
          <w:p>
            <w:pPr>
              <w:jc w:val="right"/>
              <w:ind w:right="279"/>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5100" w:type="dxa"/>
            <w:vAlign w:val="bottom"/>
            <w:vMerge w:val="continue"/>
          </w:tcPr>
          <w:p>
            <w:pPr>
              <w:spacing w:after="0"/>
              <w:rPr>
                <w:sz w:val="19"/>
                <w:szCs w:val="19"/>
                <w:color w:val="auto"/>
              </w:rPr>
            </w:pPr>
          </w:p>
        </w:tc>
        <w:tc>
          <w:tcPr>
            <w:tcW w:w="1360" w:type="dxa"/>
            <w:vAlign w:val="bottom"/>
            <w:tcBorders>
              <w:top w:val="single" w:sz="8" w:color="auto"/>
            </w:tcBorders>
          </w:tcPr>
          <w:p>
            <w:pPr>
              <w:jc w:val="right"/>
              <w:ind w:right="182"/>
              <w:spacing w:after="0"/>
              <w:rPr>
                <w:sz w:val="20"/>
                <w:szCs w:val="20"/>
                <w:color w:val="auto"/>
              </w:rPr>
            </w:pPr>
            <w:r>
              <w:rPr>
                <w:rFonts w:ascii="Arial" w:cs="Arial" w:eastAsia="Arial" w:hAnsi="Arial"/>
                <w:sz w:val="18"/>
                <w:szCs w:val="18"/>
                <w:color w:val="auto"/>
              </w:rPr>
              <w:t>$26,203,417</w:t>
            </w:r>
          </w:p>
        </w:tc>
        <w:tc>
          <w:tcPr>
            <w:tcW w:w="440" w:type="dxa"/>
            <w:vAlign w:val="bottom"/>
          </w:tcPr>
          <w:p>
            <w:pPr>
              <w:spacing w:after="0"/>
              <w:rPr>
                <w:sz w:val="19"/>
                <w:szCs w:val="19"/>
                <w:color w:val="auto"/>
              </w:rPr>
            </w:pPr>
          </w:p>
        </w:tc>
        <w:tc>
          <w:tcPr>
            <w:tcW w:w="1380" w:type="dxa"/>
            <w:vAlign w:val="bottom"/>
            <w:tcBorders>
              <w:top w:val="single" w:sz="8" w:color="auto"/>
            </w:tcBorders>
          </w:tcPr>
          <w:p>
            <w:pPr>
              <w:jc w:val="right"/>
              <w:ind w:right="199"/>
              <w:spacing w:after="0"/>
              <w:rPr>
                <w:sz w:val="20"/>
                <w:szCs w:val="20"/>
                <w:color w:val="auto"/>
              </w:rPr>
            </w:pPr>
            <w:r>
              <w:rPr>
                <w:rFonts w:ascii="Arial" w:cs="Arial" w:eastAsia="Arial" w:hAnsi="Arial"/>
                <w:sz w:val="18"/>
                <w:szCs w:val="18"/>
                <w:color w:val="auto"/>
              </w:rPr>
              <w:t>$37,645,085</w:t>
            </w:r>
          </w:p>
        </w:tc>
        <w:tc>
          <w:tcPr>
            <w:tcW w:w="440" w:type="dxa"/>
            <w:vAlign w:val="bottom"/>
          </w:tcPr>
          <w:p>
            <w:pPr>
              <w:spacing w:after="0"/>
              <w:rPr>
                <w:sz w:val="19"/>
                <w:szCs w:val="19"/>
                <w:color w:val="auto"/>
              </w:rPr>
            </w:pPr>
          </w:p>
        </w:tc>
        <w:tc>
          <w:tcPr>
            <w:tcW w:w="1440" w:type="dxa"/>
            <w:vAlign w:val="bottom"/>
            <w:tcBorders>
              <w:top w:val="single" w:sz="8" w:color="auto"/>
            </w:tcBorders>
          </w:tcPr>
          <w:p>
            <w:pPr>
              <w:jc w:val="right"/>
              <w:ind w:right="164"/>
              <w:spacing w:after="0"/>
              <w:rPr>
                <w:sz w:val="20"/>
                <w:szCs w:val="20"/>
                <w:color w:val="auto"/>
              </w:rPr>
            </w:pPr>
            <w:r>
              <w:rPr>
                <w:rFonts w:ascii="Arial" w:cs="Arial" w:eastAsia="Arial" w:hAnsi="Arial"/>
                <w:sz w:val="18"/>
                <w:szCs w:val="18"/>
                <w:color w:val="auto"/>
              </w:rPr>
              <w:t>$(11,441,668)</w:t>
            </w:r>
          </w:p>
        </w:tc>
        <w:tc>
          <w:tcPr>
            <w:tcW w:w="440" w:type="dxa"/>
            <w:vAlign w:val="bottom"/>
          </w:tcPr>
          <w:p>
            <w:pPr>
              <w:spacing w:after="0"/>
              <w:rPr>
                <w:sz w:val="19"/>
                <w:szCs w:val="19"/>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Total cash, cash equivalents and marketable debt securities were approximately $26,203,000 at June 30, 2008, compared with approximately $37,645,000 at December 31, 2007. The decrease in our cash, cash equivalents and marketable debt securities of approximately 30%, or $11,442,000, from December 31, 2007 to June 30, 2008 was primarily attributable to cash used in operating activities.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summary, our cash flows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20" w:type="dxa"/>
            <w:vAlign w:val="bottom"/>
            <w:gridSpan w:val="5"/>
            <w:vMerge w:val="restart"/>
          </w:tcPr>
          <w:p>
            <w:pPr>
              <w:jc w:val="right"/>
              <w:ind w:right="1014"/>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Pr>
          <w:p>
            <w:pPr>
              <w:spacing w:after="0"/>
              <w:rPr>
                <w:sz w:val="14"/>
                <w:szCs w:val="14"/>
                <w:color w:val="auto"/>
              </w:rPr>
            </w:pPr>
          </w:p>
        </w:tc>
        <w:tc>
          <w:tcPr>
            <w:tcW w:w="1800" w:type="dxa"/>
            <w:vAlign w:val="bottom"/>
            <w:gridSpan w:val="2"/>
          </w:tcPr>
          <w:p>
            <w:pPr>
              <w:jc w:val="center"/>
              <w:ind w:left="788"/>
              <w:spacing w:after="0"/>
              <w:rPr>
                <w:sz w:val="20"/>
                <w:szCs w:val="20"/>
                <w:color w:val="auto"/>
              </w:rPr>
            </w:pPr>
            <w:r>
              <w:rPr>
                <w:rFonts w:ascii="Arial" w:cs="Arial" w:eastAsia="Arial" w:hAnsi="Arial"/>
                <w:sz w:val="14"/>
                <w:szCs w:val="14"/>
                <w:b w:val="1"/>
                <w:bCs w:val="1"/>
                <w:color w:val="auto"/>
                <w:w w:val="91"/>
              </w:rPr>
              <w:t>Change in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20" w:type="dxa"/>
            <w:vAlign w:val="bottom"/>
            <w:gridSpan w:val="5"/>
            <w:vMerge w:val="continue"/>
          </w:tcPr>
          <w:p>
            <w:pPr>
              <w:spacing w:after="0"/>
              <w:rPr>
                <w:sz w:val="12"/>
                <w:szCs w:val="12"/>
                <w:color w:val="auto"/>
              </w:rPr>
            </w:pPr>
          </w:p>
        </w:tc>
        <w:tc>
          <w:tcPr>
            <w:tcW w:w="2240" w:type="dxa"/>
            <w:vAlign w:val="bottom"/>
            <w:gridSpan w:val="3"/>
          </w:tcPr>
          <w:p>
            <w:pPr>
              <w:jc w:val="center"/>
              <w:ind w:left="1214"/>
              <w:spacing w:after="0" w:line="149" w:lineRule="exact"/>
              <w:rPr>
                <w:sz w:val="20"/>
                <w:szCs w:val="20"/>
                <w:color w:val="auto"/>
              </w:rPr>
            </w:pPr>
            <w:r>
              <w:rPr>
                <w:rFonts w:ascii="Arial" w:cs="Arial" w:eastAsia="Arial" w:hAnsi="Arial"/>
                <w:sz w:val="14"/>
                <w:szCs w:val="14"/>
                <w:b w:val="1"/>
                <w:bCs w:val="1"/>
                <w:color w:val="auto"/>
                <w:w w:val="96"/>
              </w:rPr>
              <w:t>2008</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tcBorders>
              <w:bottom w:val="single" w:sz="8" w:color="auto"/>
            </w:tcBorders>
            <w:gridSpan w:val="2"/>
          </w:tcPr>
          <w:p>
            <w:pPr>
              <w:jc w:val="center"/>
              <w:ind w:left="788"/>
              <w:spacing w:after="0"/>
              <w:rPr>
                <w:sz w:val="20"/>
                <w:szCs w:val="20"/>
                <w:color w:val="auto"/>
              </w:rPr>
            </w:pPr>
            <w:r>
              <w:rPr>
                <w:rFonts w:ascii="Arial" w:cs="Arial" w:eastAsia="Arial" w:hAnsi="Arial"/>
                <w:sz w:val="14"/>
                <w:szCs w:val="14"/>
                <w:b w:val="1"/>
                <w:bCs w:val="1"/>
                <w:color w:val="auto"/>
                <w:w w:val="90"/>
              </w:rPr>
              <w:t>Versus 2007</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1360" w:type="dxa"/>
            <w:vAlign w:val="bottom"/>
            <w:tcBorders>
              <w:bottom w:val="single" w:sz="8" w:color="auto"/>
            </w:tcBorders>
          </w:tcPr>
          <w:p>
            <w:pPr>
              <w:jc w:val="right"/>
              <w:ind w:right="568"/>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8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(12,226,271)</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0"/>
              </w:rPr>
              <w:t>(10,105,693)</w:t>
            </w:r>
          </w:p>
        </w:tc>
        <w:tc>
          <w:tcPr>
            <w:tcW w:w="1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 (2,120,578)</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7"/>
              <w:spacing w:after="0"/>
              <w:rPr>
                <w:sz w:val="20"/>
                <w:szCs w:val="20"/>
                <w:color w:val="auto"/>
              </w:rPr>
            </w:pPr>
            <w:r>
              <w:rPr>
                <w:rFonts w:ascii="Arial" w:cs="Arial" w:eastAsia="Arial" w:hAnsi="Arial"/>
                <w:sz w:val="18"/>
                <w:szCs w:val="18"/>
                <w:color w:val="auto"/>
                <w:w w:val="95"/>
              </w:rPr>
              <w:t>21,010,191</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2,719,762</w:t>
            </w:r>
          </w:p>
        </w:tc>
        <w:tc>
          <w:tcPr>
            <w:tcW w:w="1800" w:type="dxa"/>
            <w:vAlign w:val="bottom"/>
            <w:gridSpan w:val="2"/>
          </w:tcPr>
          <w:p>
            <w:pPr>
              <w:ind w:left="640"/>
              <w:spacing w:after="0"/>
              <w:rPr>
                <w:sz w:val="20"/>
                <w:szCs w:val="20"/>
                <w:color w:val="auto"/>
              </w:rPr>
            </w:pPr>
            <w:r>
              <w:rPr>
                <w:rFonts w:ascii="Arial" w:cs="Arial" w:eastAsia="Arial" w:hAnsi="Arial"/>
                <w:sz w:val="18"/>
                <w:szCs w:val="18"/>
                <w:color w:val="auto"/>
              </w:rPr>
              <w:t>$18,290,429</w:t>
            </w:r>
          </w:p>
        </w:tc>
        <w:tc>
          <w:tcPr>
            <w:tcW w:w="440" w:type="dxa"/>
            <w:vAlign w:val="bottom"/>
          </w:tcPr>
          <w:p>
            <w:pPr>
              <w:spacing w:after="0"/>
              <w:rPr>
                <w:sz w:val="18"/>
                <w:szCs w:val="18"/>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49,634</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4,772,504</w:t>
            </w:r>
          </w:p>
        </w:tc>
        <w:tc>
          <w:tcPr>
            <w:tcW w:w="1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 (4,722,870)</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Net cash used in operating activities is primarily driven by increases in our net loss. However, operating cash flows differ from net loss as a result of non-cash charges or differences in the timing of cash flows and expense recognition.</w:t>
      </w:r>
    </w:p>
    <w:p>
      <w:pPr>
        <w:spacing w:after="0" w:line="62"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In our operating activities we used approximately $12,226,000 in cash for the six months ended 2008, compared with $10,106,000 for the same period in 2007. The increase in cash used in operating activities in 2008 as compared to 2007 was primarily attributable to the continued expansion of our operations in cell processing and our product development programs, including increases in headcount and headcount related expenses and external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17" w:lineRule="exact"/>
        <w:rPr>
          <w:sz w:val="20"/>
          <w:szCs w:val="20"/>
          <w:color w:val="auto"/>
        </w:rPr>
      </w:pPr>
    </w:p>
    <w:p>
      <w:pPr>
        <w:ind w:right="160" w:firstLine="222"/>
        <w:spacing w:after="0" w:line="312" w:lineRule="auto"/>
        <w:rPr>
          <w:sz w:val="20"/>
          <w:szCs w:val="20"/>
          <w:color w:val="auto"/>
        </w:rPr>
      </w:pPr>
      <w:r>
        <w:rPr>
          <w:rFonts w:ascii="Arial" w:cs="Arial" w:eastAsia="Arial" w:hAnsi="Arial"/>
          <w:sz w:val="16"/>
          <w:szCs w:val="16"/>
          <w:color w:val="auto"/>
        </w:rPr>
        <w:t>The increase from 2007 to 2008 of approximately $18,290,000 for net cash provided by investing activities was primarily attributable to the maturity of marketable debt securities held to maturity, which were used to fund operating activities for the six months ended 2008. Also, in April 2008, Progenitor Cell Therapy, LLC prepaid a $1.0 million loan that we had advanced to them in connection with discussions about the possible acquisition of PCT.</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February 2007, we sold 5,275,000 ordinary shares of ReNeuron for net proceeds of approximately $3,075,000.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decrease from 2007 to 2008 of approximately $4,723,000 for net cash provided by financing activities was primarily attributable to the following financing transaction for the six months ended 2007: (i) the sale of approximately 1,217,000 shares of our common stock at an average price of $3.13 per share for net proceeds of approximately $3,614,000, sold under a sales agreement with Cantor Fitzgerald &amp; Co. (Cantor), and (ii) on April 26, 2007, a warrant issued as part of a June 16, 2004 financing arrangement, was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exercised to purchase an aggregate of 575,658 shares of our common stock at $1.90 per share for net proceeds of approximately $1,094,000.</w:t>
      </w:r>
    </w:p>
    <w:p>
      <w:pPr>
        <w:spacing w:after="0" w:line="117"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On June 25, 2008 we filed with the U.S. Securities and Exchange Commission (SEC) a universal shelf registration statement, declared effective July 18, 2008, which permits us to issue up to $100 million worth of registered debt and equity securities. Under this effective shelf registration, we have the flexibility to issue registered securities, from time to time, in one or more separate offerings or other transactions with the size, price and terms to be determined at the time of issuance. Registered securities issued using this shelf may be used for to raise additional capital to fund our working capital and other corporate needs, for future acquisitions of assets, programs or businesses, and for other corporate purposes. In July 2008, we deregistered the remaining unissued shares available under the shelf registration statement we had filed in October 2005. The 2005 shelf permitted the issuance of up to $100 million of registered shares of common stock, and as of June 30, 2008, approximately $59 million worth of common stock remained available under this shelf.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key financing transactions entered into by us in the last three years:</w:t>
      </w:r>
    </w:p>
    <w:p>
      <w:pPr>
        <w:spacing w:after="0" w:line="117" w:lineRule="exact"/>
        <w:rPr>
          <w:sz w:val="20"/>
          <w:szCs w:val="20"/>
          <w:color w:val="auto"/>
        </w:rPr>
      </w:pPr>
    </w:p>
    <w:p>
      <w:pPr>
        <w:ind w:left="560" w:right="340" w:hanging="444"/>
        <w:spacing w:after="0" w:line="342" w:lineRule="auto"/>
        <w:tabs>
          <w:tab w:leader="none" w:pos="5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In April 2007, a warrant issued as part of a June 16, 2004 financing arrangement, was exercised to purchase an aggregate of 575,658 shares of our common stock at $1.90 per share. We issued 575,658 shares of our common stock and received proceeds of approximately $1,094,000.</w:t>
      </w:r>
    </w:p>
    <w:p>
      <w:pPr>
        <w:spacing w:after="0" w:line="29" w:lineRule="exact"/>
        <w:rPr>
          <w:rFonts w:ascii="Arial" w:cs="Arial" w:eastAsia="Arial" w:hAnsi="Arial"/>
          <w:sz w:val="16"/>
          <w:szCs w:val="16"/>
          <w:b w:val="1"/>
          <w:bCs w:val="1"/>
          <w:color w:val="auto"/>
        </w:rPr>
      </w:pPr>
    </w:p>
    <w:p>
      <w:pPr>
        <w:ind w:left="560" w:right="40" w:hanging="444"/>
        <w:spacing w:after="0" w:line="259" w:lineRule="auto"/>
        <w:tabs>
          <w:tab w:leader="none" w:pos="5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On December 29, 2006, we filed a Prospectus Supplement announcing the entry of a sales agreement with Cantor under which up to 10,000,000 shares may be sold from time to time under a shelf registration statement. In 2007, we sold a total of 1,807,000 shares of our common stock under this agreement at an average price per share of $2.84 for gross proceeds of approximately $5,133,000. Cantor is paid compensation equal to 5.0% of the gross proceeds pursuant to the terms of the agreement.</w:t>
      </w:r>
    </w:p>
    <w:p>
      <w:pPr>
        <w:spacing w:after="0" w:line="92" w:lineRule="exact"/>
        <w:rPr>
          <w:rFonts w:ascii="Arial" w:cs="Arial" w:eastAsia="Arial" w:hAnsi="Arial"/>
          <w:sz w:val="18"/>
          <w:szCs w:val="18"/>
          <w:b w:val="1"/>
          <w:bCs w:val="1"/>
          <w:color w:val="auto"/>
        </w:rPr>
      </w:pPr>
    </w:p>
    <w:p>
      <w:pPr>
        <w:ind w:left="560" w:right="40" w:hanging="444"/>
        <w:spacing w:after="0" w:line="279" w:lineRule="auto"/>
        <w:tabs>
          <w:tab w:leader="none" w:pos="5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On April 6, 2006, we sold 11,750,820 shares of our common stock to a limited number of institutional investors at a price of $3.05 per share, for gross proceeds of approximately $35,840,000. The shares were offered as a registered direct offering under an effective shelf registration statement previously filed with and declared effective by the Securities and Exchange Commission. We received total proceeds, net of offering expenses and placement agency fees, of approximately $33,422,000. No warrants were issued as part of this financing transaction.</w:t>
      </w:r>
    </w:p>
    <w:p>
      <w:pPr>
        <w:spacing w:after="0" w:line="76" w:lineRule="exact"/>
        <w:rPr>
          <w:rFonts w:ascii="Arial" w:cs="Arial" w:eastAsia="Arial" w:hAnsi="Arial"/>
          <w:sz w:val="17"/>
          <w:szCs w:val="17"/>
          <w:b w:val="1"/>
          <w:bCs w:val="1"/>
          <w:color w:val="auto"/>
        </w:rPr>
      </w:pPr>
    </w:p>
    <w:p>
      <w:pPr>
        <w:ind w:left="560" w:right="300" w:hanging="444"/>
        <w:spacing w:after="0" w:line="342" w:lineRule="auto"/>
        <w:tabs>
          <w:tab w:leader="none" w:pos="5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In March 2006, a warrant issued as part of a June 16, 2004 financing arrangement was exercised to purchase an aggregate of 526,400 shares of our common stock at $1.89 per share. We issued 526,400 shares of our common stock and received proceeds of approximately $995,000.</w:t>
      </w:r>
    </w:p>
    <w:p>
      <w:pPr>
        <w:spacing w:after="0" w:line="16"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have incurred significant operating losses and negative cash flows since inception. We have not achieved profitability and may not be able to realize sufficient revenue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84" w:lineRule="exact"/>
        <w:rPr>
          <w:sz w:val="20"/>
          <w:szCs w:val="20"/>
          <w:color w:val="auto"/>
        </w:rPr>
      </w:pPr>
    </w:p>
    <w:p>
      <w:pPr>
        <w:ind w:right="640" w:firstLine="222"/>
        <w:spacing w:after="0" w:line="291" w:lineRule="auto"/>
        <w:rPr>
          <w:sz w:val="20"/>
          <w:szCs w:val="20"/>
          <w:color w:val="auto"/>
        </w:rPr>
      </w:pPr>
      <w:r>
        <w:rPr>
          <w:rFonts w:ascii="Arial" w:cs="Arial" w:eastAsia="Arial" w:hAnsi="Arial"/>
          <w:sz w:val="16"/>
          <w:szCs w:val="16"/>
          <w:color w:val="auto"/>
        </w:rPr>
        <w:t>We intend to pursue opportunities to obtain additional financing in the future through equity and debt financings, grants and collaborative research arrangements. On December 29, 2006, we filed a Prospectus Supplement announcing the entry of a sales agreement with Cantor under which up to</w:t>
      </w:r>
    </w:p>
    <w:p>
      <w:pPr>
        <w:spacing w:after="0" w:line="292" w:lineRule="auto"/>
        <w:rPr>
          <w:sz w:val="20"/>
          <w:szCs w:val="20"/>
          <w:color w:val="auto"/>
        </w:rPr>
      </w:pPr>
      <w:r>
        <w:rPr>
          <w:rFonts w:ascii="Arial" w:cs="Arial" w:eastAsia="Arial" w:hAnsi="Arial"/>
          <w:sz w:val="16"/>
          <w:szCs w:val="16"/>
          <w:color w:val="auto"/>
        </w:rPr>
        <w:t>10,000,000 shares may be sold from time to time under the shelf registration statement (discussed above), of which approximately 8.2 million shares remain available at June 30, 2008.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Lack of necessary funds may require us, among other things, to delay, scale back or eliminate some or all of our research and product development programs, planned clinical trials, and/or our capital expenditures or to license our potential products or technologies to third parties.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See Note 6, “Commitments and Contingencies” in the notes to condensed consolidated financial statements of Part I, Item 1 of this Form 10-Q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100" w:firstLine="222"/>
        <w:spacing w:after="0" w:line="286" w:lineRule="auto"/>
        <w:rPr>
          <w:sz w:val="20"/>
          <w:szCs w:val="20"/>
          <w:color w:val="auto"/>
        </w:rPr>
      </w:pPr>
      <w:r>
        <w:rPr>
          <w:rFonts w:ascii="Arial" w:cs="Arial" w:eastAsia="Arial" w:hAnsi="Arial"/>
          <w:sz w:val="17"/>
          <w:szCs w:val="17"/>
          <w:color w:val="auto"/>
        </w:rPr>
        <w:t>We have certain contractual arrangements that create potential risk for us and are not recognized in our condensed consolidated balance sheets. Discussed below are those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5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We lease various real properties under operating leases that generally require us to pay taxes, insurance, maintenance, and minimum lease payments. Some of our leases have options to renew.</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entered into and amended a lease agreement for an approximately 68,000 square foot facility located at the Stanford Research Park in Palo Alto,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California. At June 30, 2008, we had a space-sharing agreement covering approximately 10,451 square feet of this facility. We receive base payments plus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proportionate share of the operating expenses based on square footage over the term of the agreement. We expect to receive, in aggregate,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$189,000 as part of the space-sharing agreement for the remainder of 2008. As a result of the above transactions, our estimated net cash outlay for rent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$968,000 for the remainder of 2008.</w:t>
      </w:r>
    </w:p>
    <w:p>
      <w:pPr>
        <w:spacing w:after="0" w:line="103" w:lineRule="exact"/>
        <w:rPr>
          <w:sz w:val="20"/>
          <w:szCs w:val="20"/>
          <w:color w:val="auto"/>
        </w:rPr>
      </w:pPr>
    </w:p>
    <w:p>
      <w:pPr>
        <w:ind w:right="120" w:firstLine="222"/>
        <w:spacing w:after="0" w:line="297" w:lineRule="auto"/>
        <w:rPr>
          <w:sz w:val="20"/>
          <w:szCs w:val="20"/>
          <w:color w:val="auto"/>
        </w:rPr>
      </w:pPr>
      <w:r>
        <w:rPr>
          <w:rFonts w:ascii="Arial" w:cs="Arial" w:eastAsia="Arial" w:hAnsi="Arial"/>
          <w:sz w:val="16"/>
          <w:szCs w:val="16"/>
          <w:color w:val="auto"/>
        </w:rPr>
        <w:t>We continue to have outstanding obligations in regard to our former facilities in Lincoln, Rhode Island. In 1997, we had entered into a fifteen-year lease for a scientific and administrative facility (the SAF) in a sale and leaseback arrangement. The lease includes escalating rent payments. We expect to pay approximately $586,000 in operating lease payments and estimated operating expenses of approximately $275,000, before receipt of sub-tenant income, for the remainder of 2008. We expect to receive, in aggregate, approximately $139,000 in sub-tenant rent and operating expense for the remainder of 2008. As a result of the above transactions, our estimated cash outlay net of sub-tenant rent for the SAF will be approximately $722,000 for the remainder of 2008.</w:t>
      </w:r>
    </w:p>
    <w:p>
      <w:pPr>
        <w:spacing w:after="0" w:line="50" w:lineRule="exact"/>
        <w:rPr>
          <w:sz w:val="20"/>
          <w:szCs w:val="20"/>
          <w:color w:val="auto"/>
        </w:rPr>
      </w:pPr>
    </w:p>
    <w:p>
      <w:pPr>
        <w:ind w:right="160" w:firstLine="222"/>
        <w:spacing w:after="0" w:line="308" w:lineRule="auto"/>
        <w:rPr>
          <w:sz w:val="20"/>
          <w:szCs w:val="20"/>
          <w:color w:val="auto"/>
        </w:rPr>
      </w:pPr>
      <w:r>
        <w:rPr>
          <w:rFonts w:ascii="Arial" w:cs="Arial" w:eastAsia="Arial" w:hAnsi="Arial"/>
          <w:sz w:val="17"/>
          <w:szCs w:val="17"/>
          <w:color w:val="auto"/>
        </w:rPr>
        <w:t>With the exception of leases discussed above, we have not entered into any off balance sheet financial arrangements and have not established any special purpose entities. We have not guaranteed any debts or commitments of other entities or entered into any options on non-financial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During the six months ended 2008, we believe that there have been no significant changes in our payments due under contractual obligations, as disclosed in our Annual Report on Form 10-K for the year ended December 31,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 xml:space="preserve">In September 2006, the Financial Accounting Standards Board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SFAS 157 defines fair value, establishes a framework and gives guidance regarding the methods used for measuring fair value, and expands disclosures about fair value measurements. SFAS 157 is effective for financial statements issued for fiscal years beginning after November 15, 2007, and interim periods within those fiscal years. We adopted the provisions of SFAS 157 that became effective January 1, 2008. See Note 3 “Fair Value Measurement,” in the notes to condensed consolidated financial statements of Part I, Item 1 of this Form 10-Q for further information about the adoption of the required provisions of SFAS 157.</w:t>
      </w:r>
    </w:p>
    <w:p>
      <w:pPr>
        <w:spacing w:after="0" w:line="50"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 xml:space="preserve">In February 2008, the FASB issued FASB Staff Position No. FAS 157-2, </w:t>
      </w:r>
      <w:r>
        <w:rPr>
          <w:rFonts w:ascii="Arial" w:cs="Arial" w:eastAsia="Arial" w:hAnsi="Arial"/>
          <w:sz w:val="17"/>
          <w:szCs w:val="17"/>
          <w:i w:val="1"/>
          <w:iCs w:val="1"/>
          <w:color w:val="auto"/>
        </w:rPr>
        <w:t>Effective Date of FASB Statement No. 157</w:t>
      </w:r>
      <w:r>
        <w:rPr>
          <w:rFonts w:ascii="Arial" w:cs="Arial" w:eastAsia="Arial" w:hAnsi="Arial"/>
          <w:sz w:val="17"/>
          <w:szCs w:val="17"/>
          <w:color w:val="auto"/>
        </w:rPr>
        <w:t xml:space="preserve"> (FSP 157-2). FSP 157-2 delays the effective date of SFAS 157 for nonfinancial assets and nonfinancial liabilities, except for certain items that are recognized or disclosed at fair value in the financial statements on a recurring basis (at least annually). We are currently evaluating the impact of SFAS 157 on our consolidated financial statements for items within the scope of FSP 157-2, which will become effective beginning with our first quarter of 2009.</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 xml:space="preserve">In February 2007, the FASB issued SFAS No. 159, </w:t>
      </w:r>
      <w:r>
        <w:rPr>
          <w:rFonts w:ascii="Arial" w:cs="Arial" w:eastAsia="Arial" w:hAnsi="Arial"/>
          <w:sz w:val="16"/>
          <w:szCs w:val="16"/>
          <w:i w:val="1"/>
          <w:iCs w:val="1"/>
          <w:color w:val="auto"/>
        </w:rPr>
        <w:t>The Fair Value Option for Financial Assets and Financial Liabilities—Including 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FASB Statement No. 115 </w:t>
      </w:r>
      <w:r>
        <w:rPr>
          <w:rFonts w:ascii="Arial" w:cs="Arial" w:eastAsia="Arial" w:hAnsi="Arial"/>
          <w:sz w:val="16"/>
          <w:szCs w:val="16"/>
          <w:color w:val="auto"/>
        </w:rPr>
        <w:t>(SFAS 159). Under SFAS 159, a company may choose, at specified election dates, to measure eligible items at fair value and report</w:t>
      </w:r>
      <w:r>
        <w:rPr>
          <w:rFonts w:ascii="Arial" w:cs="Arial" w:eastAsia="Arial" w:hAnsi="Arial"/>
          <w:sz w:val="16"/>
          <w:szCs w:val="16"/>
          <w:i w:val="1"/>
          <w:iCs w:val="1"/>
          <w:color w:val="auto"/>
        </w:rPr>
        <w:t xml:space="preserve"> </w:t>
      </w:r>
      <w:r>
        <w:rPr>
          <w:rFonts w:ascii="Arial" w:cs="Arial" w:eastAsia="Arial" w:hAnsi="Arial"/>
          <w:sz w:val="16"/>
          <w:szCs w:val="16"/>
          <w:color w:val="auto"/>
        </w:rPr>
        <w:t>unrealized gains and losses on items for which the fair value option has been elected in earnings at each subsequent reporting date. SFAS 159 is effective for financial statements issued for fiscal years beginning after November 15, 2007, and interim periods within those fiscal years. SFAS 159 became effective beginning with our first quarter of 2008. At this time, we have chosen not to adopt the provisions of SFAS 159 for our existing financial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Our market risks at June 30, 2008 have not changed materially from those discussed in Item 7A of our Form 10-K for the year ended December 31, 2007 on file with the U.S. Securities and Exchange Commission.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also Note 2, “Financial Assets,” in the notes to condensed consolidated financial statements in Part I, Item 1 of this Form 10-Q.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response to the requirement of the Sarbanes-Oxley Act of 2002, as of the end of the period covered by this report, our chief executive officer and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chief financial officer have concluded that the Company’s disclosure controls and procedures are effective.</w:t>
      </w:r>
    </w:p>
    <w:p>
      <w:pPr>
        <w:spacing w:after="0" w:line="81"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During the most recent quarter, there were no changes in internal controls over financial reporting that occurred during the period covered by this report that have materially affected, or are reasonably likely to materially affect, these controls of the Company.</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In July 2006, we filed suit against Neuralstem, Inc., in the Federal District Court for the District of Maryland, alleging that Neuralstem’s activities violate claims in four of the patents we exclusively licensed from NeuroSpheres. Neuralstem has filed a motion for dismissal or summary judgment in the alternative, citing Title 35, Section 271(e)(1) of the United States Code, which says that it is not an act of patent infringement to make, use or sell a patented invention “solely for uses reasonably related to the development and submission of information” to the FDA. Neuralstem argues that because it does not have any therapeutic products on the market yet, the activities complained of fall within the protection of Section 271(e)(1) — that is, basically, that the suit is premature. This issue will be decided after discovery is complete. Subsequent to filing its motion to dismiss, in December 2006, Neuralstem petitioned the U.S. Patent and Trademark Office (PTO) to reexamine two of the patents in our infringement action against Neuralstem, namely U.S. Patent No. 6,294,346 (claiming the use of human neural stem 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 stem cells) and U.S. Patent No. 6,497,872 (claiming methods for transplanting human neural stem cells). These requests were granted by the PTO and, in June 2007, the parties voluntarily agreed to stay the pending litigation while the PTO considers these reexamination requests. In October 2007, Neuralstem petitioned the PTO to reexamine a fifth patent, namely U.S. Patent No. 6,103,530, which claims a culture medium for proliferating mammalian neural stem cells. In April 2008, the PTO upheld the ‘832 and ‘872 patents, as amended, and issued Notices of Intent to Issue an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Certificate for both.</w:t>
      </w:r>
    </w:p>
    <w:p>
      <w:pPr>
        <w:spacing w:after="0" w:line="7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In May 2008, we filed a second patent infringement suit against Neuralstem and its two founders, Karl Johe and Richard Garr. In this suit, which we filed in the Federal District Court for the Northern District of California, we allege that Neuralstem’s activities infringe claims in two patents we exclusively license from NeuroSpheres, specifically U.S. Patent No. 7,361,505 (claiming composition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of matter of human neural stem cells derived from any source material) and U.S. Patent No. 7,115,418 (claiming methods for proliferating human neural stem cells). In addition, we allege various state law causes of action against Neuralstem arising out of its repeated derogatory statements to the public about our patent portfolio. Also in May 2008, Neuralstem filed suit against us and NeuroSpheres in the Federal District Court for the District of Maryland seeking a declaratory judgment that the ‘505 and ‘418 patents are either invalid or are not infringed by Neuralstem and that Neuralstem has not violated California state law. Preliminary motions in both these cases are pending.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There have been no material changes from the risk factors disclosed in Part 1, Item 1A, of our Annual Report on Form 10-K for the fiscal year ending December 31,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On July 22, 2008, we held our Annual Meeting of Stockholders. Ricardo Levy, Ph.D. and Irving Weissman, M.D. were re-elected to the Board as Class II directors, with terms expiring in 2011. The remaining members of the Board, whose terms continued after the Annual Meeting, are Mr. Eric Bjerkholt, Martin McGlynn, Roger Perlmutter, M.D., Ph.D., and John Schwartz, Ph.D. The shareholders also ratified the selection of Grant Thornton LLP as StemCells’ independent public accountants for the fiscal year ending December 31, 2008 and approved an amendment to the Company’s restated certificate of incorporation to increase the number of authorized shares of common stock by 125,000,000 shares.</w:t>
      </w:r>
    </w:p>
    <w:p>
      <w:pPr>
        <w:spacing w:after="0" w:line="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number of proxies finally tabulated represented 67,687,234 of the 80,810,302 eligible shares, or 83.76 percent of eligible shares. The votes on each of the proposals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jc w:val="right"/>
              <w:ind w:right="279"/>
              <w:spacing w:after="0"/>
              <w:rPr>
                <w:sz w:val="20"/>
                <w:szCs w:val="20"/>
                <w:color w:val="auto"/>
              </w:rPr>
            </w:pPr>
            <w:r>
              <w:rPr>
                <w:rFonts w:ascii="Arial" w:cs="Arial" w:eastAsia="Arial" w:hAnsi="Arial"/>
                <w:sz w:val="14"/>
                <w:szCs w:val="14"/>
                <w:color w:val="auto"/>
              </w:rPr>
              <w:t>Authority</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For</w:t>
            </w:r>
          </w:p>
        </w:tc>
        <w:tc>
          <w:tcPr>
            <w:tcW w:w="420" w:type="dxa"/>
            <w:vAlign w:val="bottom"/>
          </w:tcPr>
          <w:p>
            <w:pPr>
              <w:spacing w:after="0"/>
              <w:rPr>
                <w:sz w:val="14"/>
                <w:szCs w:val="14"/>
                <w:color w:val="auto"/>
              </w:rPr>
            </w:pPr>
          </w:p>
        </w:tc>
        <w:tc>
          <w:tcPr>
            <w:tcW w:w="12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Withheld</w:t>
            </w:r>
          </w:p>
        </w:tc>
        <w:tc>
          <w:tcPr>
            <w:tcW w:w="420" w:type="dxa"/>
            <w:vAlign w:val="bottom"/>
          </w:tcPr>
          <w:p>
            <w:pPr>
              <w:spacing w:after="0"/>
              <w:rPr>
                <w:sz w:val="14"/>
                <w:szCs w:val="14"/>
                <w:color w:val="auto"/>
              </w:rPr>
            </w:pPr>
          </w:p>
        </w:tc>
        <w:tc>
          <w:tcPr>
            <w:tcW w:w="13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color w:val="auto"/>
              </w:rPr>
              <w:t>Against</w:t>
            </w:r>
          </w:p>
        </w:tc>
        <w:tc>
          <w:tcPr>
            <w:tcW w:w="440" w:type="dxa"/>
            <w:vAlign w:val="bottom"/>
          </w:tcPr>
          <w:p>
            <w:pPr>
              <w:spacing w:after="0"/>
              <w:rPr>
                <w:sz w:val="14"/>
                <w:szCs w:val="14"/>
                <w:color w:val="auto"/>
              </w:rPr>
            </w:pPr>
          </w:p>
        </w:tc>
        <w:tc>
          <w:tcPr>
            <w:tcW w:w="11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Election of Ricardo B. Levy,</w:t>
            </w:r>
          </w:p>
        </w:tc>
        <w:tc>
          <w:tcPr>
            <w:tcW w:w="1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Ph.D., as director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63,033,187</w:t>
            </w:r>
          </w:p>
        </w:tc>
        <w:tc>
          <w:tcPr>
            <w:tcW w:w="170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4,654,047</w:t>
            </w: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000" w:type="dxa"/>
            <w:vAlign w:val="bottom"/>
            <w:gridSpan w:val="2"/>
          </w:tcPr>
          <w:p>
            <w:pPr>
              <w:spacing w:after="0"/>
              <w:rPr>
                <w:sz w:val="20"/>
                <w:szCs w:val="20"/>
                <w:color w:val="auto"/>
              </w:rPr>
            </w:pPr>
            <w:r>
              <w:rPr>
                <w:rFonts w:ascii="Arial" w:cs="Arial" w:eastAsia="Arial" w:hAnsi="Arial"/>
                <w:sz w:val="18"/>
                <w:szCs w:val="18"/>
                <w:color w:val="auto"/>
              </w:rPr>
              <w:t>Election of Irving Weissman,</w:t>
            </w: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M.D., as director</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62,899,368</w:t>
            </w:r>
          </w:p>
        </w:tc>
        <w:tc>
          <w:tcPr>
            <w:tcW w:w="1700" w:type="dxa"/>
            <w:vAlign w:val="bottom"/>
            <w:gridSpan w:val="2"/>
          </w:tcPr>
          <w:p>
            <w:pPr>
              <w:jc w:val="right"/>
              <w:ind w:right="199"/>
              <w:spacing w:after="0"/>
              <w:rPr>
                <w:sz w:val="20"/>
                <w:szCs w:val="20"/>
                <w:color w:val="auto"/>
              </w:rPr>
            </w:pPr>
            <w:r>
              <w:rPr>
                <w:rFonts w:ascii="Arial" w:cs="Arial" w:eastAsia="Arial" w:hAnsi="Arial"/>
                <w:sz w:val="18"/>
                <w:szCs w:val="18"/>
                <w:color w:val="auto"/>
              </w:rPr>
              <w:t>4,787,866</w:t>
            </w:r>
          </w:p>
        </w:tc>
        <w:tc>
          <w:tcPr>
            <w:tcW w:w="420" w:type="dxa"/>
            <w:vAlign w:val="bottom"/>
          </w:tcPr>
          <w:p>
            <w:pPr>
              <w:spacing w:after="0"/>
              <w:rPr>
                <w:sz w:val="20"/>
                <w:szCs w:val="20"/>
                <w:color w:val="auto"/>
              </w:rPr>
            </w:pPr>
          </w:p>
        </w:tc>
        <w:tc>
          <w:tcPr>
            <w:tcW w:w="136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4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Ratification of Grant Thornton</w:t>
            </w:r>
          </w:p>
        </w:tc>
        <w:tc>
          <w:tcPr>
            <w:tcW w:w="1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LLP as independent accountants for 2008</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65,628,976</w:t>
            </w: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1,153,324</w:t>
            </w:r>
          </w:p>
        </w:tc>
        <w:tc>
          <w:tcPr>
            <w:tcW w:w="158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904,934</w:t>
            </w:r>
          </w:p>
        </w:tc>
        <w:tc>
          <w:tcPr>
            <w:tcW w:w="0" w:type="dxa"/>
            <w:vAlign w:val="bottom"/>
          </w:tcPr>
          <w:p>
            <w:pPr>
              <w:spacing w:after="0"/>
              <w:rPr>
                <w:sz w:val="1"/>
                <w:szCs w:val="1"/>
                <w:color w:val="auto"/>
              </w:rPr>
            </w:pPr>
          </w:p>
        </w:tc>
      </w:tr>
      <w:tr>
        <w:trPr>
          <w:trHeight w:val="418"/>
        </w:trPr>
        <w:tc>
          <w:tcPr>
            <w:tcW w:w="5000" w:type="dxa"/>
            <w:vAlign w:val="bottom"/>
            <w:gridSpan w:val="2"/>
          </w:tcPr>
          <w:p>
            <w:pPr>
              <w:spacing w:after="0"/>
              <w:rPr>
                <w:sz w:val="20"/>
                <w:szCs w:val="20"/>
                <w:color w:val="auto"/>
              </w:rPr>
            </w:pPr>
            <w:r>
              <w:rPr>
                <w:rFonts w:ascii="Arial" w:cs="Arial" w:eastAsia="Arial" w:hAnsi="Arial"/>
                <w:sz w:val="18"/>
                <w:szCs w:val="18"/>
                <w:color w:val="auto"/>
              </w:rPr>
              <w:t>Increase authorized capital by 125,000,000 shares of common</w:t>
            </w: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stock</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54,848,440</w:t>
            </w:r>
          </w:p>
        </w:tc>
        <w:tc>
          <w:tcPr>
            <w:tcW w:w="42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96"/>
              <w:spacing w:after="0"/>
              <w:rPr>
                <w:sz w:val="20"/>
                <w:szCs w:val="20"/>
                <w:color w:val="auto"/>
              </w:rPr>
            </w:pPr>
            <w:r>
              <w:rPr>
                <w:rFonts w:ascii="Arial" w:cs="Arial" w:eastAsia="Arial" w:hAnsi="Arial"/>
                <w:sz w:val="18"/>
                <w:szCs w:val="18"/>
                <w:color w:val="auto"/>
              </w:rPr>
              <w:t>12,088,669</w:t>
            </w:r>
          </w:p>
        </w:tc>
        <w:tc>
          <w:tcPr>
            <w:tcW w:w="1580" w:type="dxa"/>
            <w:vAlign w:val="bottom"/>
            <w:gridSpan w:val="2"/>
          </w:tcPr>
          <w:p>
            <w:pPr>
              <w:jc w:val="right"/>
              <w:ind w:right="176"/>
              <w:spacing w:after="0"/>
              <w:rPr>
                <w:sz w:val="20"/>
                <w:szCs w:val="20"/>
                <w:color w:val="auto"/>
              </w:rPr>
            </w:pPr>
            <w:r>
              <w:rPr>
                <w:rFonts w:ascii="Arial" w:cs="Arial" w:eastAsia="Arial" w:hAnsi="Arial"/>
                <w:sz w:val="18"/>
                <w:szCs w:val="18"/>
                <w:color w:val="auto"/>
              </w:rPr>
              <w:t>750,125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There were no matters required to be disclosed in a current report on Form 8-K during the fiscal quarter covered by this report that were not so disclosed.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56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K. B. Young under Section 302 of the Sarbanes-Oxley Act of 2002</w:t>
      </w:r>
    </w:p>
    <w:p>
      <w:pPr>
        <w:spacing w:after="0" w:line="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of Registrant)</w:t>
      </w:r>
    </w:p>
    <w:p>
      <w:pPr>
        <w:spacing w:after="0" w:line="211" w:lineRule="exact"/>
        <w:rPr>
          <w:sz w:val="20"/>
          <w:szCs w:val="20"/>
          <w:color w:val="auto"/>
        </w:rPr>
      </w:pPr>
    </w:p>
    <w:p>
      <w:pPr>
        <w:spacing w:after="0"/>
        <w:tabs>
          <w:tab w:leader="none" w:pos="5980" w:val="left"/>
        </w:tabs>
        <w:rPr>
          <w:sz w:val="20"/>
          <w:szCs w:val="20"/>
          <w:color w:val="auto"/>
        </w:rPr>
      </w:pPr>
      <w:r>
        <w:rPr>
          <w:rFonts w:ascii="Arial" w:cs="Arial" w:eastAsia="Arial" w:hAnsi="Arial"/>
          <w:sz w:val="18"/>
          <w:szCs w:val="18"/>
          <w:color w:val="auto"/>
        </w:rPr>
        <w:t>August 4, 2008</w:t>
      </w:r>
      <w:r>
        <w:rPr>
          <w:sz w:val="20"/>
          <w:szCs w:val="20"/>
          <w:color w:val="auto"/>
        </w:rPr>
        <w:tab/>
      </w:r>
      <w:r>
        <w:rPr>
          <w:rFonts w:ascii="Arial" w:cs="Arial" w:eastAsia="Arial" w:hAnsi="Arial"/>
          <w:sz w:val="16"/>
          <w:szCs w:val="16"/>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14605</wp:posOffset>
            </wp:positionV>
            <wp:extent cx="26155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Index</w:t>
      </w:r>
    </w:p>
    <w:p>
      <w:pPr>
        <w:spacing w:after="0" w:line="113" w:lineRule="exact"/>
        <w:rPr>
          <w:sz w:val="20"/>
          <w:szCs w:val="20"/>
          <w:color w:val="auto"/>
        </w:rPr>
      </w:pPr>
    </w:p>
    <w:p>
      <w:pPr>
        <w:ind w:right="356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K. B. Young under Section 302 of the Sarbanes-Oxley Act of 2002</w:t>
      </w:r>
    </w:p>
    <w:p>
      <w:pPr>
        <w:spacing w:after="0" w:line="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19" w:right="3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11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8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340" w:right="20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360" w:right="140" w:hanging="10"/>
        <w:spacing w:after="0" w:line="264" w:lineRule="auto"/>
        <w:tabs>
          <w:tab w:leader="none" w:pos="60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120" w:hanging="10"/>
        <w:spacing w:after="0" w:line="264" w:lineRule="auto"/>
        <w:tabs>
          <w:tab w:leader="none" w:pos="61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right="160" w:hanging="10"/>
        <w:spacing w:after="0" w:line="308" w:lineRule="auto"/>
        <w:tabs>
          <w:tab w:leader="none" w:pos="605"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360" w:right="200" w:hanging="10"/>
        <w:spacing w:after="0" w:line="264" w:lineRule="auto"/>
        <w:tabs>
          <w:tab w:leader="none" w:pos="615"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360" w:right="100" w:hanging="10"/>
        <w:spacing w:after="0" w:line="277" w:lineRule="auto"/>
        <w:tabs>
          <w:tab w:leader="none" w:pos="60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360" w:right="140" w:hanging="10"/>
        <w:spacing w:after="0" w:line="277" w:lineRule="auto"/>
        <w:tabs>
          <w:tab w:leader="none" w:pos="615"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859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859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Rodney K. B. Young, certify that:</w:t>
      </w:r>
    </w:p>
    <w:p>
      <w:pPr>
        <w:spacing w:after="0" w:line="117"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540" w:right="400" w:hanging="316"/>
        <w:spacing w:after="0" w:line="26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40" w:right="360" w:hanging="316"/>
        <w:spacing w:after="0" w:line="342"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540" w:right="400" w:hanging="316"/>
        <w:spacing w:after="0" w:line="26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70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firstLine="4"/>
        <w:spacing w:after="0" w:line="264" w:lineRule="auto"/>
        <w:tabs>
          <w:tab w:leader="none" w:pos="71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 w:firstLine="4"/>
        <w:spacing w:after="0" w:line="308" w:lineRule="auto"/>
        <w:tabs>
          <w:tab w:leader="none" w:pos="705"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80" w:firstLine="4"/>
        <w:spacing w:after="0" w:line="264" w:lineRule="auto"/>
        <w:tabs>
          <w:tab w:leader="none" w:pos="715"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100" w:hanging="316"/>
        <w:spacing w:after="0" w:line="308"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440" w:firstLine="4"/>
        <w:spacing w:after="0" w:line="277" w:lineRule="auto"/>
        <w:tabs>
          <w:tab w:leader="none" w:pos="70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40" w:firstLine="4"/>
        <w:spacing w:after="0" w:line="277" w:lineRule="auto"/>
        <w:tabs>
          <w:tab w:leader="none" w:pos="715"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6649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649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1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 connection with the StemCells, Inc. (the “Company”) quarterly report on Form 10-Q for the period ending June 30, 2008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859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859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1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connection with the StemCells, Inc. (the “Company”) quarterly report on Form 10-Q for the period ending June 30, 2008 as filed with the Securities and Exchange Commission on the date hereof (the “Report”), I, Rodney K. B. Young, Chief Financial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6649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649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2019-12-13T21:50:54Z</dcterms:created>
  <dcterms:modified xsi:type="dcterms:W3CDTF">2019-12-13T21:50:54Z</dcterms:modified>
</cp:coreProperties>
</file>