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3" w:hanging="183"/>
        <w:spacing w:after="0"/>
        <w:tabs>
          <w:tab w:leader="none" w:pos="18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354"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FORM 8-K/A</w:t>
      </w:r>
    </w:p>
    <w:p>
      <w:pPr>
        <w:spacing w:after="0" w:line="183" w:lineRule="exact"/>
        <w:rPr>
          <w:sz w:val="24"/>
          <w:szCs w:val="24"/>
          <w:color w:val="auto"/>
        </w:rPr>
      </w:pPr>
    </w:p>
    <w:p>
      <w:pPr>
        <w:ind w:left="3123"/>
        <w:spacing w:after="0"/>
        <w:rPr>
          <w:sz w:val="20"/>
          <w:szCs w:val="20"/>
          <w:color w:val="auto"/>
        </w:rPr>
      </w:pPr>
      <w:r>
        <w:rPr>
          <w:rFonts w:ascii="Courier New" w:cs="Courier New" w:eastAsia="Courier New" w:hAnsi="Courier New"/>
          <w:sz w:val="16"/>
          <w:szCs w:val="16"/>
          <w:color w:val="auto"/>
        </w:rPr>
        <w:t>CURRENT REPORT</w:t>
      </w:r>
    </w:p>
    <w:p>
      <w:pPr>
        <w:spacing w:after="0" w:line="1" w:lineRule="exact"/>
        <w:rPr>
          <w:sz w:val="24"/>
          <w:szCs w:val="24"/>
          <w:color w:val="auto"/>
        </w:rPr>
      </w:pPr>
    </w:p>
    <w:p>
      <w:pPr>
        <w:ind w:left="3223"/>
        <w:spacing w:after="0"/>
        <w:rPr>
          <w:sz w:val="20"/>
          <w:szCs w:val="20"/>
          <w:color w:val="auto"/>
        </w:rPr>
      </w:pPr>
      <w:r>
        <w:rPr>
          <w:rFonts w:ascii="Courier New" w:cs="Courier New" w:eastAsia="Courier New" w:hAnsi="Courier New"/>
          <w:sz w:val="16"/>
          <w:szCs w:val="16"/>
          <w:color w:val="auto"/>
        </w:rPr>
        <w:t>PURSUANT TO</w:t>
      </w:r>
    </w:p>
    <w:p>
      <w:pPr>
        <w:spacing w:after="0" w:line="183"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SECTION 13 OR 15(d) OF</w:t>
      </w:r>
    </w:p>
    <w:p>
      <w:pPr>
        <w:spacing w:after="0" w:line="1" w:lineRule="exact"/>
        <w:rPr>
          <w:sz w:val="24"/>
          <w:szCs w:val="24"/>
          <w:color w:val="auto"/>
        </w:rPr>
      </w:pPr>
    </w:p>
    <w:p>
      <w:pPr>
        <w:ind w:left="2083"/>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183"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6"/>
          <w:szCs w:val="16"/>
          <w:color w:val="auto"/>
        </w:rPr>
        <w:t>DATE OF REPORT (DATE OF EARLIEST EVENT REPORTED): SEPTEMBER 8, 2000</w:t>
      </w:r>
    </w:p>
    <w:p>
      <w:pPr>
        <w:spacing w:after="0" w:line="183"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6"/>
          <w:szCs w:val="16"/>
          <w:color w:val="auto"/>
        </w:rPr>
        <w:t>STEMCELLS, INC.</w:t>
      </w:r>
    </w:p>
    <w:p>
      <w:pPr>
        <w:spacing w:after="0" w:line="1"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6"/>
          <w:szCs w:val="16"/>
          <w:color w:val="auto"/>
        </w:rPr>
        <w:t>(formerly CYTOTHERAPEUTICS, INC.)</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83" w:lineRule="exact"/>
        <w:rPr>
          <w:sz w:val="24"/>
          <w:szCs w:val="24"/>
          <w:color w:val="auto"/>
        </w:rPr>
      </w:pPr>
    </w:p>
    <w:tbl>
      <w:tblPr>
        <w:tblLayout w:type="fixed"/>
        <w:tblInd w:w="3" w:type="dxa"/>
        <w:tblCellMar>
          <w:top w:w="0" w:type="dxa"/>
          <w:left w:w="0" w:type="dxa"/>
          <w:bottom w:w="0" w:type="dxa"/>
          <w:right w:w="0" w:type="dxa"/>
        </w:tblCellMar>
      </w:tblPr>
      <w:tr>
        <w:trPr>
          <w:trHeight w:val="181"/>
        </w:trPr>
        <w:tc>
          <w:tcPr>
            <w:tcW w:w="2740" w:type="dxa"/>
            <w:vAlign w:val="bottom"/>
          </w:tcPr>
          <w:p>
            <w:pPr>
              <w:ind w:left="840"/>
              <w:spacing w:after="0"/>
              <w:rPr>
                <w:sz w:val="20"/>
                <w:szCs w:val="20"/>
                <w:color w:val="auto"/>
              </w:rPr>
            </w:pPr>
            <w:r>
              <w:rPr>
                <w:rFonts w:ascii="Courier New" w:cs="Courier New" w:eastAsia="Courier New" w:hAnsi="Courier New"/>
                <w:sz w:val="16"/>
                <w:szCs w:val="16"/>
                <w:color w:val="auto"/>
              </w:rPr>
              <w:t>DELAWARE</w:t>
            </w:r>
          </w:p>
        </w:tc>
        <w:tc>
          <w:tcPr>
            <w:tcW w:w="246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0-19871</w:t>
            </w:r>
          </w:p>
        </w:tc>
        <w:tc>
          <w:tcPr>
            <w:tcW w:w="22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94-3078125</w:t>
            </w:r>
          </w:p>
        </w:tc>
      </w:tr>
      <w:tr>
        <w:trPr>
          <w:trHeight w:val="364"/>
        </w:trPr>
        <w:tc>
          <w:tcPr>
            <w:tcW w:w="2740" w:type="dxa"/>
            <w:vAlign w:val="bottom"/>
          </w:tcPr>
          <w:p>
            <w:pPr>
              <w:spacing w:after="0"/>
              <w:rPr>
                <w:sz w:val="20"/>
                <w:szCs w:val="20"/>
                <w:color w:val="auto"/>
              </w:rPr>
            </w:pPr>
            <w:r>
              <w:rPr>
                <w:rFonts w:ascii="Courier New" w:cs="Courier New" w:eastAsia="Courier New" w:hAnsi="Courier New"/>
                <w:sz w:val="16"/>
                <w:szCs w:val="16"/>
                <w:color w:val="auto"/>
              </w:rPr>
              <w:t>(State or other jurisdiction</w:t>
            </w:r>
          </w:p>
        </w:tc>
        <w:tc>
          <w:tcPr>
            <w:tcW w:w="2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(Commission File Number)</w:t>
            </w:r>
          </w:p>
        </w:tc>
        <w:tc>
          <w:tcPr>
            <w:tcW w:w="2260" w:type="dxa"/>
            <w:vAlign w:val="bottom"/>
          </w:tcPr>
          <w:p>
            <w:pPr>
              <w:jc w:val="center"/>
              <w:spacing w:after="0"/>
              <w:rPr>
                <w:sz w:val="20"/>
                <w:szCs w:val="20"/>
                <w:color w:val="auto"/>
              </w:rPr>
            </w:pPr>
            <w:r>
              <w:rPr>
                <w:rFonts w:ascii="Courier New" w:cs="Courier New" w:eastAsia="Courier New" w:hAnsi="Courier New"/>
                <w:sz w:val="16"/>
                <w:szCs w:val="16"/>
                <w:color w:val="auto"/>
                <w:w w:val="98"/>
              </w:rPr>
              <w:t>(I.R.S. Employer</w:t>
            </w:r>
          </w:p>
        </w:tc>
      </w:tr>
      <w:tr>
        <w:trPr>
          <w:trHeight w:val="182"/>
        </w:trPr>
        <w:tc>
          <w:tcPr>
            <w:tcW w:w="2740" w:type="dxa"/>
            <w:vAlign w:val="bottom"/>
          </w:tcPr>
          <w:p>
            <w:pPr>
              <w:ind w:left="460"/>
              <w:spacing w:after="0"/>
              <w:rPr>
                <w:sz w:val="20"/>
                <w:szCs w:val="20"/>
                <w:color w:val="auto"/>
              </w:rPr>
            </w:pPr>
            <w:r>
              <w:rPr>
                <w:rFonts w:ascii="Courier New" w:cs="Courier New" w:eastAsia="Courier New" w:hAnsi="Courier New"/>
                <w:sz w:val="16"/>
                <w:szCs w:val="16"/>
                <w:color w:val="auto"/>
              </w:rPr>
              <w:t>of incorporation)</w:t>
            </w:r>
          </w:p>
        </w:tc>
        <w:tc>
          <w:tcPr>
            <w:tcW w:w="2460" w:type="dxa"/>
            <w:vAlign w:val="bottom"/>
          </w:tcPr>
          <w:p>
            <w:pPr>
              <w:spacing w:after="0"/>
              <w:rPr>
                <w:sz w:val="15"/>
                <w:szCs w:val="15"/>
                <w:color w:val="auto"/>
              </w:rPr>
            </w:pPr>
          </w:p>
        </w:tc>
        <w:tc>
          <w:tcPr>
            <w:tcW w:w="2260" w:type="dxa"/>
            <w:vAlign w:val="bottom"/>
          </w:tcPr>
          <w:p>
            <w:pPr>
              <w:ind w:left="100"/>
              <w:spacing w:after="0"/>
              <w:rPr>
                <w:sz w:val="20"/>
                <w:szCs w:val="20"/>
                <w:color w:val="auto"/>
              </w:rPr>
            </w:pPr>
            <w:r>
              <w:rPr>
                <w:rFonts w:ascii="Courier New" w:cs="Courier New" w:eastAsia="Courier New" w:hAnsi="Courier New"/>
                <w:sz w:val="16"/>
                <w:szCs w:val="16"/>
                <w:color w:val="auto"/>
                <w:w w:val="96"/>
              </w:rPr>
              <w:t>(Identification Number)</w:t>
            </w:r>
          </w:p>
        </w:tc>
      </w:tr>
    </w:tbl>
    <w:p>
      <w:pPr>
        <w:spacing w:after="0" w:line="364"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6"/>
          <w:szCs w:val="16"/>
          <w:color w:val="auto"/>
        </w:rPr>
        <w:t>525 DEL REY AVENUE, SUITE C</w:t>
      </w:r>
    </w:p>
    <w:p>
      <w:pPr>
        <w:spacing w:after="0" w:line="1"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6"/>
          <w:szCs w:val="16"/>
          <w:color w:val="auto"/>
        </w:rPr>
        <w:t>SUNNYVALE, CA 94085</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(Address of principal executive offices, including zip code)</w:t>
      </w:r>
    </w:p>
    <w:p>
      <w:pPr>
        <w:spacing w:after="0" w:line="200" w:lineRule="exact"/>
        <w:rPr>
          <w:sz w:val="24"/>
          <w:szCs w:val="24"/>
          <w:color w:val="auto"/>
        </w:rPr>
      </w:pPr>
    </w:p>
    <w:p>
      <w:pPr>
        <w:spacing w:after="0" w:line="346"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(408) 731-8670</w:t>
      </w:r>
    </w:p>
    <w:p>
      <w:pPr>
        <w:spacing w:after="0" w:line="1"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83"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w:t>
      </w:r>
    </w:p>
    <w:p>
      <w:pPr>
        <w:spacing w:after="0" w:line="368" w:lineRule="exact"/>
        <w:rPr>
          <w:sz w:val="24"/>
          <w:szCs w:val="24"/>
          <w:color w:val="auto"/>
        </w:rPr>
      </w:pPr>
    </w:p>
    <w:p>
      <w:pPr>
        <w:ind w:left="183" w:hanging="183"/>
        <w:spacing w:after="0"/>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2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Page 1 of 6</w:t>
      </w:r>
    </w:p>
    <w:p>
      <w:pPr>
        <w:sectPr>
          <w:pgSz w:w="11900" w:h="16838" w:orient="portrait"/>
          <w:cols w:equalWidth="0" w:num="1">
            <w:col w:w="10222"/>
          </w:cols>
          <w:pgMar w:left="237" w:top="966" w:right="1440" w:bottom="1440" w:gutter="0" w:footer="0" w:header="0"/>
        </w:sectPr>
      </w:pPr>
    </w:p>
    <w:bookmarkStart w:id="1" w:name="page2"/>
    <w:bookmarkEnd w:id="1"/>
    <w:p>
      <w:pPr>
        <w:spacing w:after="0"/>
        <w:tabs>
          <w:tab w:leader="none" w:pos="82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Financial Statements, Pro Forma Financial Information and Exhibits.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 Forma Financial Information</w:t>
      </w:r>
    </w:p>
    <w:p>
      <w:pPr>
        <w:spacing w:after="0" w:line="186" w:lineRule="exact"/>
        <w:rPr>
          <w:sz w:val="20"/>
          <w:szCs w:val="20"/>
          <w:color w:val="auto"/>
        </w:rPr>
      </w:pPr>
    </w:p>
    <w:p>
      <w:pPr>
        <w:ind w:right="2659"/>
        <w:spacing w:after="0" w:line="256" w:lineRule="auto"/>
        <w:rPr>
          <w:sz w:val="20"/>
          <w:szCs w:val="20"/>
          <w:color w:val="auto"/>
        </w:rPr>
      </w:pPr>
      <w:r>
        <w:rPr>
          <w:rFonts w:ascii="Courier New" w:cs="Courier New" w:eastAsia="Courier New" w:hAnsi="Courier New"/>
          <w:sz w:val="15"/>
          <w:szCs w:val="15"/>
          <w:color w:val="auto"/>
        </w:rPr>
        <w:t>During the third quarter of 1999, management reached a decision to exit the Company's Encapsulated Cell Therapy (ECT) activities, dispose of the related intellectual property, facilities and equipment and relocate the Lincoln, RI corporate headquarters to Sunnyvale, CA. At the same time, the Company accrued various estimated expenses associated with the exit and wind-down of the ECT activities, disposal of the related property and relocation of the corporate headquarters. Additional accruals were provided in December 1999 for expenses relating to settlement of a 1989 funding arrangement with the Rhode Island Partnership for Science and Technology, further adjustment to asset carrying values and estimated carrying costs associated with the Rhode Island facilities through the expected disposition date. In addition, during December 1999, the Company liquidated certain ECT equipment and sold its ECT intellectual property to Neurotech, S.A. for $3,000,000. The tabular unaudited pro forma consolidated statement of operations presents the effects of the sale, wind-down and relocation, as if they had occurred at January 1, 1999. The tabular unaudited pro forma consolidated balance sheet along with the accompanying notes are presented as if the sale, wind-down and relocation had occurred at December 31, 1999. The pro forma effects and adjustments were determined based on available information and certain allocations that management believes are reasonable. The pro forma financial information does not purport to represent what the Company's operating results would have been had the sale occurred at</w:t>
      </w:r>
    </w:p>
    <w:p>
      <w:pPr>
        <w:spacing w:after="0" w:line="13"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6"/>
          <w:szCs w:val="16"/>
          <w:color w:val="auto"/>
        </w:rPr>
        <w:t>January 1, 1999 and may not be indicative of the Company's financial position or operating results for any future date or period.</w:t>
      </w:r>
    </w:p>
    <w:p>
      <w:pPr>
        <w:spacing w:after="0" w:line="366"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2 of 6</w:t>
      </w:r>
    </w:p>
    <w:p>
      <w:pPr>
        <w:sectPr>
          <w:pgSz w:w="11900" w:h="16838" w:orient="portrait"/>
          <w:cols w:equalWidth="0" w:num="1">
            <w:col w:w="10219"/>
          </w:cols>
          <w:pgMar w:left="240" w:top="841"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CYTOTHERAPEUTICS,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1999</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 FORMA CONSOLIDATED STATEMENT OF OPERATIONS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Historical</w:t>
            </w:r>
          </w:p>
        </w:tc>
        <w:tc>
          <w:tcPr>
            <w:tcW w:w="1840" w:type="dxa"/>
            <w:vAlign w:val="bottom"/>
          </w:tcPr>
          <w:p>
            <w:pPr>
              <w:spacing w:after="0"/>
              <w:rPr>
                <w:sz w:val="15"/>
                <w:szCs w:val="15"/>
                <w:color w:val="auto"/>
              </w:rPr>
            </w:pP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Pro Forma</w:t>
            </w:r>
          </w:p>
        </w:tc>
      </w:tr>
      <w:tr>
        <w:trPr>
          <w:trHeight w:val="182"/>
        </w:trPr>
        <w:tc>
          <w:tcPr>
            <w:tcW w:w="6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Consolidated</w:t>
            </w:r>
          </w:p>
        </w:tc>
        <w:tc>
          <w:tcPr>
            <w:tcW w:w="1840" w:type="dxa"/>
            <w:vAlign w:val="bottom"/>
          </w:tcPr>
          <w:p>
            <w:pPr>
              <w:spacing w:after="0"/>
              <w:rPr>
                <w:sz w:val="15"/>
                <w:szCs w:val="15"/>
                <w:color w:val="auto"/>
              </w:rPr>
            </w:pP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Consolidated</w:t>
            </w:r>
          </w:p>
        </w:tc>
      </w:tr>
      <w:tr>
        <w:trPr>
          <w:trHeight w:val="182"/>
        </w:trPr>
        <w:tc>
          <w:tcPr>
            <w:tcW w:w="6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12/31/1999</w:t>
            </w:r>
          </w:p>
        </w:tc>
        <w:tc>
          <w:tcPr>
            <w:tcW w:w="1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Adjustments(A)</w:t>
            </w:r>
          </w:p>
        </w:tc>
        <w:tc>
          <w:tcPr>
            <w:tcW w:w="14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12/31/1999</w:t>
            </w:r>
          </w:p>
        </w:tc>
      </w:tr>
      <w:tr>
        <w:trPr>
          <w:trHeight w:val="182"/>
        </w:trPr>
        <w:tc>
          <w:tcPr>
            <w:tcW w:w="6040" w:type="dxa"/>
            <w:vAlign w:val="bottom"/>
          </w:tcPr>
          <w:p>
            <w:pPr>
              <w:spacing w:after="0"/>
              <w:rPr>
                <w:sz w:val="15"/>
                <w:szCs w:val="15"/>
                <w:color w:val="auto"/>
              </w:rPr>
            </w:pPr>
          </w:p>
        </w:tc>
        <w:tc>
          <w:tcPr>
            <w:tcW w:w="16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spacing w:after="0"/>
              <w:rPr>
                <w:sz w:val="20"/>
                <w:szCs w:val="20"/>
                <w:color w:val="auto"/>
              </w:rPr>
            </w:pPr>
            <w:r>
              <w:rPr>
                <w:rFonts w:ascii="Courier New" w:cs="Courier New" w:eastAsia="Courier New" w:hAnsi="Courier New"/>
                <w:sz w:val="16"/>
                <w:szCs w:val="16"/>
                <w:color w:val="auto"/>
              </w:rPr>
              <w:t>Revenue from collaborative agreements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5,021,707</w:t>
            </w:r>
          </w:p>
        </w:tc>
        <w:tc>
          <w:tcPr>
            <w:tcW w:w="1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(5,021,707)(1)</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38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9,984,027</w:t>
            </w:r>
          </w:p>
        </w:tc>
        <w:tc>
          <w:tcPr>
            <w:tcW w:w="1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(5,332,331)(2)</w:t>
            </w:r>
          </w:p>
        </w:tc>
        <w:tc>
          <w:tcPr>
            <w:tcW w:w="38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4,651,696</w:t>
            </w:r>
          </w:p>
        </w:tc>
      </w:tr>
      <w:tr>
        <w:trPr>
          <w:trHeight w:val="182"/>
        </w:trPr>
        <w:tc>
          <w:tcPr>
            <w:tcW w:w="6040" w:type="dxa"/>
            <w:vAlign w:val="bottom"/>
          </w:tcPr>
          <w:p>
            <w:pPr>
              <w:ind w:left="100"/>
              <w:spacing w:after="0"/>
              <w:rPr>
                <w:sz w:val="20"/>
                <w:szCs w:val="20"/>
                <w:color w:val="auto"/>
              </w:rPr>
            </w:pPr>
            <w:r>
              <w:rPr>
                <w:rFonts w:ascii="Courier New" w:cs="Courier New" w:eastAsia="Courier New" w:hAnsi="Courier New"/>
                <w:sz w:val="16"/>
                <w:szCs w:val="16"/>
                <w:color w:val="auto"/>
              </w:rPr>
              <w:t>Research and development</w:t>
            </w:r>
          </w:p>
        </w:tc>
        <w:tc>
          <w:tcPr>
            <w:tcW w:w="38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4,927,303</w:t>
            </w:r>
          </w:p>
        </w:tc>
        <w:tc>
          <w:tcPr>
            <w:tcW w:w="1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(2,309,315)(3)</w:t>
            </w:r>
          </w:p>
        </w:tc>
        <w:tc>
          <w:tcPr>
            <w:tcW w:w="38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2,517,988</w:t>
            </w:r>
          </w:p>
        </w:tc>
      </w:tr>
      <w:tr>
        <w:trPr>
          <w:trHeight w:val="182"/>
        </w:trPr>
        <w:tc>
          <w:tcPr>
            <w:tcW w:w="6040" w:type="dxa"/>
            <w:vAlign w:val="bottom"/>
          </w:tcPr>
          <w:p>
            <w:pPr>
              <w:ind w:left="100"/>
              <w:spacing w:after="0"/>
              <w:rPr>
                <w:sz w:val="20"/>
                <w:szCs w:val="20"/>
                <w:color w:val="auto"/>
              </w:rPr>
            </w:pPr>
            <w:r>
              <w:rPr>
                <w:rFonts w:ascii="Courier New" w:cs="Courier New" w:eastAsia="Courier New" w:hAnsi="Courier New"/>
                <w:sz w:val="16"/>
                <w:szCs w:val="16"/>
                <w:color w:val="auto"/>
              </w:rPr>
              <w:t>General and administrative</w:t>
            </w:r>
          </w:p>
        </w:tc>
        <w:tc>
          <w:tcPr>
            <w:tcW w:w="38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6,047,808</w:t>
            </w:r>
          </w:p>
        </w:tc>
        <w:tc>
          <w:tcPr>
            <w:tcW w:w="1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(6,047,806)(4)</w:t>
            </w:r>
          </w:p>
        </w:tc>
        <w:tc>
          <w:tcPr>
            <w:tcW w:w="38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15"/>
                <w:szCs w:val="15"/>
                <w:color w:val="auto"/>
              </w:rPr>
            </w:pPr>
          </w:p>
        </w:tc>
        <w:tc>
          <w:tcPr>
            <w:tcW w:w="16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ind w:left="100"/>
              <w:spacing w:after="0"/>
              <w:rPr>
                <w:sz w:val="20"/>
                <w:szCs w:val="20"/>
                <w:color w:val="auto"/>
              </w:rPr>
            </w:pPr>
            <w:r>
              <w:rPr>
                <w:rFonts w:ascii="Courier New" w:cs="Courier New" w:eastAsia="Courier New" w:hAnsi="Courier New"/>
                <w:sz w:val="16"/>
                <w:szCs w:val="16"/>
                <w:color w:val="auto"/>
              </w:rPr>
              <w:t>Encapsulated Cell Therapy Wind down and Corporate Relocation</w:t>
            </w:r>
          </w:p>
        </w:tc>
        <w:tc>
          <w:tcPr>
            <w:tcW w:w="38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20,959,136</w:t>
            </w:r>
          </w:p>
        </w:tc>
        <w:tc>
          <w:tcPr>
            <w:tcW w:w="18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(13,689,452)</w:t>
            </w:r>
          </w:p>
        </w:tc>
        <w:tc>
          <w:tcPr>
            <w:tcW w:w="38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7,269,684</w:t>
            </w:r>
          </w:p>
        </w:tc>
      </w:tr>
      <w:tr>
        <w:trPr>
          <w:trHeight w:val="182"/>
        </w:trPr>
        <w:tc>
          <w:tcPr>
            <w:tcW w:w="6040" w:type="dxa"/>
            <w:vAlign w:val="bottom"/>
          </w:tcPr>
          <w:p>
            <w:pPr>
              <w:spacing w:after="0"/>
              <w:rPr>
                <w:sz w:val="15"/>
                <w:szCs w:val="15"/>
                <w:color w:val="auto"/>
              </w:rPr>
            </w:pPr>
          </w:p>
        </w:tc>
        <w:tc>
          <w:tcPr>
            <w:tcW w:w="16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20"/>
                <w:szCs w:val="20"/>
                <w:color w:val="auto"/>
              </w:rPr>
            </w:pPr>
            <w:r>
              <w:rPr>
                <w:rFonts w:ascii="Courier New" w:cs="Courier New" w:eastAsia="Courier New" w:hAnsi="Courier New"/>
                <w:sz w:val="16"/>
                <w:szCs w:val="16"/>
                <w:color w:val="auto"/>
              </w:rPr>
              <w:t>Loss from operations</w:t>
            </w:r>
          </w:p>
        </w:tc>
        <w:tc>
          <w:tcPr>
            <w:tcW w:w="38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(15,937,429)</w:t>
            </w:r>
          </w:p>
        </w:tc>
        <w:tc>
          <w:tcPr>
            <w:tcW w:w="18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8,687,745</w:t>
            </w: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(7,269,684)</w:t>
            </w:r>
          </w:p>
        </w:tc>
      </w:tr>
      <w:tr>
        <w:trPr>
          <w:trHeight w:val="182"/>
        </w:trPr>
        <w:tc>
          <w:tcPr>
            <w:tcW w:w="604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6040" w:type="dxa"/>
            <w:vAlign w:val="bottom"/>
          </w:tcPr>
          <w:p>
            <w:pPr>
              <w:ind w:left="100"/>
              <w:spacing w:after="0"/>
              <w:rPr>
                <w:sz w:val="20"/>
                <w:szCs w:val="20"/>
                <w:color w:val="auto"/>
              </w:rPr>
            </w:pPr>
            <w:r>
              <w:rPr>
                <w:rFonts w:ascii="Courier New" w:cs="Courier New" w:eastAsia="Courier New" w:hAnsi="Courier New"/>
                <w:sz w:val="16"/>
                <w:szCs w:val="16"/>
                <w:color w:val="auto"/>
              </w:rPr>
              <w:t>Interest income</w:t>
            </w:r>
          </w:p>
        </w:tc>
        <w:tc>
          <w:tcPr>
            <w:tcW w:w="38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584,006</w:t>
            </w:r>
          </w:p>
        </w:tc>
        <w:tc>
          <w:tcPr>
            <w:tcW w:w="18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584,006</w:t>
            </w:r>
          </w:p>
        </w:tc>
      </w:tr>
      <w:tr>
        <w:trPr>
          <w:trHeight w:val="182"/>
        </w:trPr>
        <w:tc>
          <w:tcPr>
            <w:tcW w:w="6040" w:type="dxa"/>
            <w:vAlign w:val="bottom"/>
          </w:tcPr>
          <w:p>
            <w:pPr>
              <w:ind w:left="100"/>
              <w:spacing w:after="0"/>
              <w:rPr>
                <w:sz w:val="20"/>
                <w:szCs w:val="20"/>
                <w:color w:val="auto"/>
              </w:rPr>
            </w:pPr>
            <w:r>
              <w:rPr>
                <w:rFonts w:ascii="Courier New" w:cs="Courier New" w:eastAsia="Courier New" w:hAnsi="Courier New"/>
                <w:sz w:val="16"/>
                <w:szCs w:val="16"/>
                <w:color w:val="auto"/>
              </w:rPr>
              <w:t>Interest expense</w:t>
            </w:r>
          </w:p>
        </w:tc>
        <w:tc>
          <w:tcPr>
            <w:tcW w:w="38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(335,203)</w:t>
            </w:r>
          </w:p>
        </w:tc>
        <w:tc>
          <w:tcPr>
            <w:tcW w:w="18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15"/>
                <w:szCs w:val="15"/>
                <w:color w:val="auto"/>
              </w:rPr>
            </w:pPr>
          </w:p>
        </w:tc>
        <w:tc>
          <w:tcPr>
            <w:tcW w:w="16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228,803</w:t>
            </w:r>
          </w:p>
        </w:tc>
        <w:tc>
          <w:tcPr>
            <w:tcW w:w="18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584,006</w:t>
            </w:r>
          </w:p>
        </w:tc>
      </w:tr>
      <w:tr>
        <w:trPr>
          <w:trHeight w:val="182"/>
        </w:trPr>
        <w:tc>
          <w:tcPr>
            <w:tcW w:w="6040" w:type="dxa"/>
            <w:vAlign w:val="bottom"/>
          </w:tcPr>
          <w:p>
            <w:pPr>
              <w:spacing w:after="0"/>
              <w:rPr>
                <w:sz w:val="15"/>
                <w:szCs w:val="15"/>
                <w:color w:val="auto"/>
              </w:rPr>
            </w:pPr>
          </w:p>
        </w:tc>
        <w:tc>
          <w:tcPr>
            <w:tcW w:w="16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15"/>
                <w:szCs w:val="15"/>
                <w:color w:val="auto"/>
              </w:rPr>
            </w:pPr>
          </w:p>
        </w:tc>
        <w:tc>
          <w:tcPr>
            <w:tcW w:w="16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(15,708,826)</w:t>
            </w:r>
          </w:p>
        </w:tc>
        <w:tc>
          <w:tcPr>
            <w:tcW w:w="18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  8,667,745</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$(6,705,678)</w:t>
            </w:r>
          </w:p>
        </w:tc>
      </w:tr>
      <w:tr>
        <w:trPr>
          <w:trHeight w:val="182"/>
        </w:trPr>
        <w:tc>
          <w:tcPr>
            <w:tcW w:w="6040" w:type="dxa"/>
            <w:vAlign w:val="bottom"/>
          </w:tcPr>
          <w:p>
            <w:pPr>
              <w:spacing w:after="0"/>
              <w:rPr>
                <w:sz w:val="15"/>
                <w:szCs w:val="15"/>
                <w:color w:val="auto"/>
              </w:rPr>
            </w:pPr>
          </w:p>
        </w:tc>
        <w:tc>
          <w:tcPr>
            <w:tcW w:w="16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15"/>
                <w:szCs w:val="15"/>
                <w:color w:val="auto"/>
              </w:rPr>
            </w:pPr>
          </w:p>
        </w:tc>
        <w:tc>
          <w:tcPr>
            <w:tcW w:w="16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20"/>
                <w:szCs w:val="20"/>
                <w:color w:val="auto"/>
              </w:rPr>
            </w:pPr>
            <w:r>
              <w:rPr>
                <w:rFonts w:ascii="Courier New" w:cs="Courier New" w:eastAsia="Courier New" w:hAnsi="Courier New"/>
                <w:sz w:val="16"/>
                <w:szCs w:val="16"/>
                <w:color w:val="auto"/>
              </w:rPr>
              <w:t>Basic and diluted net loss per share</w:t>
            </w:r>
          </w:p>
        </w:tc>
        <w:tc>
          <w:tcPr>
            <w:tcW w:w="38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($0.84)</w:t>
            </w:r>
          </w:p>
        </w:tc>
        <w:tc>
          <w:tcPr>
            <w:tcW w:w="18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$0.46</w:t>
            </w: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$(0.36)</w:t>
            </w:r>
          </w:p>
        </w:tc>
      </w:tr>
      <w:tr>
        <w:trPr>
          <w:trHeight w:val="182"/>
        </w:trPr>
        <w:tc>
          <w:tcPr>
            <w:tcW w:w="6040" w:type="dxa"/>
            <w:vAlign w:val="bottom"/>
          </w:tcPr>
          <w:p>
            <w:pPr>
              <w:spacing w:after="0"/>
              <w:rPr>
                <w:sz w:val="15"/>
                <w:szCs w:val="15"/>
                <w:color w:val="auto"/>
              </w:rPr>
            </w:pPr>
          </w:p>
        </w:tc>
        <w:tc>
          <w:tcPr>
            <w:tcW w:w="16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15"/>
                <w:szCs w:val="15"/>
                <w:color w:val="auto"/>
              </w:rPr>
            </w:pPr>
          </w:p>
        </w:tc>
        <w:tc>
          <w:tcPr>
            <w:tcW w:w="16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20"/>
                <w:szCs w:val="20"/>
                <w:color w:val="auto"/>
              </w:rPr>
            </w:pPr>
            <w:r>
              <w:rPr>
                <w:rFonts w:ascii="Courier New" w:cs="Courier New" w:eastAsia="Courier New" w:hAnsi="Courier New"/>
                <w:sz w:val="16"/>
                <w:szCs w:val="16"/>
                <w:color w:val="auto"/>
              </w:rPr>
              <w:t>Shares used in computing basic and diluted net loss per share</w:t>
            </w:r>
          </w:p>
        </w:tc>
        <w:tc>
          <w:tcPr>
            <w:tcW w:w="38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18,705,838</w:t>
            </w:r>
          </w:p>
        </w:tc>
        <w:tc>
          <w:tcPr>
            <w:tcW w:w="18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18,705,838</w:t>
            </w:r>
          </w:p>
        </w:tc>
        <w:tc>
          <w:tcPr>
            <w:tcW w:w="38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18,705,838</w:t>
            </w:r>
          </w:p>
        </w:tc>
      </w:tr>
      <w:tr>
        <w:trPr>
          <w:trHeight w:val="182"/>
        </w:trPr>
        <w:tc>
          <w:tcPr>
            <w:tcW w:w="6040" w:type="dxa"/>
            <w:vAlign w:val="bottom"/>
          </w:tcPr>
          <w:p>
            <w:pPr>
              <w:spacing w:after="0"/>
              <w:rPr>
                <w:sz w:val="15"/>
                <w:szCs w:val="15"/>
                <w:color w:val="auto"/>
              </w:rPr>
            </w:pPr>
          </w:p>
        </w:tc>
        <w:tc>
          <w:tcPr>
            <w:tcW w:w="16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15"/>
                <w:szCs w:val="15"/>
                <w:color w:val="auto"/>
              </w:rPr>
            </w:pPr>
          </w:p>
        </w:tc>
        <w:tc>
          <w:tcPr>
            <w:tcW w:w="16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3 of 6</w:t>
      </w:r>
    </w:p>
    <w:p>
      <w:pPr>
        <w:sectPr>
          <w:pgSz w:w="11900" w:h="16838" w:orient="portrait"/>
          <w:cols w:equalWidth="0" w:num="1">
            <w:col w:w="10960"/>
          </w:cols>
          <w:pgMar w:left="240" w:top="841" w:right="69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CYTOTHERAPEUTICS,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1999</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 FORMA CONSOLIDATED BALANCE SHEET (UNAUDITED)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Historical</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Pro Forma</w:t>
            </w:r>
          </w:p>
        </w:tc>
      </w:tr>
      <w:tr>
        <w:trPr>
          <w:trHeight w:val="182"/>
        </w:trPr>
        <w:tc>
          <w:tcPr>
            <w:tcW w:w="5580" w:type="dxa"/>
            <w:vAlign w:val="bottom"/>
          </w:tcPr>
          <w:p>
            <w:pPr>
              <w:spacing w:after="0"/>
              <w:rPr>
                <w:sz w:val="15"/>
                <w:szCs w:val="15"/>
                <w:color w:val="auto"/>
              </w:rPr>
            </w:pPr>
          </w:p>
        </w:tc>
        <w:tc>
          <w:tcPr>
            <w:tcW w:w="22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December 31, 1999</w:t>
            </w:r>
          </w:p>
        </w:tc>
        <w:tc>
          <w:tcPr>
            <w:tcW w:w="19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Adjustments(A)</w:t>
            </w:r>
          </w:p>
        </w:tc>
        <w:tc>
          <w:tcPr>
            <w:tcW w:w="1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 1999</w:t>
            </w:r>
          </w:p>
        </w:tc>
      </w:tr>
      <w:tr>
        <w:trPr>
          <w:trHeight w:val="182"/>
        </w:trPr>
        <w:tc>
          <w:tcPr>
            <w:tcW w:w="5580" w:type="dxa"/>
            <w:vAlign w:val="bottom"/>
          </w:tcPr>
          <w:p>
            <w:pPr>
              <w:spacing w:after="0"/>
              <w:rPr>
                <w:sz w:val="15"/>
                <w:szCs w:val="15"/>
                <w:color w:val="auto"/>
              </w:rPr>
            </w:pPr>
          </w:p>
        </w:tc>
        <w:tc>
          <w:tcPr>
            <w:tcW w:w="22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5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2"/>
        </w:trPr>
        <w:tc>
          <w:tcPr>
            <w:tcW w:w="5580" w:type="dxa"/>
            <w:vAlign w:val="bottom"/>
          </w:tcPr>
          <w:p>
            <w:pPr>
              <w:ind w:left="100"/>
              <w:spacing w:after="0"/>
              <w:rPr>
                <w:sz w:val="20"/>
                <w:szCs w:val="20"/>
                <w:color w:val="auto"/>
              </w:rPr>
            </w:pPr>
            <w:r>
              <w:rPr>
                <w:rFonts w:ascii="Courier New" w:cs="Courier New" w:eastAsia="Courier New" w:hAnsi="Courier New"/>
                <w:sz w:val="16"/>
                <w:szCs w:val="16"/>
                <w:color w:val="auto"/>
              </w:rPr>
              <w:t>Cash and cash equivalents</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4,760,064</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4,760,064</w:t>
            </w:r>
          </w:p>
        </w:tc>
      </w:tr>
      <w:tr>
        <w:trPr>
          <w:trHeight w:val="182"/>
        </w:trPr>
        <w:tc>
          <w:tcPr>
            <w:tcW w:w="5580" w:type="dxa"/>
            <w:vAlign w:val="bottom"/>
          </w:tcPr>
          <w:p>
            <w:pPr>
              <w:ind w:left="100"/>
              <w:spacing w:after="0"/>
              <w:rPr>
                <w:sz w:val="20"/>
                <w:szCs w:val="20"/>
                <w:color w:val="auto"/>
              </w:rPr>
            </w:pPr>
            <w:r>
              <w:rPr>
                <w:rFonts w:ascii="Courier New" w:cs="Courier New" w:eastAsia="Courier New" w:hAnsi="Courier New"/>
                <w:sz w:val="16"/>
                <w:szCs w:val="16"/>
                <w:color w:val="auto"/>
              </w:rPr>
              <w:t>Marketable securities</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ind w:left="100"/>
              <w:spacing w:after="0"/>
              <w:rPr>
                <w:sz w:val="20"/>
                <w:szCs w:val="20"/>
                <w:color w:val="auto"/>
              </w:rPr>
            </w:pPr>
            <w:r>
              <w:rPr>
                <w:rFonts w:ascii="Courier New" w:cs="Courier New" w:eastAsia="Courier New" w:hAnsi="Courier New"/>
                <w:sz w:val="16"/>
                <w:szCs w:val="16"/>
                <w:color w:val="auto"/>
              </w:rPr>
              <w:t>Accrued interest receivable</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42,212</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42,212</w:t>
            </w:r>
          </w:p>
        </w:tc>
      </w:tr>
      <w:tr>
        <w:trPr>
          <w:trHeight w:val="182"/>
        </w:trPr>
        <w:tc>
          <w:tcPr>
            <w:tcW w:w="5580" w:type="dxa"/>
            <w:vAlign w:val="bottom"/>
          </w:tcPr>
          <w:p>
            <w:pPr>
              <w:ind w:left="100"/>
              <w:spacing w:after="0"/>
              <w:rPr>
                <w:sz w:val="20"/>
                <w:szCs w:val="20"/>
                <w:color w:val="auto"/>
              </w:rPr>
            </w:pPr>
            <w:r>
              <w:rPr>
                <w:rFonts w:ascii="Courier New" w:cs="Courier New" w:eastAsia="Courier New" w:hAnsi="Courier New"/>
                <w:sz w:val="16"/>
                <w:szCs w:val="16"/>
                <w:color w:val="auto"/>
              </w:rPr>
              <w:t>Technology sale receivable</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3,000,000</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3,000,000</w:t>
            </w:r>
          </w:p>
        </w:tc>
      </w:tr>
      <w:tr>
        <w:trPr>
          <w:trHeight w:val="182"/>
        </w:trPr>
        <w:tc>
          <w:tcPr>
            <w:tcW w:w="5580" w:type="dxa"/>
            <w:vAlign w:val="bottom"/>
          </w:tcPr>
          <w:p>
            <w:pPr>
              <w:ind w:left="100"/>
              <w:spacing w:after="0"/>
              <w:rPr>
                <w:sz w:val="20"/>
                <w:szCs w:val="20"/>
                <w:color w:val="auto"/>
              </w:rPr>
            </w:pPr>
            <w:r>
              <w:rPr>
                <w:rFonts w:ascii="Courier New" w:cs="Courier New" w:eastAsia="Courier New" w:hAnsi="Courier New"/>
                <w:sz w:val="16"/>
                <w:szCs w:val="16"/>
                <w:color w:val="auto"/>
              </w:rPr>
              <w:t>Assets held for sale</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3,300,000(5)</w:t>
            </w: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3,300,000</w:t>
            </w:r>
          </w:p>
        </w:tc>
      </w:tr>
      <w:tr>
        <w:trPr>
          <w:trHeight w:val="182"/>
        </w:trPr>
        <w:tc>
          <w:tcPr>
            <w:tcW w:w="5580" w:type="dxa"/>
            <w:vAlign w:val="bottom"/>
          </w:tcPr>
          <w:p>
            <w:pPr>
              <w:ind w:left="100"/>
              <w:spacing w:after="0"/>
              <w:rPr>
                <w:sz w:val="20"/>
                <w:szCs w:val="20"/>
                <w:color w:val="auto"/>
              </w:rPr>
            </w:pPr>
            <w:r>
              <w:rPr>
                <w:rFonts w:ascii="Courier New" w:cs="Courier New" w:eastAsia="Courier New" w:hAnsi="Courier New"/>
                <w:sz w:val="16"/>
                <w:szCs w:val="16"/>
                <w:color w:val="auto"/>
              </w:rPr>
              <w:t>Other current assets</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1,168,579</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1,168,579</w:t>
            </w:r>
          </w:p>
        </w:tc>
      </w:tr>
      <w:tr>
        <w:trPr>
          <w:trHeight w:val="182"/>
        </w:trPr>
        <w:tc>
          <w:tcPr>
            <w:tcW w:w="5580" w:type="dxa"/>
            <w:vAlign w:val="bottom"/>
          </w:tcPr>
          <w:p>
            <w:pPr>
              <w:spacing w:after="0"/>
              <w:rPr>
                <w:sz w:val="15"/>
                <w:szCs w:val="15"/>
                <w:color w:val="auto"/>
              </w:rPr>
            </w:pPr>
          </w:p>
        </w:tc>
        <w:tc>
          <w:tcPr>
            <w:tcW w:w="226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8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Total current assets</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8,970,865</w:t>
            </w:r>
          </w:p>
        </w:tc>
        <w:tc>
          <w:tcPr>
            <w:tcW w:w="380" w:type="dxa"/>
            <w:vAlign w:val="bottom"/>
          </w:tcPr>
          <w:p>
            <w:pPr>
              <w:spacing w:after="0"/>
              <w:rPr>
                <w:sz w:val="15"/>
                <w:szCs w:val="15"/>
                <w:color w:val="auto"/>
              </w:rPr>
            </w:pP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3,300,000</w:t>
            </w: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12,270,855</w:t>
            </w:r>
          </w:p>
        </w:tc>
      </w:tr>
      <w:tr>
        <w:trPr>
          <w:trHeight w:val="364"/>
        </w:trPr>
        <w:tc>
          <w:tcPr>
            <w:tcW w:w="558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660" w:type="dxa"/>
            <w:vAlign w:val="bottom"/>
          </w:tcPr>
          <w:p>
            <w:pPr>
              <w:spacing w:after="0"/>
              <w:rPr>
                <w:sz w:val="24"/>
                <w:szCs w:val="24"/>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5,251,376</w:t>
            </w:r>
          </w:p>
        </w:tc>
        <w:tc>
          <w:tcPr>
            <w:tcW w:w="380" w:type="dxa"/>
            <w:vAlign w:val="bottom"/>
          </w:tcPr>
          <w:p>
            <w:pPr>
              <w:spacing w:after="0"/>
              <w:rPr>
                <w:sz w:val="24"/>
                <w:szCs w:val="24"/>
                <w:color w:val="auto"/>
              </w:rPr>
            </w:pP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(3,600,000)(5)</w:t>
            </w:r>
          </w:p>
        </w:tc>
        <w:tc>
          <w:tcPr>
            <w:tcW w:w="380" w:type="dxa"/>
            <w:vAlign w:val="bottom"/>
          </w:tcPr>
          <w:p>
            <w:pPr>
              <w:spacing w:after="0"/>
              <w:rPr>
                <w:sz w:val="24"/>
                <w:szCs w:val="24"/>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1,651,376</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Other assets, net</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1,858,768</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1,858,768</w:t>
            </w:r>
          </w:p>
        </w:tc>
      </w:tr>
      <w:tr>
        <w:trPr>
          <w:trHeight w:val="182"/>
        </w:trPr>
        <w:tc>
          <w:tcPr>
            <w:tcW w:w="5580" w:type="dxa"/>
            <w:vAlign w:val="bottom"/>
          </w:tcPr>
          <w:p>
            <w:pPr>
              <w:spacing w:after="0"/>
              <w:rPr>
                <w:sz w:val="15"/>
                <w:szCs w:val="15"/>
                <w:color w:val="auto"/>
              </w:rPr>
            </w:pPr>
          </w:p>
        </w:tc>
        <w:tc>
          <w:tcPr>
            <w:tcW w:w="226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8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18,080,999</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(300,000)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15,780,999</w:t>
            </w:r>
          </w:p>
        </w:tc>
      </w:tr>
      <w:tr>
        <w:trPr>
          <w:trHeight w:val="182"/>
        </w:trPr>
        <w:tc>
          <w:tcPr>
            <w:tcW w:w="5580" w:type="dxa"/>
            <w:vAlign w:val="bottom"/>
          </w:tcPr>
          <w:p>
            <w:pPr>
              <w:spacing w:after="0"/>
              <w:rPr>
                <w:sz w:val="15"/>
                <w:szCs w:val="15"/>
                <w:color w:val="auto"/>
              </w:rPr>
            </w:pPr>
          </w:p>
        </w:tc>
        <w:tc>
          <w:tcPr>
            <w:tcW w:w="226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8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15"/>
                <w:szCs w:val="15"/>
                <w:color w:val="auto"/>
              </w:rPr>
            </w:pPr>
          </w:p>
        </w:tc>
        <w:tc>
          <w:tcPr>
            <w:tcW w:w="226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8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2"/>
        </w:trPr>
        <w:tc>
          <w:tcPr>
            <w:tcW w:w="5580" w:type="dxa"/>
            <w:vAlign w:val="bottom"/>
          </w:tcPr>
          <w:p>
            <w:pPr>
              <w:ind w:left="100"/>
              <w:spacing w:after="0"/>
              <w:rPr>
                <w:sz w:val="20"/>
                <w:szCs w:val="20"/>
                <w:color w:val="auto"/>
              </w:rPr>
            </w:pPr>
            <w:r>
              <w:rPr>
                <w:rFonts w:ascii="Courier New" w:cs="Courier New" w:eastAsia="Courier New" w:hAnsi="Courier New"/>
                <w:sz w:val="16"/>
                <w:szCs w:val="16"/>
                <w:color w:val="auto"/>
              </w:rPr>
              <w:t>Accounts payable</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631,315</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631,315</w:t>
            </w:r>
          </w:p>
        </w:tc>
      </w:tr>
      <w:tr>
        <w:trPr>
          <w:trHeight w:val="182"/>
        </w:trPr>
        <w:tc>
          <w:tcPr>
            <w:tcW w:w="5580" w:type="dxa"/>
            <w:vAlign w:val="bottom"/>
          </w:tcPr>
          <w:p>
            <w:pPr>
              <w:ind w:left="100"/>
              <w:spacing w:after="0"/>
              <w:rPr>
                <w:sz w:val="20"/>
                <w:szCs w:val="20"/>
                <w:color w:val="auto"/>
              </w:rPr>
            </w:pPr>
            <w:r>
              <w:rPr>
                <w:rFonts w:ascii="Courier New" w:cs="Courier New" w:eastAsia="Courier New" w:hAnsi="Courier New"/>
                <w:sz w:val="16"/>
                <w:szCs w:val="16"/>
                <w:color w:val="auto"/>
              </w:rPr>
              <w:t>Accrued expenses</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2,905,068</w:t>
            </w:r>
          </w:p>
        </w:tc>
        <w:tc>
          <w:tcPr>
            <w:tcW w:w="380" w:type="dxa"/>
            <w:vAlign w:val="bottom"/>
          </w:tcPr>
          <w:p>
            <w:pPr>
              <w:spacing w:after="0"/>
              <w:rPr>
                <w:sz w:val="15"/>
                <w:szCs w:val="15"/>
                <w:color w:val="auto"/>
              </w:rPr>
            </w:pP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(300,000)(5)</w:t>
            </w: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2,605,068</w:t>
            </w:r>
          </w:p>
        </w:tc>
      </w:tr>
      <w:tr>
        <w:trPr>
          <w:trHeight w:val="182"/>
        </w:trPr>
        <w:tc>
          <w:tcPr>
            <w:tcW w:w="5580" w:type="dxa"/>
            <w:vAlign w:val="bottom"/>
          </w:tcPr>
          <w:p>
            <w:pPr>
              <w:ind w:left="100"/>
              <w:spacing w:after="0"/>
              <w:rPr>
                <w:sz w:val="20"/>
                <w:szCs w:val="20"/>
                <w:color w:val="auto"/>
              </w:rPr>
            </w:pPr>
            <w:r>
              <w:rPr>
                <w:rFonts w:ascii="Courier New" w:cs="Courier New" w:eastAsia="Courier New" w:hAnsi="Courier New"/>
                <w:sz w:val="16"/>
                <w:szCs w:val="16"/>
                <w:color w:val="auto"/>
              </w:rPr>
              <w:t>Current maturities of capitalized lease obligations</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324,187</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324,187</w:t>
            </w:r>
          </w:p>
        </w:tc>
      </w:tr>
      <w:tr>
        <w:trPr>
          <w:trHeight w:val="182"/>
        </w:trPr>
        <w:tc>
          <w:tcPr>
            <w:tcW w:w="5580" w:type="dxa"/>
            <w:vAlign w:val="bottom"/>
          </w:tcPr>
          <w:p>
            <w:pPr>
              <w:spacing w:after="0"/>
              <w:rPr>
                <w:sz w:val="15"/>
                <w:szCs w:val="15"/>
                <w:color w:val="auto"/>
              </w:rPr>
            </w:pPr>
          </w:p>
        </w:tc>
        <w:tc>
          <w:tcPr>
            <w:tcW w:w="226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8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Total current liabilities</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3,860,550</w:t>
            </w:r>
          </w:p>
        </w:tc>
        <w:tc>
          <w:tcPr>
            <w:tcW w:w="38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(300,000)</w:t>
            </w: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3,580,550</w:t>
            </w:r>
          </w:p>
        </w:tc>
      </w:tr>
      <w:tr>
        <w:trPr>
          <w:trHeight w:val="364"/>
        </w:trPr>
        <w:tc>
          <w:tcPr>
            <w:tcW w:w="5580" w:type="dxa"/>
            <w:vAlign w:val="bottom"/>
          </w:tcPr>
          <w:p>
            <w:pPr>
              <w:spacing w:after="0"/>
              <w:rPr>
                <w:sz w:val="20"/>
                <w:szCs w:val="20"/>
                <w:color w:val="auto"/>
              </w:rPr>
            </w:pPr>
            <w:r>
              <w:rPr>
                <w:rFonts w:ascii="Courier New" w:cs="Courier New" w:eastAsia="Courier New" w:hAnsi="Courier New"/>
                <w:sz w:val="16"/>
                <w:szCs w:val="16"/>
                <w:color w:val="auto"/>
              </w:rPr>
              <w:t>Capitalized lease obligations, less current maturities</w:t>
            </w:r>
          </w:p>
        </w:tc>
        <w:tc>
          <w:tcPr>
            <w:tcW w:w="660" w:type="dxa"/>
            <w:vAlign w:val="bottom"/>
          </w:tcPr>
          <w:p>
            <w:pPr>
              <w:spacing w:after="0"/>
              <w:rPr>
                <w:sz w:val="24"/>
                <w:szCs w:val="24"/>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2,937,083</w:t>
            </w: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2,937,083</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Deposits</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26,000</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26,000</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Deferred Rent</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502,353</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502,353</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Redeemable common stock, $.01 par value;</w:t>
            </w: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2"/>
        </w:trPr>
        <w:tc>
          <w:tcPr>
            <w:tcW w:w="5580" w:type="dxa"/>
            <w:vAlign w:val="bottom"/>
          </w:tcPr>
          <w:p>
            <w:pPr>
              <w:ind w:left="100"/>
              <w:spacing w:after="0"/>
              <w:rPr>
                <w:sz w:val="20"/>
                <w:szCs w:val="20"/>
                <w:color w:val="auto"/>
              </w:rPr>
            </w:pPr>
            <w:r>
              <w:rPr>
                <w:rFonts w:ascii="Courier New" w:cs="Courier New" w:eastAsia="Courier New" w:hAnsi="Courier New"/>
                <w:sz w:val="16"/>
                <w:szCs w:val="16"/>
                <w:color w:val="auto"/>
              </w:rPr>
              <w:t>524,337 shares issued and outstanding</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5,248,610</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5,248,610</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2"/>
        </w:trPr>
        <w:tc>
          <w:tcPr>
            <w:tcW w:w="5580" w:type="dxa"/>
            <w:vAlign w:val="bottom"/>
          </w:tcPr>
          <w:p>
            <w:pPr>
              <w:ind w:left="100"/>
              <w:spacing w:after="0"/>
              <w:rPr>
                <w:sz w:val="20"/>
                <w:szCs w:val="20"/>
                <w:color w:val="auto"/>
              </w:rPr>
            </w:pPr>
            <w:r>
              <w:rPr>
                <w:rFonts w:ascii="Courier New" w:cs="Courier New" w:eastAsia="Courier New" w:hAnsi="Courier New"/>
                <w:sz w:val="16"/>
                <w:szCs w:val="16"/>
                <w:color w:val="auto"/>
              </w:rPr>
              <w:t>Convertible preferred stock, $.01 par value; 1,000,000</w:t>
            </w: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2"/>
        </w:trPr>
        <w:tc>
          <w:tcPr>
            <w:tcW w:w="5580" w:type="dxa"/>
            <w:vAlign w:val="bottom"/>
          </w:tcPr>
          <w:p>
            <w:pPr>
              <w:ind w:left="180"/>
              <w:spacing w:after="0"/>
              <w:rPr>
                <w:sz w:val="20"/>
                <w:szCs w:val="20"/>
                <w:color w:val="auto"/>
              </w:rPr>
            </w:pPr>
            <w:r>
              <w:rPr>
                <w:rFonts w:ascii="Courier New" w:cs="Courier New" w:eastAsia="Courier New" w:hAnsi="Courier New"/>
                <w:sz w:val="16"/>
                <w:szCs w:val="16"/>
                <w:color w:val="auto"/>
              </w:rPr>
              <w:t>shares authorized; no shares issued and outstanding</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ind w:left="100"/>
              <w:spacing w:after="0"/>
              <w:rPr>
                <w:sz w:val="20"/>
                <w:szCs w:val="20"/>
                <w:color w:val="auto"/>
              </w:rPr>
            </w:pPr>
            <w:r>
              <w:rPr>
                <w:rFonts w:ascii="Courier New" w:cs="Courier New" w:eastAsia="Courier New" w:hAnsi="Courier New"/>
                <w:sz w:val="16"/>
                <w:szCs w:val="16"/>
                <w:color w:val="auto"/>
              </w:rPr>
              <w:t>Common stock, $.01 par value; 45,000,000 shares</w:t>
            </w: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2"/>
        </w:trPr>
        <w:tc>
          <w:tcPr>
            <w:tcW w:w="5580" w:type="dxa"/>
            <w:vAlign w:val="bottom"/>
          </w:tcPr>
          <w:p>
            <w:pPr>
              <w:ind w:left="180"/>
              <w:spacing w:after="0"/>
              <w:rPr>
                <w:sz w:val="20"/>
                <w:szCs w:val="20"/>
                <w:color w:val="auto"/>
              </w:rPr>
            </w:pPr>
            <w:r>
              <w:rPr>
                <w:rFonts w:ascii="Courier New" w:cs="Courier New" w:eastAsia="Courier New" w:hAnsi="Courier New"/>
                <w:sz w:val="16"/>
                <w:szCs w:val="16"/>
                <w:color w:val="auto"/>
              </w:rPr>
              <w:t>authorized; 18,635,565 shares issued and outstanding</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186,355</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186,355</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Additional paid-in capital</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123,917,758</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123,917,758</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Accumulated deficit</w:t>
            </w:r>
          </w:p>
        </w:tc>
        <w:tc>
          <w:tcPr>
            <w:tcW w:w="660" w:type="dxa"/>
            <w:vAlign w:val="bottom"/>
          </w:tcPr>
          <w:p>
            <w:pPr>
              <w:spacing w:after="0"/>
              <w:rPr>
                <w:sz w:val="15"/>
                <w:szCs w:val="15"/>
                <w:color w:val="auto"/>
              </w:rPr>
            </w:pP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6"/>
              </w:rPr>
              <w:t>(119,372,710)</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(119,372,710)</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Unrealized losses on marketable securities</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15"/>
                <w:szCs w:val="15"/>
                <w:color w:val="auto"/>
              </w:rPr>
            </w:pPr>
          </w:p>
        </w:tc>
        <w:tc>
          <w:tcPr>
            <w:tcW w:w="226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8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Accumulated other comprehensive loss</w:t>
            </w:r>
          </w:p>
        </w:tc>
        <w:tc>
          <w:tcPr>
            <w:tcW w:w="660" w:type="dxa"/>
            <w:vAlign w:val="bottom"/>
          </w:tcPr>
          <w:p>
            <w:pPr>
              <w:spacing w:after="0"/>
              <w:rPr>
                <w:sz w:val="15"/>
                <w:szCs w:val="15"/>
                <w:color w:val="auto"/>
              </w:rPr>
            </w:pP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6"/>
              </w:rPr>
              <w:t>(119,372,710)</w:t>
            </w:r>
          </w:p>
        </w:tc>
        <w:tc>
          <w:tcPr>
            <w:tcW w:w="380" w:type="dxa"/>
            <w:vAlign w:val="bottom"/>
          </w:tcPr>
          <w:p>
            <w:pPr>
              <w:spacing w:after="0"/>
              <w:rPr>
                <w:sz w:val="15"/>
                <w:szCs w:val="15"/>
                <w:color w:val="auto"/>
              </w:rPr>
            </w:pP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(119,372,710)</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Deferred compensation</w:t>
            </w:r>
          </w:p>
        </w:tc>
        <w:tc>
          <w:tcPr>
            <w:tcW w:w="660" w:type="dxa"/>
            <w:vAlign w:val="bottom"/>
          </w:tcPr>
          <w:p>
            <w:pPr>
              <w:spacing w:after="0"/>
              <w:rPr>
                <w:sz w:val="15"/>
                <w:szCs w:val="15"/>
                <w:color w:val="auto"/>
              </w:rPr>
            </w:pP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(1,225,000)</w:t>
            </w: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(1,225,000)</w:t>
            </w:r>
          </w:p>
        </w:tc>
      </w:tr>
      <w:tr>
        <w:trPr>
          <w:trHeight w:val="182"/>
        </w:trPr>
        <w:tc>
          <w:tcPr>
            <w:tcW w:w="5580" w:type="dxa"/>
            <w:vAlign w:val="bottom"/>
          </w:tcPr>
          <w:p>
            <w:pPr>
              <w:spacing w:after="0"/>
              <w:rPr>
                <w:sz w:val="15"/>
                <w:szCs w:val="15"/>
                <w:color w:val="auto"/>
              </w:rPr>
            </w:pPr>
          </w:p>
        </w:tc>
        <w:tc>
          <w:tcPr>
            <w:tcW w:w="226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8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Total stockholders' equity</w:t>
            </w:r>
          </w:p>
        </w:tc>
        <w:tc>
          <w:tcPr>
            <w:tcW w:w="660" w:type="dxa"/>
            <w:vAlign w:val="bottom"/>
          </w:tcPr>
          <w:p>
            <w:pPr>
              <w:spacing w:after="0"/>
              <w:rPr>
                <w:sz w:val="15"/>
                <w:szCs w:val="15"/>
                <w:color w:val="auto"/>
              </w:rPr>
            </w:pP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3,506,403</w:t>
            </w:r>
          </w:p>
        </w:tc>
        <w:tc>
          <w:tcPr>
            <w:tcW w:w="380" w:type="dxa"/>
            <w:vAlign w:val="bottom"/>
          </w:tcPr>
          <w:p>
            <w:pPr>
              <w:spacing w:after="0"/>
              <w:rPr>
                <w:sz w:val="15"/>
                <w:szCs w:val="15"/>
                <w:color w:val="auto"/>
              </w:rPr>
            </w:pP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3,506,403</w:t>
            </w:r>
          </w:p>
        </w:tc>
      </w:tr>
      <w:tr>
        <w:trPr>
          <w:trHeight w:val="182"/>
        </w:trPr>
        <w:tc>
          <w:tcPr>
            <w:tcW w:w="5580" w:type="dxa"/>
            <w:vAlign w:val="bottom"/>
          </w:tcPr>
          <w:p>
            <w:pPr>
              <w:spacing w:after="0"/>
              <w:rPr>
                <w:sz w:val="15"/>
                <w:szCs w:val="15"/>
                <w:color w:val="auto"/>
              </w:rPr>
            </w:pPr>
          </w:p>
        </w:tc>
        <w:tc>
          <w:tcPr>
            <w:tcW w:w="226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81"/>
              <w:spacing w:after="0"/>
              <w:rPr>
                <w:sz w:val="20"/>
                <w:szCs w:val="20"/>
                <w:color w:val="auto"/>
              </w:rPr>
            </w:pPr>
            <w:r>
              <w:rPr>
                <w:rFonts w:ascii="Courier New" w:cs="Courier New" w:eastAsia="Courier New" w:hAnsi="Courier New"/>
                <w:sz w:val="16"/>
                <w:szCs w:val="16"/>
                <w:color w:val="auto"/>
              </w:rPr>
              <w:t>-------------</w:t>
            </w:r>
          </w:p>
        </w:tc>
      </w:tr>
      <w:tr>
        <w:trPr>
          <w:trHeight w:val="364"/>
        </w:trPr>
        <w:tc>
          <w:tcPr>
            <w:tcW w:w="5580" w:type="dxa"/>
            <w:vAlign w:val="bottom"/>
          </w:tcPr>
          <w:p>
            <w:pPr>
              <w:spacing w:after="0"/>
              <w:rPr>
                <w:sz w:val="20"/>
                <w:szCs w:val="20"/>
                <w:color w:val="auto"/>
              </w:rPr>
            </w:pPr>
            <w:r>
              <w:rPr>
                <w:rFonts w:ascii="Courier New" w:cs="Courier New" w:eastAsia="Courier New" w:hAnsi="Courier New"/>
                <w:sz w:val="16"/>
                <w:szCs w:val="16"/>
                <w:color w:val="auto"/>
              </w:rPr>
              <w:t>Total liabilities and stockholders' equity</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16,080,999</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(300,000)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15,780,999</w:t>
            </w:r>
          </w:p>
        </w:tc>
      </w:tr>
      <w:tr>
        <w:trPr>
          <w:trHeight w:val="182"/>
        </w:trPr>
        <w:tc>
          <w:tcPr>
            <w:tcW w:w="5580" w:type="dxa"/>
            <w:vAlign w:val="bottom"/>
          </w:tcPr>
          <w:p>
            <w:pPr>
              <w:spacing w:after="0"/>
              <w:rPr>
                <w:sz w:val="15"/>
                <w:szCs w:val="15"/>
                <w:color w:val="auto"/>
              </w:rPr>
            </w:pPr>
          </w:p>
        </w:tc>
        <w:tc>
          <w:tcPr>
            <w:tcW w:w="226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8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15"/>
                <w:szCs w:val="15"/>
                <w:color w:val="auto"/>
              </w:rPr>
            </w:pPr>
          </w:p>
        </w:tc>
        <w:tc>
          <w:tcPr>
            <w:tcW w:w="226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8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4 of 6</w:t>
      </w:r>
    </w:p>
    <w:p>
      <w:pPr>
        <w:sectPr>
          <w:pgSz w:w="11900" w:h="16838" w:orient="portrait"/>
          <w:cols w:equalWidth="0" w:num="1">
            <w:col w:w="11520"/>
          </w:cols>
          <w:pgMar w:left="240" w:top="659" w:right="139" w:bottom="1440" w:gutter="0" w:footer="0" w:header="0"/>
        </w:sectPr>
      </w:pPr>
    </w:p>
    <w:bookmarkStart w:id="4" w:name="page5"/>
    <w:bookmarkEnd w:id="4"/>
    <w:p>
      <w:pPr>
        <w:ind w:left="3"/>
        <w:spacing w:after="0"/>
        <w:rPr>
          <w:sz w:val="20"/>
          <w:szCs w:val="20"/>
          <w:color w:val="auto"/>
        </w:rPr>
      </w:pPr>
      <w:r>
        <w:rPr>
          <w:rFonts w:ascii="Courier New" w:cs="Courier New" w:eastAsia="Courier New" w:hAnsi="Courier New"/>
          <w:sz w:val="16"/>
          <w:szCs w:val="16"/>
          <w:color w:val="auto"/>
        </w:rPr>
        <w:t>NOTES TO PRO FORMA CONSOLIDATED STATEMENT OF OPERATIONS AND BALANCE SHEET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 A-Pro Forma Adjustments</w:t>
      </w:r>
    </w:p>
    <w:p>
      <w:pPr>
        <w:spacing w:after="0" w:line="186" w:lineRule="exact"/>
        <w:rPr>
          <w:sz w:val="20"/>
          <w:szCs w:val="20"/>
          <w:color w:val="auto"/>
        </w:rPr>
      </w:pPr>
    </w:p>
    <w:p>
      <w:pPr>
        <w:ind w:left="383" w:right="3879" w:hanging="383"/>
        <w:spacing w:after="0" w:line="237" w:lineRule="auto"/>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eliminate of Encapsulated Cell Therapy collaborative revenue arrangements.</w:t>
      </w:r>
    </w:p>
    <w:p>
      <w:pPr>
        <w:spacing w:after="0" w:line="5" w:lineRule="exact"/>
        <w:rPr>
          <w:rFonts w:ascii="Courier New" w:cs="Courier New" w:eastAsia="Courier New" w:hAnsi="Courier New"/>
          <w:sz w:val="16"/>
          <w:szCs w:val="16"/>
          <w:color w:val="auto"/>
        </w:rPr>
      </w:pPr>
    </w:p>
    <w:p>
      <w:pPr>
        <w:ind w:left="383" w:right="3219" w:hanging="383"/>
        <w:spacing w:after="0" w:line="237" w:lineRule="auto"/>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eliminate research and development expenses directly related to the Encapsulated Cell Therapy activities.</w:t>
      </w:r>
    </w:p>
    <w:p>
      <w:pPr>
        <w:spacing w:after="0" w:line="5" w:lineRule="exact"/>
        <w:rPr>
          <w:rFonts w:ascii="Courier New" w:cs="Courier New" w:eastAsia="Courier New" w:hAnsi="Courier New"/>
          <w:sz w:val="16"/>
          <w:szCs w:val="16"/>
          <w:color w:val="auto"/>
        </w:rPr>
      </w:pPr>
    </w:p>
    <w:p>
      <w:pPr>
        <w:ind w:left="383" w:right="2759" w:hanging="383"/>
        <w:spacing w:after="0" w:line="256" w:lineRule="auto"/>
        <w:tabs>
          <w:tab w:leader="none" w:pos="38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general and administrative costs related to Encapsulated Cell Therapy based on historical allocations and assumptions made by management.</w:t>
      </w:r>
    </w:p>
    <w:p>
      <w:pPr>
        <w:spacing w:after="0" w:line="1" w:lineRule="exact"/>
        <w:rPr>
          <w:rFonts w:ascii="Courier New" w:cs="Courier New" w:eastAsia="Courier New" w:hAnsi="Courier New"/>
          <w:sz w:val="15"/>
          <w:szCs w:val="15"/>
          <w:color w:val="auto"/>
        </w:rPr>
      </w:pPr>
    </w:p>
    <w:p>
      <w:pPr>
        <w:ind w:left="383" w:right="2659" w:hanging="383"/>
        <w:spacing w:after="0" w:line="239" w:lineRule="auto"/>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eliminate Encapsulated Cell Therapy wind-down and corporate relocation expenses, including Rhode Island facility carrying costs, employee severance arrangements and settlement of a 1989 funding arrangement with the Rhode Island Partnership for Science and Technology.</w:t>
      </w:r>
    </w:p>
    <w:p>
      <w:pPr>
        <w:spacing w:after="0" w:line="5" w:lineRule="exact"/>
        <w:rPr>
          <w:rFonts w:ascii="Courier New" w:cs="Courier New" w:eastAsia="Courier New" w:hAnsi="Courier New"/>
          <w:sz w:val="16"/>
          <w:szCs w:val="16"/>
          <w:color w:val="auto"/>
        </w:rPr>
      </w:pPr>
    </w:p>
    <w:p>
      <w:pPr>
        <w:ind w:left="383" w:right="3039" w:hanging="383"/>
        <w:spacing w:after="0" w:line="237" w:lineRule="auto"/>
        <w:tabs>
          <w:tab w:leader="none" w:pos="3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reclassify the net book value of the Rhode Island property, plant and equipment.</w:t>
      </w:r>
    </w:p>
    <w:p>
      <w:pPr>
        <w:spacing w:after="0" w:line="366" w:lineRule="exact"/>
        <w:rPr>
          <w:sz w:val="20"/>
          <w:szCs w:val="20"/>
          <w:color w:val="auto"/>
        </w:rPr>
      </w:pPr>
    </w:p>
    <w:p>
      <w:pPr>
        <w:ind w:left="3223"/>
        <w:spacing w:after="0"/>
        <w:rPr>
          <w:sz w:val="20"/>
          <w:szCs w:val="20"/>
          <w:color w:val="auto"/>
        </w:rPr>
      </w:pPr>
      <w:r>
        <w:rPr>
          <w:rFonts w:ascii="Courier New" w:cs="Courier New" w:eastAsia="Courier New" w:hAnsi="Courier New"/>
          <w:sz w:val="16"/>
          <w:szCs w:val="16"/>
          <w:color w:val="auto"/>
        </w:rPr>
        <w:t>Page 5 of 6</w:t>
      </w:r>
    </w:p>
    <w:p>
      <w:pPr>
        <w:sectPr>
          <w:pgSz w:w="11900" w:h="16838" w:orient="portrait"/>
          <w:cols w:equalWidth="0" w:num="1">
            <w:col w:w="10222"/>
          </w:cols>
          <w:pgMar w:left="237" w:top="841" w:right="1440" w:bottom="1440" w:gutter="0" w:footer="0" w:header="0"/>
        </w:sectPr>
      </w:pPr>
    </w:p>
    <w:bookmarkStart w:id="5" w:name="page6"/>
    <w:bookmarkEnd w:id="5"/>
    <w:p>
      <w:pPr>
        <w:jc w:val="center"/>
        <w:ind w:right="2659"/>
        <w:spacing w:after="0"/>
        <w:rPr>
          <w:sz w:val="20"/>
          <w:szCs w:val="20"/>
          <w:color w:val="auto"/>
        </w:rPr>
      </w:pPr>
      <w:r>
        <w:rPr>
          <w:rFonts w:ascii="Courier New" w:cs="Courier New" w:eastAsia="Courier New" w:hAnsi="Courier New"/>
          <w:sz w:val="16"/>
          <w:szCs w:val="16"/>
          <w:color w:val="auto"/>
        </w:rPr>
        <w:t>SIGNATURES</w:t>
      </w:r>
    </w:p>
    <w:p>
      <w:pPr>
        <w:spacing w:after="0" w:line="186" w:lineRule="exact"/>
        <w:rPr>
          <w:sz w:val="20"/>
          <w:szCs w:val="20"/>
          <w:color w:val="auto"/>
        </w:rPr>
      </w:pPr>
    </w:p>
    <w:p>
      <w:pPr>
        <w:ind w:right="3039" w:firstLine="378"/>
        <w:spacing w:after="0" w:line="238"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366"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STEMCELLS, INC.</w:t>
      </w:r>
    </w:p>
    <w:p>
      <w:pPr>
        <w:spacing w:after="0" w:line="364"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By /s/ George W. Dunbar, Jr.</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Title: Acting President and</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Chief Executive Officer</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8, 2000</w:t>
      </w:r>
    </w:p>
    <w:p>
      <w:pPr>
        <w:spacing w:after="0" w:line="364"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Page 6 of 6</w:t>
      </w:r>
    </w:p>
    <w:sectPr>
      <w:pgSz w:w="11900" w:h="16838" w:orient="portrait"/>
      <w:cols w:equalWidth="0" w:num="1">
        <w:col w:w="10219"/>
      </w:cols>
      <w:pgMar w:left="240" w:top="8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2019-12-13T21:01:00Z</dcterms:created>
  <dcterms:modified xsi:type="dcterms:W3CDTF">2019-12-13T21:01:00Z</dcterms:modified>
</cp:coreProperties>
</file>