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6580" w:type="dxa"/>
            <w:vAlign w:val="bottom"/>
            <w:vMerge w:val="restart"/>
          </w:tcPr>
          <w:p>
            <w:pPr>
              <w:jc w:val="center"/>
              <w:ind w:right="156"/>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
        </w:trPr>
        <w:tc>
          <w:tcPr>
            <w:tcW w:w="6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36"/>
        </w:trPr>
        <w:tc>
          <w:tcPr>
            <w:tcW w:w="6580" w:type="dxa"/>
            <w:vAlign w:val="bottom"/>
          </w:tcPr>
          <w:p>
            <w:pPr>
              <w:jc w:val="center"/>
              <w:ind w:right="156"/>
              <w:spacing w:after="0" w:line="136"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restart"/>
          </w:tcPr>
          <w:p>
            <w:pPr>
              <w:jc w:val="center"/>
              <w:ind w:right="156"/>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2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5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46"/>
        </w:trPr>
        <w:tc>
          <w:tcPr>
            <w:tcW w:w="6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80" w:type="dxa"/>
            <w:vAlign w:val="bottom"/>
            <w:vMerge w:val="restart"/>
          </w:tcPr>
          <w:p>
            <w:pPr>
              <w:jc w:val="center"/>
              <w:ind w:right="156"/>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2"/>
                <w:szCs w:val="12"/>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5"/>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6580" w:type="dxa"/>
            <w:vAlign w:val="bottom"/>
            <w:vMerge w:val="restart"/>
          </w:tcPr>
          <w:p>
            <w:pPr>
              <w:jc w:val="center"/>
              <w:ind w:right="156"/>
              <w:spacing w:after="0"/>
              <w:rPr>
                <w:sz w:val="20"/>
                <w:szCs w:val="20"/>
                <w:color w:val="auto"/>
              </w:rPr>
            </w:pPr>
            <w:r>
              <w:rPr>
                <w:rFonts w:ascii="Arial" w:cs="Arial" w:eastAsia="Arial" w:hAnsi="Arial"/>
                <w:sz w:val="14"/>
                <w:szCs w:val="14"/>
                <w:color w:val="auto"/>
                <w:w w:val="96"/>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response:</w:t>
            </w: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-946785</wp:posOffset>
            </wp:positionV>
            <wp:extent cx="7322820" cy="5616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2820" cy="561657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0">
        <w:r>
          <w:rPr>
            <w:rFonts w:ascii="Arial" w:cs="Arial" w:eastAsia="Arial" w:hAnsi="Arial"/>
            <w:sz w:val="22"/>
            <w:szCs w:val="22"/>
            <w:u w:val="single" w:color="auto"/>
            <w:color w:val="0000EE"/>
          </w:rPr>
          <w:t>PERLMUTTER ROGER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1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06/30/2003</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1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800" w:type="dxa"/>
            <w:vAlign w:val="bottom"/>
            <w:gridSpan w:val="8"/>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2"/>
          </w:tcPr>
          <w:p>
            <w:pPr>
              <w:jc w:val="center"/>
              <w:ind w:left="49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300"/>
              <w:spacing w:after="0"/>
              <w:rPr>
                <w:sz w:val="20"/>
                <w:szCs w:val="20"/>
                <w:color w:val="auto"/>
              </w:rPr>
            </w:pPr>
            <w:r>
              <w:rPr>
                <w:rFonts w:ascii="Arial" w:cs="Arial" w:eastAsia="Arial" w:hAnsi="Arial"/>
                <w:sz w:val="14"/>
                <w:szCs w:val="14"/>
                <w:color w:val="0000FF"/>
              </w:rPr>
              <w:t>0.25</w:t>
            </w:r>
          </w:p>
        </w:tc>
        <w:tc>
          <w:tcPr>
            <w:tcW w:w="1080" w:type="dxa"/>
            <w:vAlign w:val="bottom"/>
            <w:vMerge w:val="restart"/>
          </w:tcPr>
          <w:p>
            <w:pPr>
              <w:jc w:val="right"/>
              <w:ind w:right="129"/>
              <w:spacing w:after="0"/>
              <w:rPr>
                <w:sz w:val="20"/>
                <w:szCs w:val="20"/>
                <w:color w:val="auto"/>
              </w:rPr>
            </w:pPr>
            <w:r>
              <w:rPr>
                <w:rFonts w:ascii="Arial" w:cs="Arial" w:eastAsia="Arial" w:hAnsi="Arial"/>
                <w:sz w:val="14"/>
                <w:szCs w:val="14"/>
                <w:color w:val="0000FF"/>
              </w:rPr>
              <w:t>06/30/2003</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ind w:left="20"/>
              <w:spacing w:after="0" w:line="308" w:lineRule="exact"/>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3,546</w:t>
            </w:r>
          </w:p>
        </w:tc>
        <w:tc>
          <w:tcPr>
            <w:tcW w:w="3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0000FF"/>
              </w:rPr>
              <w:t>06/30/2003</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0000FF"/>
                <w:w w:val="96"/>
              </w:rPr>
              <w:t>06/30/2013</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3,546</w:t>
            </w:r>
          </w:p>
        </w:tc>
        <w:tc>
          <w:tcPr>
            <w:tcW w:w="40" w:type="dxa"/>
            <w:vAlign w:val="bottom"/>
          </w:tcPr>
          <w:p>
            <w:pPr>
              <w:spacing w:after="0"/>
              <w:rPr>
                <w:sz w:val="12"/>
                <w:szCs w:val="12"/>
                <w:color w:val="auto"/>
              </w:rPr>
            </w:pPr>
          </w:p>
        </w:tc>
        <w:tc>
          <w:tcPr>
            <w:tcW w:w="740" w:type="dxa"/>
            <w:vAlign w:val="bottom"/>
            <w:gridSpan w:val="2"/>
            <w:vMerge w:val="restart"/>
          </w:tcPr>
          <w:p>
            <w:pPr>
              <w:ind w:left="160"/>
              <w:spacing w:after="0" w:line="308" w:lineRule="exact"/>
              <w:rPr>
                <w:sz w:val="20"/>
                <w:szCs w:val="20"/>
                <w:color w:val="auto"/>
              </w:rPr>
            </w:pPr>
            <w:r>
              <w:rPr>
                <w:rFonts w:ascii="Arial" w:cs="Arial" w:eastAsia="Arial" w:hAnsi="Arial"/>
                <w:sz w:val="22"/>
                <w:szCs w:val="22"/>
                <w:color w:val="auto"/>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40" w:type="dxa"/>
            <w:vAlign w:val="bottom"/>
            <w:vMerge w:val="restart"/>
          </w:tcPr>
          <w:p>
            <w:pPr>
              <w:ind w:left="220"/>
              <w:spacing w:after="0"/>
              <w:rPr>
                <w:sz w:val="20"/>
                <w:szCs w:val="20"/>
                <w:color w:val="auto"/>
              </w:rPr>
            </w:pPr>
            <w:r>
              <w:rPr>
                <w:rFonts w:ascii="Arial" w:cs="Arial" w:eastAsia="Arial" w:hAnsi="Arial"/>
                <w:sz w:val="22"/>
                <w:szCs w:val="22"/>
                <w:color w:val="auto"/>
                <w:w w:val="89"/>
              </w:rPr>
              <w:t>$</w:t>
            </w:r>
            <w:r>
              <w:rPr>
                <w:rFonts w:ascii="Arial" w:cs="Arial" w:eastAsia="Arial" w:hAnsi="Arial"/>
                <w:sz w:val="13"/>
                <w:szCs w:val="13"/>
                <w:color w:val="0000FF"/>
                <w:w w:val="89"/>
              </w:rPr>
              <w:t>3,546</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Compensation for service on the Board of Directors and for attendance at Board meetings. Non-employee directors receive compensation in the form of options to purchase shares of the Company's common stock at below market prices ($0.25 per share), in lieu of cash payments of $4,500 quarterly, $1,500 per meeting attended in person or videoconference, and $500 for a meeting attended by telephone. The number of shares is calculated using the closing price of the Company's common stock for the date of a Board or Committee meeting or, with respect to the quarterly retainer payments, the closing price for the last business day of the quarter, less the option price of $0.25 per share. Options so issued vest immediately.</w:t>
      </w:r>
    </w:p>
    <w:p>
      <w:pPr>
        <w:spacing w:after="0" w:line="1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w w:val="97"/>
              </w:rPr>
              <w:t>Roger M. Perlmutter by Iris</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07/01/2003</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Brest, Attorney-in-Fact</w:t>
            </w:r>
          </w:p>
        </w:tc>
        <w:tc>
          <w:tcPr>
            <w:tcW w:w="1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6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w:t>
      </w:r>
    </w:p>
    <w:p>
      <w:pPr>
        <w:spacing w:after="0" w:line="4"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hereby constitutes and appoints each of Iris Brest, George Koshy, and Martin McGlynn, signing singly, the undersigned's true and lawful attorney-in-fact 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execute for and on behalf of the undersigned,</w:t>
      </w:r>
    </w:p>
    <w:p>
      <w:pPr>
        <w:spacing w:after="0" w:line="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in the undersigned's capacity as an officer and/or director of StemCells, Inc. (the "Company"), Forms 3, 4, and 5 in accordance with Section 16(a) of the Securities Exchange Act of 1934 and the rules thereunder;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do and</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take any</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hereby</w:t>
      </w:r>
    </w:p>
    <w:p>
      <w:pPr>
        <w:spacing w:after="0" w:line="4"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w:t>
      </w:r>
    </w:p>
    <w:p>
      <w:pPr>
        <w:spacing w:after="0" w:line="4"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right="2619"/>
        <w:spacing w:after="0"/>
        <w:rPr>
          <w:sz w:val="20"/>
          <w:szCs w:val="20"/>
          <w:color w:val="auto"/>
        </w:rPr>
      </w:pPr>
      <w:r>
        <w:rPr>
          <w:rFonts w:ascii="Courier New" w:cs="Courier New" w:eastAsia="Courier New" w:hAnsi="Courier New"/>
          <w:sz w:val="18"/>
          <w:szCs w:val="18"/>
          <w:color w:val="auto"/>
        </w:rPr>
        <w:t>WITNESS WHEREOF, the undersigned has caused this Power of Attorney to be executed as of this 7th day of March, 2001.</w:t>
      </w:r>
    </w:p>
    <w:p>
      <w:pPr>
        <w:spacing w:after="0" w:line="39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_______________________________________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___________Roger</w:t>
      </w:r>
    </w:p>
    <w:p>
      <w:pPr>
        <w:ind w:left="320" w:hanging="312"/>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Perlmutter_________</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upperLetter"/>
      <w:start w:val="1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www.sec.gov/cgi-bin/browse-edgar?action=getcompany&amp;CIK=0001184228" TargetMode="External"/><Relationship Id="rId11"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2019-12-24T00:24:31Z</dcterms:created>
  <dcterms:modified xsi:type="dcterms:W3CDTF">2019-12-24T00:24:31Z</dcterms:modified>
</cp:coreProperties>
</file>