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8"/>
          <w:szCs w:val="18"/>
          <w:color w:val="auto"/>
        </w:rPr>
        <w:t>1</w:t>
      </w:r>
    </w:p>
    <w:p>
      <w:pPr>
        <w:spacing w:after="0" w:line="201"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As filed with the Commission on August 23, 1996 File No. 333-_____</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6020" w:type="dxa"/>
            <w:vAlign w:val="bottom"/>
          </w:tcPr>
          <w:p>
            <w:pPr>
              <w:jc w:val="center"/>
              <w:ind w:left="2432"/>
              <w:spacing w:after="0"/>
              <w:rPr>
                <w:sz w:val="20"/>
                <w:szCs w:val="20"/>
                <w:color w:val="auto"/>
              </w:rPr>
            </w:pPr>
            <w:r>
              <w:rPr>
                <w:rFonts w:ascii="Courier New" w:cs="Courier New" w:eastAsia="Courier New" w:hAnsi="Courier New"/>
                <w:sz w:val="18"/>
                <w:szCs w:val="18"/>
                <w:color w:val="auto"/>
                <w:w w:val="97"/>
              </w:rPr>
              <w:t>FORM S-8 REGISTRATION STATEMENT</w:t>
            </w:r>
          </w:p>
        </w:tc>
        <w:tc>
          <w:tcPr>
            <w:tcW w:w="2320" w:type="dxa"/>
            <w:vAlign w:val="bottom"/>
          </w:tcPr>
          <w:p>
            <w:pPr>
              <w:spacing w:after="0"/>
              <w:rPr>
                <w:sz w:val="17"/>
                <w:szCs w:val="17"/>
                <w:color w:val="auto"/>
              </w:rPr>
            </w:pPr>
          </w:p>
        </w:tc>
      </w:tr>
      <w:tr>
        <w:trPr>
          <w:trHeight w:val="203"/>
        </w:trPr>
        <w:tc>
          <w:tcPr>
            <w:tcW w:w="6020" w:type="dxa"/>
            <w:vAlign w:val="bottom"/>
          </w:tcPr>
          <w:p>
            <w:pPr>
              <w:jc w:val="center"/>
              <w:ind w:left="2332"/>
              <w:spacing w:after="0" w:line="203" w:lineRule="exact"/>
              <w:rPr>
                <w:sz w:val="20"/>
                <w:szCs w:val="20"/>
                <w:color w:val="auto"/>
              </w:rPr>
            </w:pPr>
            <w:r>
              <w:rPr>
                <w:rFonts w:ascii="Courier New" w:cs="Courier New" w:eastAsia="Courier New" w:hAnsi="Courier New"/>
                <w:sz w:val="18"/>
                <w:szCs w:val="18"/>
                <w:color w:val="auto"/>
                <w:w w:val="97"/>
              </w:rPr>
              <w:t>UNDER THE SECURITIES ACT OF 1933</w:t>
            </w:r>
          </w:p>
        </w:tc>
        <w:tc>
          <w:tcPr>
            <w:tcW w:w="2320" w:type="dxa"/>
            <w:vAlign w:val="bottom"/>
          </w:tcPr>
          <w:p>
            <w:pPr>
              <w:spacing w:after="0"/>
              <w:rPr>
                <w:sz w:val="17"/>
                <w:szCs w:val="17"/>
                <w:color w:val="auto"/>
              </w:rPr>
            </w:pPr>
          </w:p>
        </w:tc>
      </w:tr>
      <w:tr>
        <w:trPr>
          <w:trHeight w:val="405"/>
        </w:trPr>
        <w:tc>
          <w:tcPr>
            <w:tcW w:w="6020" w:type="dxa"/>
            <w:vAlign w:val="bottom"/>
          </w:tcPr>
          <w:p>
            <w:pPr>
              <w:jc w:val="center"/>
              <w:ind w:left="2332"/>
              <w:spacing w:after="0"/>
              <w:rPr>
                <w:sz w:val="20"/>
                <w:szCs w:val="20"/>
                <w:color w:val="auto"/>
              </w:rPr>
            </w:pPr>
            <w:r>
              <w:rPr>
                <w:rFonts w:ascii="Courier New" w:cs="Courier New" w:eastAsia="Courier New" w:hAnsi="Courier New"/>
                <w:sz w:val="18"/>
                <w:szCs w:val="18"/>
                <w:color w:val="auto"/>
                <w:w w:val="96"/>
              </w:rPr>
              <w:t>----------</w:t>
            </w:r>
          </w:p>
        </w:tc>
        <w:tc>
          <w:tcPr>
            <w:tcW w:w="2320" w:type="dxa"/>
            <w:vAlign w:val="bottom"/>
          </w:tcPr>
          <w:p>
            <w:pPr>
              <w:spacing w:after="0"/>
              <w:rPr>
                <w:sz w:val="24"/>
                <w:szCs w:val="24"/>
                <w:color w:val="auto"/>
              </w:rPr>
            </w:pPr>
          </w:p>
        </w:tc>
      </w:tr>
      <w:tr>
        <w:trPr>
          <w:trHeight w:val="405"/>
        </w:trPr>
        <w:tc>
          <w:tcPr>
            <w:tcW w:w="6020" w:type="dxa"/>
            <w:vAlign w:val="bottom"/>
          </w:tcPr>
          <w:p>
            <w:pPr>
              <w:jc w:val="center"/>
              <w:ind w:left="2332"/>
              <w:spacing w:after="0"/>
              <w:rPr>
                <w:sz w:val="20"/>
                <w:szCs w:val="20"/>
                <w:color w:val="auto"/>
              </w:rPr>
            </w:pPr>
            <w:r>
              <w:rPr>
                <w:rFonts w:ascii="Courier New" w:cs="Courier New" w:eastAsia="Courier New" w:hAnsi="Courier New"/>
                <w:sz w:val="18"/>
                <w:szCs w:val="18"/>
                <w:color w:val="auto"/>
                <w:w w:val="97"/>
              </w:rPr>
              <w:t>CYTOTHERAPEUTICS, INC.</w:t>
            </w:r>
          </w:p>
        </w:tc>
        <w:tc>
          <w:tcPr>
            <w:tcW w:w="2320" w:type="dxa"/>
            <w:vAlign w:val="bottom"/>
          </w:tcPr>
          <w:p>
            <w:pPr>
              <w:spacing w:after="0"/>
              <w:rPr>
                <w:sz w:val="24"/>
                <w:szCs w:val="24"/>
                <w:color w:val="auto"/>
              </w:rPr>
            </w:pPr>
          </w:p>
        </w:tc>
      </w:tr>
      <w:tr>
        <w:trPr>
          <w:trHeight w:val="203"/>
        </w:trPr>
        <w:tc>
          <w:tcPr>
            <w:tcW w:w="8340" w:type="dxa"/>
            <w:vAlign w:val="bottom"/>
            <w:gridSpan w:val="2"/>
          </w:tcPr>
          <w:p>
            <w:pPr>
              <w:jc w:val="center"/>
              <w:ind w:left="12"/>
              <w:spacing w:after="0" w:line="203" w:lineRule="exact"/>
              <w:rPr>
                <w:sz w:val="20"/>
                <w:szCs w:val="20"/>
                <w:color w:val="auto"/>
              </w:rPr>
            </w:pPr>
            <w:r>
              <w:rPr>
                <w:rFonts w:ascii="Courier New" w:cs="Courier New" w:eastAsia="Courier New" w:hAnsi="Courier New"/>
                <w:sz w:val="18"/>
                <w:szCs w:val="18"/>
                <w:color w:val="auto"/>
                <w:w w:val="97"/>
              </w:rPr>
              <w:t>(Exact name of registrant as specified in its charter)</w:t>
            </w:r>
          </w:p>
        </w:tc>
      </w:tr>
      <w:tr>
        <w:trPr>
          <w:trHeight w:val="405"/>
        </w:trPr>
        <w:tc>
          <w:tcPr>
            <w:tcW w:w="6020" w:type="dxa"/>
            <w:vAlign w:val="bottom"/>
          </w:tcPr>
          <w:p>
            <w:pPr>
              <w:ind w:left="1060"/>
              <w:spacing w:after="0"/>
              <w:rPr>
                <w:sz w:val="20"/>
                <w:szCs w:val="20"/>
                <w:color w:val="auto"/>
              </w:rPr>
            </w:pPr>
            <w:r>
              <w:rPr>
                <w:rFonts w:ascii="Courier New" w:cs="Courier New" w:eastAsia="Courier New" w:hAnsi="Courier New"/>
                <w:sz w:val="18"/>
                <w:szCs w:val="18"/>
                <w:color w:val="auto"/>
              </w:rPr>
              <w:t>Delaware</w:t>
            </w:r>
          </w:p>
        </w:tc>
        <w:tc>
          <w:tcPr>
            <w:tcW w:w="2320" w:type="dxa"/>
            <w:vAlign w:val="bottom"/>
          </w:tcPr>
          <w:p>
            <w:pPr>
              <w:ind w:left="300"/>
              <w:spacing w:after="0"/>
              <w:rPr>
                <w:sz w:val="20"/>
                <w:szCs w:val="20"/>
                <w:color w:val="auto"/>
              </w:rPr>
            </w:pPr>
            <w:r>
              <w:rPr>
                <w:rFonts w:ascii="Courier New" w:cs="Courier New" w:eastAsia="Courier New" w:hAnsi="Courier New"/>
                <w:sz w:val="18"/>
                <w:szCs w:val="18"/>
                <w:color w:val="auto"/>
              </w:rPr>
              <w:t>94-3078125</w:t>
            </w:r>
          </w:p>
        </w:tc>
      </w:tr>
      <w:tr>
        <w:trPr>
          <w:trHeight w:val="203"/>
        </w:trPr>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232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(State or other jurisdiction of</w:t>
            </w:r>
          </w:p>
        </w:tc>
        <w:tc>
          <w:tcPr>
            <w:tcW w:w="2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(IRS Employer</w:t>
            </w:r>
          </w:p>
        </w:tc>
      </w:tr>
      <w:tr>
        <w:trPr>
          <w:trHeight w:val="203"/>
        </w:trPr>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incorporation or organization)</w:t>
            </w:r>
          </w:p>
        </w:tc>
        <w:tc>
          <w:tcPr>
            <w:tcW w:w="2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Identification No.)</w:t>
            </w:r>
          </w:p>
        </w:tc>
      </w:tr>
      <w:tr>
        <w:trPr>
          <w:trHeight w:val="608"/>
        </w:trPr>
        <w:tc>
          <w:tcPr>
            <w:tcW w:w="6020" w:type="dxa"/>
            <w:vAlign w:val="bottom"/>
          </w:tcPr>
          <w:p>
            <w:pPr>
              <w:jc w:val="center"/>
              <w:ind w:left="2452"/>
              <w:spacing w:after="0"/>
              <w:rPr>
                <w:sz w:val="20"/>
                <w:szCs w:val="20"/>
                <w:color w:val="auto"/>
              </w:rPr>
            </w:pPr>
            <w:r>
              <w:rPr>
                <w:rFonts w:ascii="Courier New" w:cs="Courier New" w:eastAsia="Courier New" w:hAnsi="Courier New"/>
                <w:sz w:val="18"/>
                <w:szCs w:val="18"/>
                <w:color w:val="auto"/>
                <w:w w:val="97"/>
              </w:rPr>
              <w:t>Two Richmond Square</w:t>
            </w:r>
          </w:p>
        </w:tc>
        <w:tc>
          <w:tcPr>
            <w:tcW w:w="2320" w:type="dxa"/>
            <w:vAlign w:val="bottom"/>
          </w:tcPr>
          <w:p>
            <w:pPr>
              <w:spacing w:after="0"/>
              <w:rPr>
                <w:sz w:val="24"/>
                <w:szCs w:val="24"/>
                <w:color w:val="auto"/>
              </w:rPr>
            </w:pPr>
          </w:p>
        </w:tc>
      </w:tr>
      <w:tr>
        <w:trPr>
          <w:trHeight w:val="203"/>
        </w:trPr>
        <w:tc>
          <w:tcPr>
            <w:tcW w:w="6020" w:type="dxa"/>
            <w:vAlign w:val="bottom"/>
          </w:tcPr>
          <w:p>
            <w:pPr>
              <w:jc w:val="center"/>
              <w:ind w:left="2332"/>
              <w:spacing w:after="0" w:line="203" w:lineRule="exact"/>
              <w:rPr>
                <w:sz w:val="20"/>
                <w:szCs w:val="20"/>
                <w:color w:val="auto"/>
              </w:rPr>
            </w:pPr>
            <w:r>
              <w:rPr>
                <w:rFonts w:ascii="Courier New" w:cs="Courier New" w:eastAsia="Courier New" w:hAnsi="Courier New"/>
                <w:sz w:val="18"/>
                <w:szCs w:val="18"/>
                <w:color w:val="auto"/>
                <w:w w:val="97"/>
              </w:rPr>
              <w:t>Providence, Rhode Island 02906</w:t>
            </w:r>
          </w:p>
        </w:tc>
        <w:tc>
          <w:tcPr>
            <w:tcW w:w="2320" w:type="dxa"/>
            <w:vAlign w:val="bottom"/>
          </w:tcPr>
          <w:p>
            <w:pPr>
              <w:spacing w:after="0"/>
              <w:rPr>
                <w:sz w:val="17"/>
                <w:szCs w:val="17"/>
                <w:color w:val="auto"/>
              </w:rPr>
            </w:pPr>
          </w:p>
        </w:tc>
      </w:tr>
      <w:tr>
        <w:trPr>
          <w:trHeight w:val="203"/>
        </w:trPr>
        <w:tc>
          <w:tcPr>
            <w:tcW w:w="8340" w:type="dxa"/>
            <w:vAlign w:val="bottom"/>
            <w:gridSpan w:val="2"/>
          </w:tcPr>
          <w:p>
            <w:pPr>
              <w:jc w:val="center"/>
              <w:ind w:left="12"/>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8340" w:type="dxa"/>
            <w:vAlign w:val="bottom"/>
            <w:gridSpan w:val="2"/>
          </w:tcPr>
          <w:p>
            <w:pPr>
              <w:jc w:val="center"/>
              <w:ind w:left="12"/>
              <w:spacing w:after="0" w:line="203" w:lineRule="exact"/>
              <w:rPr>
                <w:sz w:val="20"/>
                <w:szCs w:val="20"/>
                <w:color w:val="auto"/>
              </w:rPr>
            </w:pPr>
            <w:r>
              <w:rPr>
                <w:rFonts w:ascii="Courier New" w:cs="Courier New" w:eastAsia="Courier New" w:hAnsi="Courier New"/>
                <w:sz w:val="18"/>
                <w:szCs w:val="18"/>
                <w:color w:val="auto"/>
                <w:w w:val="97"/>
              </w:rPr>
              <w:t>(Address of principal executive offices, including zip code)</w:t>
            </w:r>
          </w:p>
        </w:tc>
      </w:tr>
      <w:tr>
        <w:trPr>
          <w:trHeight w:val="608"/>
        </w:trPr>
        <w:tc>
          <w:tcPr>
            <w:tcW w:w="6020" w:type="dxa"/>
            <w:vAlign w:val="bottom"/>
          </w:tcPr>
          <w:p>
            <w:pPr>
              <w:jc w:val="center"/>
              <w:ind w:left="2352"/>
              <w:spacing w:after="0"/>
              <w:rPr>
                <w:sz w:val="20"/>
                <w:szCs w:val="20"/>
                <w:color w:val="auto"/>
              </w:rPr>
            </w:pPr>
            <w:r>
              <w:rPr>
                <w:rFonts w:ascii="Courier New" w:cs="Courier New" w:eastAsia="Courier New" w:hAnsi="Courier New"/>
                <w:sz w:val="18"/>
                <w:szCs w:val="18"/>
                <w:color w:val="auto"/>
                <w:w w:val="97"/>
              </w:rPr>
              <w:t>1992 EQUITY INCENTIVE PLAN</w:t>
            </w:r>
          </w:p>
        </w:tc>
        <w:tc>
          <w:tcPr>
            <w:tcW w:w="2320" w:type="dxa"/>
            <w:vAlign w:val="bottom"/>
          </w:tcPr>
          <w:p>
            <w:pPr>
              <w:spacing w:after="0"/>
              <w:rPr>
                <w:sz w:val="24"/>
                <w:szCs w:val="24"/>
                <w:color w:val="auto"/>
              </w:rPr>
            </w:pPr>
          </w:p>
        </w:tc>
      </w:tr>
      <w:tr>
        <w:trPr>
          <w:trHeight w:val="203"/>
        </w:trPr>
        <w:tc>
          <w:tcPr>
            <w:tcW w:w="6020" w:type="dxa"/>
            <w:vAlign w:val="bottom"/>
          </w:tcPr>
          <w:p>
            <w:pPr>
              <w:jc w:val="center"/>
              <w:ind w:left="2332"/>
              <w:spacing w:after="0" w:line="203" w:lineRule="exact"/>
              <w:rPr>
                <w:sz w:val="20"/>
                <w:szCs w:val="20"/>
                <w:color w:val="auto"/>
              </w:rPr>
            </w:pPr>
            <w:r>
              <w:rPr>
                <w:rFonts w:ascii="Courier New" w:cs="Courier New" w:eastAsia="Courier New" w:hAnsi="Courier New"/>
                <w:sz w:val="18"/>
                <w:szCs w:val="18"/>
                <w:color w:val="auto"/>
                <w:w w:val="97"/>
              </w:rPr>
              <w:t>(Full title of the plan)</w:t>
            </w:r>
          </w:p>
        </w:tc>
        <w:tc>
          <w:tcPr>
            <w:tcW w:w="2320" w:type="dxa"/>
            <w:vAlign w:val="bottom"/>
          </w:tcPr>
          <w:p>
            <w:pPr>
              <w:spacing w:after="0"/>
              <w:rPr>
                <w:sz w:val="17"/>
                <w:szCs w:val="17"/>
                <w:color w:val="auto"/>
              </w:rPr>
            </w:pPr>
          </w:p>
        </w:tc>
      </w:tr>
      <w:tr>
        <w:trPr>
          <w:trHeight w:val="405"/>
        </w:trPr>
        <w:tc>
          <w:tcPr>
            <w:tcW w:w="6020" w:type="dxa"/>
            <w:vAlign w:val="bottom"/>
          </w:tcPr>
          <w:p>
            <w:pPr>
              <w:jc w:val="center"/>
              <w:ind w:left="2432"/>
              <w:spacing w:after="0"/>
              <w:rPr>
                <w:sz w:val="20"/>
                <w:szCs w:val="20"/>
                <w:color w:val="auto"/>
              </w:rPr>
            </w:pPr>
            <w:r>
              <w:rPr>
                <w:rFonts w:ascii="Courier New" w:cs="Courier New" w:eastAsia="Courier New" w:hAnsi="Courier New"/>
                <w:sz w:val="18"/>
                <w:szCs w:val="18"/>
                <w:color w:val="auto"/>
                <w:w w:val="97"/>
              </w:rPr>
              <w:t>Frederic A. Eustis, III, Esq.</w:t>
            </w:r>
          </w:p>
        </w:tc>
        <w:tc>
          <w:tcPr>
            <w:tcW w:w="2320" w:type="dxa"/>
            <w:vAlign w:val="bottom"/>
          </w:tcPr>
          <w:p>
            <w:pPr>
              <w:spacing w:after="0"/>
              <w:rPr>
                <w:sz w:val="24"/>
                <w:szCs w:val="24"/>
                <w:color w:val="auto"/>
              </w:rPr>
            </w:pPr>
          </w:p>
        </w:tc>
      </w:tr>
      <w:tr>
        <w:trPr>
          <w:trHeight w:val="203"/>
        </w:trPr>
        <w:tc>
          <w:tcPr>
            <w:tcW w:w="6020" w:type="dxa"/>
            <w:vAlign w:val="bottom"/>
          </w:tcPr>
          <w:p>
            <w:pPr>
              <w:jc w:val="center"/>
              <w:ind w:left="2432"/>
              <w:spacing w:after="0" w:line="203" w:lineRule="exact"/>
              <w:rPr>
                <w:sz w:val="20"/>
                <w:szCs w:val="20"/>
                <w:color w:val="auto"/>
              </w:rPr>
            </w:pPr>
            <w:r>
              <w:rPr>
                <w:rFonts w:ascii="Courier New" w:cs="Courier New" w:eastAsia="Courier New" w:hAnsi="Courier New"/>
                <w:sz w:val="18"/>
                <w:szCs w:val="18"/>
                <w:color w:val="auto"/>
                <w:w w:val="96"/>
              </w:rPr>
              <w:t>Secretary</w:t>
            </w:r>
          </w:p>
        </w:tc>
        <w:tc>
          <w:tcPr>
            <w:tcW w:w="2320" w:type="dxa"/>
            <w:vAlign w:val="bottom"/>
          </w:tcPr>
          <w:p>
            <w:pPr>
              <w:spacing w:after="0"/>
              <w:rPr>
                <w:sz w:val="17"/>
                <w:szCs w:val="17"/>
                <w:color w:val="auto"/>
              </w:rPr>
            </w:pPr>
          </w:p>
        </w:tc>
      </w:tr>
      <w:tr>
        <w:trPr>
          <w:trHeight w:val="203"/>
        </w:trPr>
        <w:tc>
          <w:tcPr>
            <w:tcW w:w="6020" w:type="dxa"/>
            <w:vAlign w:val="bottom"/>
          </w:tcPr>
          <w:p>
            <w:pPr>
              <w:jc w:val="center"/>
              <w:ind w:left="2332"/>
              <w:spacing w:after="0" w:line="203" w:lineRule="exact"/>
              <w:rPr>
                <w:sz w:val="20"/>
                <w:szCs w:val="20"/>
                <w:color w:val="auto"/>
              </w:rPr>
            </w:pPr>
            <w:r>
              <w:rPr>
                <w:rFonts w:ascii="Courier New" w:cs="Courier New" w:eastAsia="Courier New" w:hAnsi="Courier New"/>
                <w:sz w:val="18"/>
                <w:szCs w:val="18"/>
                <w:color w:val="auto"/>
                <w:w w:val="97"/>
              </w:rPr>
              <w:t>CytoTherapeutics, Inc.</w:t>
            </w:r>
          </w:p>
        </w:tc>
        <w:tc>
          <w:tcPr>
            <w:tcW w:w="2320" w:type="dxa"/>
            <w:vAlign w:val="bottom"/>
          </w:tcPr>
          <w:p>
            <w:pPr>
              <w:spacing w:after="0"/>
              <w:rPr>
                <w:sz w:val="17"/>
                <w:szCs w:val="17"/>
                <w:color w:val="auto"/>
              </w:rPr>
            </w:pPr>
          </w:p>
        </w:tc>
      </w:tr>
      <w:tr>
        <w:trPr>
          <w:trHeight w:val="203"/>
        </w:trPr>
        <w:tc>
          <w:tcPr>
            <w:tcW w:w="6020" w:type="dxa"/>
            <w:vAlign w:val="bottom"/>
          </w:tcPr>
          <w:p>
            <w:pPr>
              <w:jc w:val="center"/>
              <w:ind w:left="2452"/>
              <w:spacing w:after="0" w:line="203" w:lineRule="exact"/>
              <w:rPr>
                <w:sz w:val="20"/>
                <w:szCs w:val="20"/>
                <w:color w:val="auto"/>
              </w:rPr>
            </w:pPr>
            <w:r>
              <w:rPr>
                <w:rFonts w:ascii="Courier New" w:cs="Courier New" w:eastAsia="Courier New" w:hAnsi="Courier New"/>
                <w:sz w:val="18"/>
                <w:szCs w:val="18"/>
                <w:color w:val="auto"/>
                <w:w w:val="97"/>
              </w:rPr>
              <w:t>Two Richmond Square</w:t>
            </w:r>
          </w:p>
        </w:tc>
        <w:tc>
          <w:tcPr>
            <w:tcW w:w="2320" w:type="dxa"/>
            <w:vAlign w:val="bottom"/>
          </w:tcPr>
          <w:p>
            <w:pPr>
              <w:spacing w:after="0"/>
              <w:rPr>
                <w:sz w:val="17"/>
                <w:szCs w:val="17"/>
                <w:color w:val="auto"/>
              </w:rPr>
            </w:pPr>
          </w:p>
        </w:tc>
      </w:tr>
      <w:tr>
        <w:trPr>
          <w:trHeight w:val="203"/>
        </w:trPr>
        <w:tc>
          <w:tcPr>
            <w:tcW w:w="6020" w:type="dxa"/>
            <w:vAlign w:val="bottom"/>
          </w:tcPr>
          <w:p>
            <w:pPr>
              <w:jc w:val="center"/>
              <w:ind w:left="2332"/>
              <w:spacing w:after="0" w:line="203" w:lineRule="exact"/>
              <w:rPr>
                <w:sz w:val="20"/>
                <w:szCs w:val="20"/>
                <w:color w:val="auto"/>
              </w:rPr>
            </w:pPr>
            <w:r>
              <w:rPr>
                <w:rFonts w:ascii="Courier New" w:cs="Courier New" w:eastAsia="Courier New" w:hAnsi="Courier New"/>
                <w:sz w:val="18"/>
                <w:szCs w:val="18"/>
                <w:color w:val="auto"/>
                <w:w w:val="97"/>
              </w:rPr>
              <w:t>Providence, Rhode Island 02906</w:t>
            </w:r>
          </w:p>
        </w:tc>
        <w:tc>
          <w:tcPr>
            <w:tcW w:w="2320" w:type="dxa"/>
            <w:vAlign w:val="bottom"/>
          </w:tcPr>
          <w:p>
            <w:pPr>
              <w:spacing w:after="0"/>
              <w:rPr>
                <w:sz w:val="17"/>
                <w:szCs w:val="17"/>
                <w:color w:val="auto"/>
              </w:rPr>
            </w:pPr>
          </w:p>
        </w:tc>
      </w:tr>
      <w:tr>
        <w:trPr>
          <w:trHeight w:val="203"/>
        </w:trPr>
        <w:tc>
          <w:tcPr>
            <w:tcW w:w="6020" w:type="dxa"/>
            <w:vAlign w:val="bottom"/>
          </w:tcPr>
          <w:p>
            <w:pPr>
              <w:jc w:val="center"/>
              <w:ind w:left="2332"/>
              <w:spacing w:after="0" w:line="203" w:lineRule="exact"/>
              <w:rPr>
                <w:sz w:val="20"/>
                <w:szCs w:val="20"/>
                <w:color w:val="auto"/>
              </w:rPr>
            </w:pPr>
            <w:r>
              <w:rPr>
                <w:rFonts w:ascii="Courier New" w:cs="Courier New" w:eastAsia="Courier New" w:hAnsi="Courier New"/>
                <w:sz w:val="18"/>
                <w:szCs w:val="18"/>
                <w:color w:val="auto"/>
                <w:w w:val="97"/>
              </w:rPr>
              <w:t>(410) 272-3310</w:t>
            </w:r>
          </w:p>
        </w:tc>
        <w:tc>
          <w:tcPr>
            <w:tcW w:w="2320" w:type="dxa"/>
            <w:vAlign w:val="bottom"/>
          </w:tcPr>
          <w:p>
            <w:pPr>
              <w:spacing w:after="0"/>
              <w:rPr>
                <w:sz w:val="17"/>
                <w:szCs w:val="17"/>
                <w:color w:val="auto"/>
              </w:rPr>
            </w:pPr>
          </w:p>
        </w:tc>
      </w:tr>
    </w:tbl>
    <w:p>
      <w:pPr>
        <w:ind w:left="1060"/>
        <w:spacing w:after="0" w:line="238" w:lineRule="auto"/>
        <w:rPr>
          <w:sz w:val="20"/>
          <w:szCs w:val="20"/>
          <w:color w:val="auto"/>
        </w:rPr>
      </w:pPr>
      <w:r>
        <w:rPr>
          <w:rFonts w:ascii="Courier New" w:cs="Courier New" w:eastAsia="Courier New" w:hAnsi="Courier New"/>
          <w:sz w:val="18"/>
          <w:szCs w:val="18"/>
          <w:color w:val="auto"/>
        </w:rPr>
        <w:t>------------------------------------------------------------</w:t>
      </w:r>
    </w:p>
    <w:p>
      <w:pPr>
        <w:ind w:left="1280"/>
        <w:spacing w:after="0"/>
        <w:rPr>
          <w:sz w:val="20"/>
          <w:szCs w:val="20"/>
          <w:color w:val="auto"/>
        </w:rPr>
      </w:pPr>
      <w:r>
        <w:rPr>
          <w:rFonts w:ascii="Courier New" w:cs="Courier New" w:eastAsia="Courier New" w:hAnsi="Courier New"/>
          <w:sz w:val="18"/>
          <w:szCs w:val="18"/>
          <w:color w:val="auto"/>
        </w:rPr>
        <w:t>(Name, address and telephone number of agent for service)</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CALCULATION OF REGISTRATION FEE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4"/>
          <w:szCs w:val="24"/>
          <w:color w:val="auto"/>
        </w:rPr>
      </w:pP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700" w:type="dxa"/>
            <w:vAlign w:val="bottom"/>
          </w:tcPr>
          <w:p>
            <w:pPr>
              <w:spacing w:after="0"/>
              <w:rPr>
                <w:sz w:val="20"/>
                <w:szCs w:val="20"/>
                <w:color w:val="auto"/>
              </w:rPr>
            </w:pPr>
            <w:r>
              <w:rPr>
                <w:rFonts w:ascii="Courier New" w:cs="Courier New" w:eastAsia="Courier New" w:hAnsi="Courier New"/>
                <w:sz w:val="18"/>
                <w:szCs w:val="18"/>
                <w:color w:val="auto"/>
              </w:rPr>
              <w:t>Title of</w:t>
            </w:r>
          </w:p>
        </w:tc>
        <w:tc>
          <w:tcPr>
            <w:tcW w:w="2200" w:type="dxa"/>
            <w:vAlign w:val="bottom"/>
          </w:tcPr>
          <w:p>
            <w:pPr>
              <w:ind w:left="620"/>
              <w:spacing w:after="0"/>
              <w:rPr>
                <w:sz w:val="20"/>
                <w:szCs w:val="20"/>
                <w:color w:val="auto"/>
              </w:rPr>
            </w:pPr>
            <w:r>
              <w:rPr>
                <w:rFonts w:ascii="Courier New" w:cs="Courier New" w:eastAsia="Courier New" w:hAnsi="Courier New"/>
                <w:sz w:val="18"/>
                <w:szCs w:val="18"/>
                <w:color w:val="auto"/>
              </w:rPr>
              <w:t>Amount</w:t>
            </w:r>
          </w:p>
        </w:tc>
        <w:tc>
          <w:tcPr>
            <w:tcW w:w="1900" w:type="dxa"/>
            <w:vAlign w:val="bottom"/>
          </w:tcPr>
          <w:p>
            <w:pPr>
              <w:ind w:left="540"/>
              <w:spacing w:after="0"/>
              <w:rPr>
                <w:sz w:val="20"/>
                <w:szCs w:val="20"/>
                <w:color w:val="auto"/>
              </w:rPr>
            </w:pPr>
            <w:r>
              <w:rPr>
                <w:rFonts w:ascii="Courier New" w:cs="Courier New" w:eastAsia="Courier New" w:hAnsi="Courier New"/>
                <w:sz w:val="18"/>
                <w:szCs w:val="18"/>
                <w:color w:val="auto"/>
              </w:rPr>
              <w:t>Proposed</w:t>
            </w:r>
          </w:p>
        </w:tc>
        <w:tc>
          <w:tcPr>
            <w:tcW w:w="1800" w:type="dxa"/>
            <w:vAlign w:val="bottom"/>
          </w:tcPr>
          <w:p>
            <w:pPr>
              <w:ind w:left="420"/>
              <w:spacing w:after="0"/>
              <w:rPr>
                <w:sz w:val="20"/>
                <w:szCs w:val="20"/>
                <w:color w:val="auto"/>
              </w:rPr>
            </w:pPr>
            <w:r>
              <w:rPr>
                <w:rFonts w:ascii="Courier New" w:cs="Courier New" w:eastAsia="Courier New" w:hAnsi="Courier New"/>
                <w:sz w:val="18"/>
                <w:szCs w:val="18"/>
                <w:color w:val="auto"/>
              </w:rPr>
              <w:t>Proposed</w:t>
            </w:r>
          </w:p>
        </w:tc>
        <w:tc>
          <w:tcPr>
            <w:tcW w:w="1680" w:type="dxa"/>
            <w:vAlign w:val="bottom"/>
          </w:tcPr>
          <w:p>
            <w:pPr>
              <w:ind w:left="420"/>
              <w:spacing w:after="0"/>
              <w:rPr>
                <w:sz w:val="20"/>
                <w:szCs w:val="20"/>
                <w:color w:val="auto"/>
              </w:rPr>
            </w:pPr>
            <w:r>
              <w:rPr>
                <w:rFonts w:ascii="Courier New" w:cs="Courier New" w:eastAsia="Courier New" w:hAnsi="Courier New"/>
                <w:sz w:val="18"/>
                <w:szCs w:val="18"/>
                <w:color w:val="auto"/>
              </w:rPr>
              <w:t>Amount of</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Securities</w:t>
            </w:r>
          </w:p>
        </w:tc>
        <w:tc>
          <w:tcPr>
            <w:tcW w:w="220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to be</w:t>
            </w:r>
          </w:p>
        </w:tc>
        <w:tc>
          <w:tcPr>
            <w:tcW w:w="19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maximum</w:t>
            </w:r>
          </w:p>
        </w:tc>
        <w:tc>
          <w:tcPr>
            <w:tcW w:w="18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maximum</w:t>
            </w:r>
          </w:p>
        </w:tc>
        <w:tc>
          <w:tcPr>
            <w:tcW w:w="16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5"/>
              </w:rPr>
              <w:t>registration</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to be</w:t>
            </w:r>
          </w:p>
        </w:tc>
        <w:tc>
          <w:tcPr>
            <w:tcW w:w="220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registered</w:t>
            </w:r>
          </w:p>
        </w:tc>
        <w:tc>
          <w:tcPr>
            <w:tcW w:w="19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offering</w:t>
            </w:r>
          </w:p>
        </w:tc>
        <w:tc>
          <w:tcPr>
            <w:tcW w:w="18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aggregate</w:t>
            </w:r>
          </w:p>
        </w:tc>
        <w:tc>
          <w:tcPr>
            <w:tcW w:w="16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fee</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registered</w:t>
            </w:r>
          </w:p>
        </w:tc>
        <w:tc>
          <w:tcPr>
            <w:tcW w:w="2200" w:type="dxa"/>
            <w:vAlign w:val="bottom"/>
          </w:tcPr>
          <w:p>
            <w:pPr>
              <w:spacing w:after="0"/>
              <w:rPr>
                <w:sz w:val="17"/>
                <w:szCs w:val="17"/>
                <w:color w:val="auto"/>
              </w:rPr>
            </w:pPr>
          </w:p>
        </w:tc>
        <w:tc>
          <w:tcPr>
            <w:tcW w:w="19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price per</w:t>
            </w:r>
          </w:p>
        </w:tc>
        <w:tc>
          <w:tcPr>
            <w:tcW w:w="18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offering</w:t>
            </w:r>
          </w:p>
        </w:tc>
        <w:tc>
          <w:tcPr>
            <w:tcW w:w="1680" w:type="dxa"/>
            <w:vAlign w:val="bottom"/>
          </w:tcPr>
          <w:p>
            <w:pPr>
              <w:spacing w:after="0"/>
              <w:rPr>
                <w:sz w:val="17"/>
                <w:szCs w:val="17"/>
                <w:color w:val="auto"/>
              </w:rPr>
            </w:pPr>
          </w:p>
        </w:tc>
      </w:tr>
      <w:tr>
        <w:trPr>
          <w:trHeight w:val="0"/>
        </w:trPr>
        <w:tc>
          <w:tcPr>
            <w:tcW w:w="17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900" w:type="dxa"/>
            <w:vAlign w:val="bottom"/>
          </w:tcPr>
          <w:p>
            <w:pPr>
              <w:ind w:left="540"/>
              <w:spacing w:after="0"/>
              <w:rPr>
                <w:sz w:val="20"/>
                <w:szCs w:val="20"/>
                <w:color w:val="auto"/>
              </w:rPr>
            </w:pPr>
            <w:r>
              <w:rPr>
                <w:rFonts w:ascii="Courier New" w:cs="Courier New" w:eastAsia="Courier New" w:hAnsi="Courier New"/>
                <w:sz w:val="18"/>
                <w:szCs w:val="18"/>
                <w:color w:val="auto"/>
              </w:rPr>
              <w:t>share(1)</w:t>
            </w:r>
          </w:p>
        </w:tc>
        <w:tc>
          <w:tcPr>
            <w:tcW w:w="1800" w:type="dxa"/>
            <w:vAlign w:val="bottom"/>
          </w:tcPr>
          <w:p>
            <w:pPr>
              <w:ind w:left="420"/>
              <w:spacing w:after="0"/>
              <w:rPr>
                <w:sz w:val="20"/>
                <w:szCs w:val="20"/>
                <w:color w:val="auto"/>
              </w:rPr>
            </w:pPr>
            <w:r>
              <w:rPr>
                <w:rFonts w:ascii="Courier New" w:cs="Courier New" w:eastAsia="Courier New" w:hAnsi="Courier New"/>
                <w:sz w:val="18"/>
                <w:szCs w:val="18"/>
                <w:color w:val="auto"/>
              </w:rPr>
              <w:t>price(1)</w:t>
            </w:r>
          </w:p>
        </w:tc>
        <w:tc>
          <w:tcPr>
            <w:tcW w:w="1680" w:type="dxa"/>
            <w:vAlign w:val="bottom"/>
          </w:tcPr>
          <w:p>
            <w:pPr>
              <w:spacing w:after="0" w:line="20" w:lineRule="exact"/>
              <w:rPr>
                <w:sz w:val="1"/>
                <w:szCs w:val="1"/>
                <w:color w:val="auto"/>
              </w:rPr>
            </w:pPr>
          </w:p>
        </w:tc>
      </w:tr>
    </w:tbl>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4"/>
          <w:szCs w:val="24"/>
          <w:color w:val="auto"/>
        </w:rPr>
      </w:pPr>
    </w:p>
    <w:p>
      <w:pPr>
        <w:spacing w:after="0"/>
        <w:tabs>
          <w:tab w:leader="none" w:pos="2300" w:val="left"/>
          <w:tab w:leader="none" w:pos="4420" w:val="left"/>
          <w:tab w:leader="none" w:pos="6200" w:val="left"/>
          <w:tab w:leader="none" w:pos="8000" w:val="left"/>
        </w:tabs>
        <w:rPr>
          <w:sz w:val="20"/>
          <w:szCs w:val="20"/>
          <w:color w:val="auto"/>
        </w:rPr>
      </w:pPr>
      <w:r>
        <w:rPr>
          <w:rFonts w:ascii="Courier New" w:cs="Courier New" w:eastAsia="Courier New" w:hAnsi="Courier New"/>
          <w:sz w:val="18"/>
          <w:szCs w:val="18"/>
          <w:color w:val="auto"/>
        </w:rPr>
        <w:t>Common Stock,</w:t>
      </w:r>
      <w:r>
        <w:rPr>
          <w:sz w:val="20"/>
          <w:szCs w:val="20"/>
          <w:color w:val="auto"/>
        </w:rPr>
        <w:tab/>
      </w:r>
      <w:r>
        <w:rPr>
          <w:rFonts w:ascii="Courier New" w:cs="Courier New" w:eastAsia="Courier New" w:hAnsi="Courier New"/>
          <w:sz w:val="18"/>
          <w:szCs w:val="18"/>
          <w:color w:val="auto"/>
        </w:rPr>
        <w:t>1,500,000</w:t>
      </w:r>
      <w:r>
        <w:rPr>
          <w:sz w:val="20"/>
          <w:szCs w:val="20"/>
          <w:color w:val="auto"/>
        </w:rPr>
        <w:tab/>
      </w:r>
      <w:r>
        <w:rPr>
          <w:rFonts w:ascii="Courier New" w:cs="Courier New" w:eastAsia="Courier New" w:hAnsi="Courier New"/>
          <w:sz w:val="18"/>
          <w:szCs w:val="18"/>
          <w:color w:val="auto"/>
        </w:rPr>
        <w:t>$8.875</w:t>
      </w:r>
      <w:r>
        <w:rPr>
          <w:sz w:val="20"/>
          <w:szCs w:val="20"/>
          <w:color w:val="auto"/>
        </w:rPr>
        <w:tab/>
      </w:r>
      <w:r>
        <w:rPr>
          <w:rFonts w:ascii="Courier New" w:cs="Courier New" w:eastAsia="Courier New" w:hAnsi="Courier New"/>
          <w:sz w:val="18"/>
          <w:szCs w:val="18"/>
          <w:color w:val="auto"/>
        </w:rPr>
        <w:t>$13,312,500</w:t>
      </w:r>
      <w:r>
        <w:rPr>
          <w:sz w:val="20"/>
          <w:szCs w:val="20"/>
          <w:color w:val="auto"/>
        </w:rPr>
        <w:tab/>
      </w:r>
      <w:r>
        <w:rPr>
          <w:rFonts w:ascii="Courier New" w:cs="Courier New" w:eastAsia="Courier New" w:hAnsi="Courier New"/>
          <w:sz w:val="16"/>
          <w:szCs w:val="16"/>
          <w:color w:val="auto"/>
        </w:rPr>
        <w:t>$4591</w:t>
      </w:r>
    </w:p>
    <w:p>
      <w:pPr>
        <w:spacing w:after="0"/>
        <w:tabs>
          <w:tab w:leader="none" w:pos="2300" w:val="left"/>
        </w:tabs>
        <w:rPr>
          <w:sz w:val="20"/>
          <w:szCs w:val="20"/>
          <w:color w:val="auto"/>
        </w:rPr>
      </w:pPr>
      <w:r>
        <w:rPr>
          <w:rFonts w:ascii="Courier New" w:cs="Courier New" w:eastAsia="Courier New" w:hAnsi="Courier New"/>
          <w:sz w:val="18"/>
          <w:szCs w:val="18"/>
          <w:color w:val="auto"/>
        </w:rPr>
        <w:t>par value $0.01</w:t>
      </w:r>
      <w:r>
        <w:rPr>
          <w:sz w:val="20"/>
          <w:szCs w:val="20"/>
          <w:color w:val="auto"/>
        </w:rPr>
        <w:tab/>
      </w:r>
      <w:r>
        <w:rPr>
          <w:rFonts w:ascii="Courier New" w:cs="Courier New" w:eastAsia="Courier New" w:hAnsi="Courier New"/>
          <w:sz w:val="16"/>
          <w:szCs w:val="16"/>
          <w:color w:val="auto"/>
        </w:rPr>
        <w:t>shares</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ind w:left="540" w:hanging="532"/>
        <w:spacing w:after="0"/>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Estimated solely for the purpose of determining the registration fee</w:t>
      </w:r>
    </w:p>
    <w:p>
      <w:pPr>
        <w:spacing w:after="0" w:line="4" w:lineRule="exact"/>
        <w:rPr>
          <w:rFonts w:ascii="Courier New" w:cs="Courier New" w:eastAsia="Courier New" w:hAnsi="Courier New"/>
          <w:sz w:val="18"/>
          <w:szCs w:val="18"/>
          <w:color w:val="auto"/>
        </w:rPr>
      </w:pPr>
    </w:p>
    <w:p>
      <w:pPr>
        <w:ind w:right="18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pursuant to Rule 457(h) on the basis of the average of the high and low prices of CytoTherapeutics, Inc. Common Stock, par value $0.01, reported on NASDAQ/NMS on August 20, 1996.</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Exhibit Index on page 7;</w:t>
      </w:r>
    </w:p>
    <w:p>
      <w:pPr>
        <w:ind w:left="3160"/>
        <w:spacing w:after="0" w:line="238" w:lineRule="auto"/>
        <w:rPr>
          <w:sz w:val="20"/>
          <w:szCs w:val="20"/>
          <w:color w:val="auto"/>
        </w:rPr>
      </w:pPr>
      <w:r>
        <w:rPr>
          <w:rFonts w:ascii="Courier New" w:cs="Courier New" w:eastAsia="Courier New" w:hAnsi="Courier New"/>
          <w:sz w:val="18"/>
          <w:szCs w:val="18"/>
          <w:color w:val="auto"/>
        </w:rPr>
        <w:t>Page 1 of 19 pages.</w:t>
      </w:r>
    </w:p>
    <w:p>
      <w:pPr>
        <w:sectPr>
          <w:pgSz w:w="11900" w:h="16838" w:orient="portrait"/>
          <w:cols w:equalWidth="0" w:num="1">
            <w:col w:w="10219"/>
          </w:cols>
          <w:pgMar w:left="240" w:top="244" w:right="1440" w:bottom="1440" w:gutter="0" w:footer="0" w:header="0"/>
        </w:sectPr>
      </w:pPr>
    </w:p>
    <w:bookmarkStart w:id="1" w:name="page2"/>
    <w:bookmarkEnd w:id="1"/>
    <w:p>
      <w:pPr>
        <w:ind w:left="320"/>
        <w:spacing w:after="0"/>
        <w:rPr>
          <w:sz w:val="20"/>
          <w:szCs w:val="20"/>
          <w:color w:val="auto"/>
        </w:rPr>
      </w:pPr>
      <w:r>
        <w:rPr>
          <w:rFonts w:ascii="Courier New" w:cs="Courier New" w:eastAsia="Courier New" w:hAnsi="Courier New"/>
          <w:sz w:val="18"/>
          <w:szCs w:val="18"/>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PART II</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INFORMATION REQUIRED IN THE REGISTRATION STATEMENT</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Incorporation of Certain Documents by Reference</w:t>
      </w:r>
    </w:p>
    <w:p>
      <w:pPr>
        <w:ind w:left="9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The following documents filed by the Company with the Securities and</w:t>
      </w:r>
    </w:p>
    <w:p>
      <w:pPr>
        <w:spacing w:after="0" w:line="238" w:lineRule="auto"/>
        <w:rPr>
          <w:sz w:val="20"/>
          <w:szCs w:val="20"/>
          <w:color w:val="auto"/>
        </w:rPr>
      </w:pPr>
      <w:r>
        <w:rPr>
          <w:rFonts w:ascii="Courier New" w:cs="Courier New" w:eastAsia="Courier New" w:hAnsi="Courier New"/>
          <w:sz w:val="18"/>
          <w:szCs w:val="18"/>
          <w:color w:val="auto"/>
        </w:rPr>
        <w:t>Exchange Commission (the "Commission") are incorporated herein by reference:</w:t>
      </w:r>
    </w:p>
    <w:p>
      <w:pPr>
        <w:spacing w:after="0" w:line="207" w:lineRule="exact"/>
        <w:rPr>
          <w:sz w:val="20"/>
          <w:szCs w:val="20"/>
          <w:color w:val="auto"/>
        </w:rPr>
      </w:pPr>
    </w:p>
    <w:p>
      <w:pPr>
        <w:ind w:left="1900" w:right="1779" w:hanging="944"/>
        <w:spacing w:after="0" w:line="275" w:lineRule="auto"/>
        <w:tabs>
          <w:tab w:leader="none" w:pos="190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Annual Report on Form 10-K for the fiscal year ended December 31, 1995, including portions of the Company's definitive Proxy Statement dated April 12, 1996, filed in connection with the Company's 1996 Annual Meeting of Stockholders.</w:t>
      </w:r>
    </w:p>
    <w:p>
      <w:pPr>
        <w:spacing w:after="0" w:line="182" w:lineRule="exact"/>
        <w:rPr>
          <w:rFonts w:ascii="Courier New" w:cs="Courier New" w:eastAsia="Courier New" w:hAnsi="Courier New"/>
          <w:sz w:val="16"/>
          <w:szCs w:val="16"/>
          <w:color w:val="auto"/>
        </w:rPr>
      </w:pPr>
    </w:p>
    <w:p>
      <w:pPr>
        <w:ind w:left="1900" w:right="2099" w:hanging="944"/>
        <w:spacing w:after="0" w:line="235" w:lineRule="auto"/>
        <w:tabs>
          <w:tab w:leader="none" w:pos="19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Quarterly Reports on Form 10-Q for the quarters ended March 31, 1996, and June 30, 1996.</w:t>
      </w:r>
    </w:p>
    <w:p>
      <w:pPr>
        <w:spacing w:after="0" w:line="208" w:lineRule="exact"/>
        <w:rPr>
          <w:rFonts w:ascii="Courier New" w:cs="Courier New" w:eastAsia="Courier New" w:hAnsi="Courier New"/>
          <w:sz w:val="18"/>
          <w:szCs w:val="18"/>
          <w:color w:val="auto"/>
        </w:rPr>
      </w:pPr>
    </w:p>
    <w:p>
      <w:pPr>
        <w:ind w:left="1900" w:right="1999" w:hanging="944"/>
        <w:spacing w:after="0" w:line="235" w:lineRule="auto"/>
        <w:tabs>
          <w:tab w:leader="none" w:pos="19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Current Report on Form 8-K filed with the Commission on July 16, 1996.</w:t>
      </w:r>
    </w:p>
    <w:p>
      <w:pPr>
        <w:spacing w:after="0" w:line="208" w:lineRule="exact"/>
        <w:rPr>
          <w:rFonts w:ascii="Courier New" w:cs="Courier New" w:eastAsia="Courier New" w:hAnsi="Courier New"/>
          <w:sz w:val="18"/>
          <w:szCs w:val="18"/>
          <w:color w:val="auto"/>
        </w:rPr>
      </w:pPr>
    </w:p>
    <w:p>
      <w:pPr>
        <w:ind w:left="1900" w:right="2199" w:hanging="944"/>
        <w:spacing w:after="0" w:line="290" w:lineRule="auto"/>
        <w:tabs>
          <w:tab w:leader="none" w:pos="190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description of the Company's Common Stock contained in its registration statement on Form 8-A, File No. 1-19871.</w:t>
      </w:r>
    </w:p>
    <w:p>
      <w:pPr>
        <w:spacing w:after="0" w:line="170" w:lineRule="exact"/>
        <w:rPr>
          <w:sz w:val="20"/>
          <w:szCs w:val="20"/>
          <w:color w:val="auto"/>
        </w:rPr>
      </w:pPr>
    </w:p>
    <w:p>
      <w:pPr>
        <w:ind w:left="960" w:right="1779"/>
        <w:spacing w:after="0" w:line="271" w:lineRule="auto"/>
        <w:rPr>
          <w:sz w:val="20"/>
          <w:szCs w:val="20"/>
          <w:color w:val="auto"/>
        </w:rPr>
      </w:pPr>
      <w:r>
        <w:rPr>
          <w:rFonts w:ascii="Courier New" w:cs="Courier New" w:eastAsia="Courier New" w:hAnsi="Courier New"/>
          <w:sz w:val="16"/>
          <w:szCs w:val="16"/>
          <w:color w:val="auto"/>
        </w:rPr>
        <w:t>All reports and other documents subsequently filed by the Company pursuant to Section 13(a) and (c), 14 and 15(d) of the Securities Exchange Act of 1934, as amended, prior to the filing of post-effective amendment which indicates that all securities offered hereby have been sold or which deregisters all securities remaining unsold, shall be deemed to be incorporated by reference herein and to be a part hereof from the date of the filing of such reports and documents.</w:t>
      </w:r>
    </w:p>
    <w:p>
      <w:pPr>
        <w:spacing w:after="0" w:line="18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Description of Securities</w:t>
      </w:r>
    </w:p>
    <w:p>
      <w:pPr>
        <w:ind w:left="9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Interests of Named Experts and Counsel</w:t>
      </w:r>
    </w:p>
    <w:p>
      <w:pPr>
        <w:ind w:left="9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 material interests.</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Indemnification of Directors and Officers.</w:t>
      </w:r>
    </w:p>
    <w:p>
      <w:pPr>
        <w:ind w:left="9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779" w:firstLine="948"/>
        <w:spacing w:after="0" w:line="269" w:lineRule="auto"/>
        <w:rPr>
          <w:sz w:val="20"/>
          <w:szCs w:val="20"/>
          <w:color w:val="auto"/>
        </w:rPr>
      </w:pPr>
      <w:r>
        <w:rPr>
          <w:rFonts w:ascii="Courier New" w:cs="Courier New" w:eastAsia="Courier New" w:hAnsi="Courier New"/>
          <w:sz w:val="16"/>
          <w:szCs w:val="16"/>
          <w:color w:val="auto"/>
        </w:rPr>
        <w:t>Section 145 of the Delaware General Corporation Law, as amended, provides that a corporation may indemnify any person who was or is a party or is threatened to be made a party to any threatened, pending or completed action, suit or proceeding, whether civil, criminal or investigative (other than an action by or in the right of the corporation) by reason of the fact that 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him in connection with such action, suit or proceeding if he acted in good faith and in a manner he reasonably believed to be in or not opposed to the best interests of the corporation, and, with respect to any criminal action or proceeding, had no reasonable cause to believe his conduct was unlawful. Section 145 further provides that a corporation similarly may indemnify any such person serving in any such capacity who was or is a party or is threatened to be made a party to any threatened, pending or completed action or suit by or in the right of the corporation to procure a judgment in its favor, against expenses actually and reasonably incurred in connection with the defense or settlement of such action or suit if he acted in good faith and in a manner he reasonably believed to be in or not opposed to the best interests of the corporation and except that no indemnification shall be made in respect of any claim, issue or matter as to which such person shall have been adjudged to be liable to the corporation unless and only to the extent that the Delaware Court of Chancery or such other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sectPr>
          <w:pgSz w:w="11900" w:h="16838" w:orient="portrait"/>
          <w:cols w:equalWidth="0" w:num="1">
            <w:col w:w="10219"/>
          </w:cols>
          <w:pgMar w:left="240" w:top="312" w:right="1440" w:bottom="748" w:gutter="0" w:footer="0" w:header="0"/>
        </w:sectPr>
      </w:pPr>
    </w:p>
    <w:bookmarkStart w:id="2" w:name="page3"/>
    <w:bookmarkEnd w:id="2"/>
    <w:p>
      <w:pPr>
        <w:ind w:left="29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9019"/>
          </w:cols>
          <w:pgMar w:left="1440" w:top="142" w:right="1440" w:bottom="144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3</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firstLine="948"/>
        <w:spacing w:after="0" w:line="268" w:lineRule="auto"/>
        <w:rPr>
          <w:sz w:val="20"/>
          <w:szCs w:val="20"/>
          <w:color w:val="auto"/>
        </w:rPr>
      </w:pPr>
      <w:r>
        <w:rPr>
          <w:rFonts w:ascii="Courier New" w:cs="Courier New" w:eastAsia="Courier New" w:hAnsi="Courier New"/>
          <w:sz w:val="16"/>
          <w:szCs w:val="16"/>
          <w:color w:val="auto"/>
        </w:rPr>
        <w:t>Section 102(b)(7) of the Delaware General Corporation Law, as amended, permits a corporation to include in its certificate of incorporation a provision eliminating or limiting the personal liability of a director to the corporation or its stockholders for monetary damages for breach of fiduciary duty as a director, provided that such provision shall not eliminate or limit the liability of a director (i) for any breach of the director's duty of loyalty to the corporation or its stockholders, (ii) for acts or omissions not in good faith or which involve intentional misconduct or a knowing violation of law,</w:t>
      </w:r>
    </w:p>
    <w:p>
      <w:pPr>
        <w:spacing w:after="0" w:line="1" w:lineRule="exact"/>
        <w:rPr>
          <w:sz w:val="20"/>
          <w:szCs w:val="20"/>
          <w:color w:val="auto"/>
        </w:rPr>
      </w:pPr>
    </w:p>
    <w:p>
      <w:pPr>
        <w:ind w:right="2099" w:firstLine="8"/>
        <w:spacing w:after="0" w:line="268" w:lineRule="auto"/>
        <w:tabs>
          <w:tab w:leader="none" w:pos="632"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under Section 174 of the Delaware General Corporation Law (relating to unlawful payment of dividends and unlawful stock purchase and redemption), or</w:t>
      </w:r>
    </w:p>
    <w:p>
      <w:pPr>
        <w:ind w:right="2099" w:firstLine="8"/>
        <w:spacing w:after="0" w:line="235" w:lineRule="auto"/>
        <w:tabs>
          <w:tab w:leader="none" w:pos="527"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any transaction from which the director derived an improper personal benefit.</w:t>
      </w:r>
    </w:p>
    <w:p>
      <w:pPr>
        <w:spacing w:after="0" w:line="208" w:lineRule="exact"/>
        <w:rPr>
          <w:sz w:val="20"/>
          <w:szCs w:val="20"/>
          <w:color w:val="auto"/>
        </w:rPr>
      </w:pPr>
    </w:p>
    <w:p>
      <w:pPr>
        <w:ind w:right="1879" w:firstLine="948"/>
        <w:spacing w:after="0" w:line="271" w:lineRule="auto"/>
        <w:rPr>
          <w:sz w:val="20"/>
          <w:szCs w:val="20"/>
          <w:color w:val="auto"/>
        </w:rPr>
      </w:pPr>
      <w:r>
        <w:rPr>
          <w:rFonts w:ascii="Courier New" w:cs="Courier New" w:eastAsia="Courier New" w:hAnsi="Courier New"/>
          <w:sz w:val="16"/>
          <w:szCs w:val="16"/>
          <w:color w:val="auto"/>
        </w:rPr>
        <w:t>The Registrant's Restated Certificate of Incorporation, as amended, provides that the Company's Directors shall not be liable to the Registrant or its stockholders for monetary damages for breach of fiduciary duty as a director, except to the extent that exculpation from liabilities is not permitted under the Delaware General Corporation law as in effect at the time such liability is determined. The Restated Certificate of Incorporation, as amended, further provides that the Registrant shall indemnify its directors and officers to the full extent permitted by the law of the State of Delaware.</w:t>
      </w:r>
    </w:p>
    <w:p>
      <w:pPr>
        <w:spacing w:after="0" w:line="180"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Exemption from Registration Claimed</w:t>
      </w:r>
    </w:p>
    <w:p>
      <w:pPr>
        <w:ind w:left="9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Exhibits.</w:t>
      </w:r>
    </w:p>
    <w:p>
      <w:pPr>
        <w:ind w:left="9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w:t>
      </w:r>
    </w:p>
    <w:p>
      <w:pPr>
        <w:spacing w:after="0" w:line="207" w:lineRule="exact"/>
        <w:rPr>
          <w:sz w:val="20"/>
          <w:szCs w:val="20"/>
          <w:color w:val="auto"/>
        </w:rPr>
      </w:pPr>
    </w:p>
    <w:p>
      <w:pPr>
        <w:ind w:left="1060" w:right="1879" w:hanging="1052"/>
        <w:spacing w:after="0" w:line="235" w:lineRule="auto"/>
        <w:tabs>
          <w:tab w:leader="none" w:pos="1040" w:val="left"/>
        </w:tabs>
        <w:rPr>
          <w:sz w:val="20"/>
          <w:szCs w:val="20"/>
          <w:color w:val="auto"/>
        </w:rPr>
      </w:pPr>
      <w:r>
        <w:rPr>
          <w:rFonts w:ascii="Courier New" w:cs="Courier New" w:eastAsia="Courier New" w:hAnsi="Courier New"/>
          <w:sz w:val="18"/>
          <w:szCs w:val="18"/>
          <w:color w:val="auto"/>
        </w:rPr>
        <w:t>4.1</w:t>
      </w:r>
      <w:r>
        <w:rPr>
          <w:sz w:val="20"/>
          <w:szCs w:val="20"/>
          <w:color w:val="auto"/>
        </w:rPr>
        <w:tab/>
      </w:r>
      <w:r>
        <w:rPr>
          <w:rFonts w:ascii="Courier New" w:cs="Courier New" w:eastAsia="Courier New" w:hAnsi="Courier New"/>
          <w:sz w:val="18"/>
          <w:szCs w:val="18"/>
          <w:color w:val="auto"/>
        </w:rPr>
        <w:t>Specimen Stock Certificate (incorporated by reference to Exhibit 4 of the Registrant's Registration Statement on Form S-1, File No.</w:t>
      </w:r>
    </w:p>
    <w:p>
      <w:pPr>
        <w:ind w:left="1060"/>
        <w:spacing w:after="0"/>
        <w:rPr>
          <w:sz w:val="20"/>
          <w:szCs w:val="20"/>
          <w:color w:val="auto"/>
        </w:rPr>
      </w:pPr>
      <w:r>
        <w:rPr>
          <w:rFonts w:ascii="Courier New" w:cs="Courier New" w:eastAsia="Courier New" w:hAnsi="Courier New"/>
          <w:sz w:val="18"/>
          <w:szCs w:val="18"/>
          <w:color w:val="auto"/>
        </w:rPr>
        <w:t>33-45739).</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5.1</w:t>
      </w:r>
      <w:r>
        <w:rPr>
          <w:sz w:val="20"/>
          <w:szCs w:val="20"/>
          <w:color w:val="auto"/>
        </w:rPr>
        <w:tab/>
      </w:r>
      <w:r>
        <w:rPr>
          <w:rFonts w:ascii="Courier New" w:cs="Courier New" w:eastAsia="Courier New" w:hAnsi="Courier New"/>
          <w:sz w:val="16"/>
          <w:szCs w:val="16"/>
          <w:color w:val="auto"/>
        </w:rPr>
        <w:t>Opinion of Ropes &amp; Gray.</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23.1</w:t>
      </w:r>
      <w:r>
        <w:rPr>
          <w:sz w:val="20"/>
          <w:szCs w:val="20"/>
          <w:color w:val="auto"/>
        </w:rPr>
        <w:tab/>
      </w:r>
      <w:r>
        <w:rPr>
          <w:rFonts w:ascii="Courier New" w:cs="Courier New" w:eastAsia="Courier New" w:hAnsi="Courier New"/>
          <w:sz w:val="16"/>
          <w:szCs w:val="16"/>
          <w:color w:val="auto"/>
        </w:rPr>
        <w:t>Consent of Ernst &amp; Young LLP.</w:t>
      </w:r>
    </w:p>
    <w:p>
      <w:pPr>
        <w:spacing w:after="0" w:line="207" w:lineRule="exact"/>
        <w:rPr>
          <w:sz w:val="20"/>
          <w:szCs w:val="20"/>
          <w:color w:val="auto"/>
        </w:rPr>
      </w:pPr>
    </w:p>
    <w:p>
      <w:pPr>
        <w:ind w:left="1060" w:right="1999" w:hanging="1052"/>
        <w:spacing w:after="0" w:line="235" w:lineRule="auto"/>
        <w:tabs>
          <w:tab w:leader="none" w:pos="1040" w:val="left"/>
        </w:tabs>
        <w:rPr>
          <w:sz w:val="20"/>
          <w:szCs w:val="20"/>
          <w:color w:val="auto"/>
        </w:rPr>
      </w:pPr>
      <w:r>
        <w:rPr>
          <w:rFonts w:ascii="Courier New" w:cs="Courier New" w:eastAsia="Courier New" w:hAnsi="Courier New"/>
          <w:sz w:val="18"/>
          <w:szCs w:val="18"/>
          <w:color w:val="auto"/>
        </w:rPr>
        <w:t>23.2</w:t>
      </w:r>
      <w:r>
        <w:rPr>
          <w:sz w:val="20"/>
          <w:szCs w:val="20"/>
          <w:color w:val="auto"/>
        </w:rPr>
        <w:tab/>
      </w:r>
      <w:r>
        <w:rPr>
          <w:rFonts w:ascii="Courier New" w:cs="Courier New" w:eastAsia="Courier New" w:hAnsi="Courier New"/>
          <w:sz w:val="18"/>
          <w:szCs w:val="18"/>
          <w:color w:val="auto"/>
        </w:rPr>
        <w:t>Consent of Ropes &amp; Gray (contained in the opinion filed as Exhibit 5 to this registration statement).</w:t>
      </w:r>
    </w:p>
    <w:p>
      <w:pPr>
        <w:spacing w:after="0" w:line="208" w:lineRule="exact"/>
        <w:rPr>
          <w:sz w:val="20"/>
          <w:szCs w:val="20"/>
          <w:color w:val="auto"/>
        </w:rPr>
      </w:pPr>
    </w:p>
    <w:p>
      <w:pPr>
        <w:ind w:left="1060" w:right="1779" w:hanging="1052"/>
        <w:spacing w:after="0" w:line="235" w:lineRule="auto"/>
        <w:tabs>
          <w:tab w:leader="none" w:pos="1040" w:val="left"/>
        </w:tabs>
        <w:rPr>
          <w:sz w:val="20"/>
          <w:szCs w:val="20"/>
          <w:color w:val="auto"/>
        </w:rPr>
      </w:pPr>
      <w:r>
        <w:rPr>
          <w:rFonts w:ascii="Courier New" w:cs="Courier New" w:eastAsia="Courier New" w:hAnsi="Courier New"/>
          <w:sz w:val="18"/>
          <w:szCs w:val="18"/>
          <w:color w:val="auto"/>
        </w:rPr>
        <w:t>24.1</w:t>
      </w:r>
      <w:r>
        <w:rPr>
          <w:sz w:val="20"/>
          <w:szCs w:val="20"/>
          <w:color w:val="auto"/>
        </w:rPr>
        <w:tab/>
      </w:r>
      <w:r>
        <w:rPr>
          <w:rFonts w:ascii="Courier New" w:cs="Courier New" w:eastAsia="Courier New" w:hAnsi="Courier New"/>
          <w:sz w:val="18"/>
          <w:szCs w:val="18"/>
          <w:color w:val="auto"/>
        </w:rPr>
        <w:t>Powers of Attorney (included in Part II of this registration statement under the caption "Signatures").</w:t>
      </w:r>
    </w:p>
    <w:p>
      <w:pPr>
        <w:spacing w:after="0" w:line="20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99.1</w:t>
      </w:r>
      <w:r>
        <w:rPr>
          <w:sz w:val="20"/>
          <w:szCs w:val="20"/>
          <w:color w:val="auto"/>
        </w:rPr>
        <w:tab/>
      </w:r>
      <w:r>
        <w:rPr>
          <w:rFonts w:ascii="Courier New" w:cs="Courier New" w:eastAsia="Courier New" w:hAnsi="Courier New"/>
          <w:sz w:val="16"/>
          <w:szCs w:val="16"/>
          <w:color w:val="auto"/>
        </w:rPr>
        <w:t>1992 Equity Incentive Plan, as amended to date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Undertakings.</w:t>
      </w:r>
    </w:p>
    <w:p>
      <w:pPr>
        <w:ind w:left="9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480" w:hanging="524"/>
        <w:spacing w:after="0"/>
        <w:tabs>
          <w:tab w:leader="none" w:pos="14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registrant hereby undertakes:</w:t>
      </w:r>
    </w:p>
    <w:p>
      <w:pPr>
        <w:spacing w:after="0" w:line="206" w:lineRule="exact"/>
        <w:rPr>
          <w:rFonts w:ascii="Courier New" w:cs="Courier New" w:eastAsia="Courier New" w:hAnsi="Courier New"/>
          <w:sz w:val="18"/>
          <w:szCs w:val="18"/>
          <w:color w:val="auto"/>
        </w:rPr>
      </w:pPr>
    </w:p>
    <w:p>
      <w:pPr>
        <w:ind w:right="2099" w:firstLine="1904"/>
        <w:spacing w:after="0" w:line="235" w:lineRule="auto"/>
        <w:tabs>
          <w:tab w:leader="none" w:pos="2318"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file, during any period in which offers or sales are being made, a post-effective amendment to this registration statement:</w:t>
      </w:r>
    </w:p>
    <w:p>
      <w:pPr>
        <w:spacing w:after="0" w:line="208" w:lineRule="exact"/>
        <w:rPr>
          <w:rFonts w:ascii="Courier New" w:cs="Courier New" w:eastAsia="Courier New" w:hAnsi="Courier New"/>
          <w:sz w:val="18"/>
          <w:szCs w:val="18"/>
          <w:color w:val="auto"/>
        </w:rPr>
      </w:pPr>
    </w:p>
    <w:p>
      <w:pPr>
        <w:ind w:left="2120" w:right="2419" w:firstLine="522"/>
        <w:spacing w:after="0" w:line="235" w:lineRule="auto"/>
        <w:tabs>
          <w:tab w:leader="none" w:pos="3068" w:val="left"/>
        </w:tabs>
        <w:numPr>
          <w:ilvl w:val="2"/>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include any prospectus required by section 10(a)(3) of the Securities Act of 1933;</w:t>
      </w:r>
    </w:p>
    <w:p>
      <w:pPr>
        <w:spacing w:after="0" w:line="208" w:lineRule="exact"/>
        <w:rPr>
          <w:rFonts w:ascii="Courier New" w:cs="Courier New" w:eastAsia="Courier New" w:hAnsi="Courier New"/>
          <w:sz w:val="18"/>
          <w:szCs w:val="18"/>
          <w:color w:val="auto"/>
        </w:rPr>
      </w:pPr>
    </w:p>
    <w:p>
      <w:pPr>
        <w:ind w:left="2120" w:right="1879" w:firstLine="522"/>
        <w:spacing w:after="0" w:line="237" w:lineRule="auto"/>
        <w:tabs>
          <w:tab w:leader="none" w:pos="3173" w:val="left"/>
        </w:tabs>
        <w:numPr>
          <w:ilvl w:val="2"/>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and</w:t>
      </w:r>
    </w:p>
    <w:p>
      <w:pPr>
        <w:spacing w:after="0" w:line="200" w:lineRule="exact"/>
        <w:rPr>
          <w:sz w:val="20"/>
          <w:szCs w:val="20"/>
          <w:color w:val="auto"/>
        </w:r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312" w:right="1440" w:bottom="1440" w:gutter="0" w:footer="0" w:header="0"/>
        </w:sectPr>
      </w:pPr>
    </w:p>
    <w:bookmarkStart w:id="4" w:name="page5"/>
    <w:bookmarkEnd w:id="4"/>
    <w:p>
      <w:pPr>
        <w:ind w:left="320"/>
        <w:spacing w:after="0"/>
        <w:rPr>
          <w:sz w:val="20"/>
          <w:szCs w:val="20"/>
          <w:color w:val="auto"/>
        </w:rPr>
      </w:pPr>
      <w:r>
        <w:rPr>
          <w:rFonts w:ascii="Courier New" w:cs="Courier New" w:eastAsia="Courier New" w:hAnsi="Courier New"/>
          <w:sz w:val="18"/>
          <w:szCs w:val="18"/>
          <w:color w:val="auto"/>
        </w:rPr>
        <w:t>4</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left="2120" w:right="1879" w:firstLine="522"/>
        <w:spacing w:after="0" w:line="237" w:lineRule="auto"/>
        <w:tabs>
          <w:tab w:leader="none" w:pos="3279"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PROVIDED, HOWEVER, that paragraphs (a)(1)(i) and (a)(1)(ii) shall not apply if the information required to be included in a post-effective amendment by those paragraphs is contained in periodic reports filed by the registrant pursuant to Section 13 or Section 15(d) of the Securities Exchange Act of 1934 that are incorporated by reference in the registration statement;</w:t>
      </w:r>
    </w:p>
    <w:p>
      <w:pPr>
        <w:spacing w:after="0" w:line="209" w:lineRule="exact"/>
        <w:rPr>
          <w:sz w:val="20"/>
          <w:szCs w:val="20"/>
          <w:color w:val="auto"/>
        </w:rPr>
      </w:pPr>
    </w:p>
    <w:p>
      <w:pPr>
        <w:ind w:right="1999" w:firstLine="1904"/>
        <w:spacing w:after="0" w:line="237" w:lineRule="auto"/>
        <w:tabs>
          <w:tab w:leader="none" w:pos="2318"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208" w:lineRule="exact"/>
        <w:rPr>
          <w:rFonts w:ascii="Courier New" w:cs="Courier New" w:eastAsia="Courier New" w:hAnsi="Courier New"/>
          <w:sz w:val="18"/>
          <w:szCs w:val="18"/>
          <w:color w:val="auto"/>
        </w:rPr>
      </w:pPr>
    </w:p>
    <w:p>
      <w:pPr>
        <w:ind w:right="1999" w:firstLine="1904"/>
        <w:spacing w:after="0" w:line="236" w:lineRule="auto"/>
        <w:tabs>
          <w:tab w:leader="none" w:pos="2318"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remove from registration by means of a post-effective amendment any of the securities being registered which remain unsold at the termination of the offering.</w:t>
      </w:r>
    </w:p>
    <w:p>
      <w:pPr>
        <w:spacing w:after="0" w:line="208" w:lineRule="exact"/>
        <w:rPr>
          <w:rFonts w:ascii="Courier New" w:cs="Courier New" w:eastAsia="Courier New" w:hAnsi="Courier New"/>
          <w:sz w:val="18"/>
          <w:szCs w:val="18"/>
          <w:color w:val="auto"/>
        </w:rPr>
      </w:pPr>
    </w:p>
    <w:p>
      <w:pPr>
        <w:ind w:right="1879" w:firstLine="956"/>
        <w:spacing w:after="0" w:line="271" w:lineRule="auto"/>
        <w:tabs>
          <w:tab w:leader="none" w:pos="1369"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the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83" w:lineRule="exact"/>
        <w:rPr>
          <w:rFonts w:ascii="Courier New" w:cs="Courier New" w:eastAsia="Courier New" w:hAnsi="Courier New"/>
          <w:sz w:val="16"/>
          <w:szCs w:val="16"/>
          <w:color w:val="auto"/>
        </w:rPr>
      </w:pPr>
    </w:p>
    <w:p>
      <w:pPr>
        <w:ind w:right="1779" w:firstLine="956"/>
        <w:spacing w:after="0" w:line="238" w:lineRule="auto"/>
        <w:tabs>
          <w:tab w:leader="none" w:pos="1369"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312" w:right="1440" w:bottom="1440" w:gutter="0" w:footer="0" w:header="0"/>
        </w:sectPr>
      </w:pPr>
    </w:p>
    <w:bookmarkStart w:id="5" w:name="page6"/>
    <w:bookmarkEnd w:id="5"/>
    <w:p>
      <w:pPr>
        <w:ind w:left="320"/>
        <w:spacing w:after="0"/>
        <w:rPr>
          <w:sz w:val="20"/>
          <w:szCs w:val="20"/>
          <w:color w:val="auto"/>
        </w:rPr>
      </w:pPr>
      <w:r>
        <w:rPr>
          <w:rFonts w:ascii="Courier New" w:cs="Courier New" w:eastAsia="Courier New" w:hAnsi="Courier New"/>
          <w:sz w:val="18"/>
          <w:szCs w:val="18"/>
          <w:color w:val="auto"/>
        </w:rPr>
        <w:t>5</w:t>
      </w:r>
    </w:p>
    <w:p>
      <w:pPr>
        <w:spacing w:after="0" w:line="200" w:lineRule="exact"/>
        <w:rPr>
          <w:sz w:val="20"/>
          <w:szCs w:val="20"/>
          <w:color w:val="auto"/>
        </w:rPr>
      </w:pPr>
    </w:p>
    <w:p>
      <w:pPr>
        <w:spacing w:after="0" w:line="20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0" w:lineRule="exact"/>
        <w:rPr>
          <w:sz w:val="20"/>
          <w:szCs w:val="20"/>
          <w:color w:val="auto"/>
        </w:rPr>
      </w:pPr>
    </w:p>
    <w:p>
      <w:pPr>
        <w:spacing w:after="0" w:line="209" w:lineRule="exact"/>
        <w:rPr>
          <w:sz w:val="20"/>
          <w:szCs w:val="20"/>
          <w:color w:val="auto"/>
        </w:rPr>
      </w:pPr>
    </w:p>
    <w:p>
      <w:pPr>
        <w:ind w:right="1779" w:firstLine="948"/>
        <w:spacing w:after="0" w:line="273" w:lineRule="auto"/>
        <w:rPr>
          <w:sz w:val="20"/>
          <w:szCs w:val="20"/>
          <w:color w:val="auto"/>
        </w:rPr>
      </w:pPr>
      <w:r>
        <w:rPr>
          <w:rFonts w:ascii="Courier New" w:cs="Courier New" w:eastAsia="Courier New" w:hAnsi="Courier New"/>
          <w:sz w:val="16"/>
          <w:szCs w:val="16"/>
          <w:color w:val="auto"/>
        </w:rPr>
        <w:t>Pursuant to the requirements of the Securities Act of 1933, the Registrant certifies that it has reasonable grounds to believe that it meets all of the requirements for filing on Form S-8 and has duly caused this registration statement on Form S-8 to be signed on its behalf by the undersigned thereunto duly authorized, in Providence, Rhode Island, on August 23, 1996.</w:t>
      </w:r>
    </w:p>
    <w:p>
      <w:pPr>
        <w:spacing w:after="0" w:line="200" w:lineRule="exact"/>
        <w:rPr>
          <w:sz w:val="20"/>
          <w:szCs w:val="20"/>
          <w:color w:val="auto"/>
        </w:rPr>
      </w:pPr>
    </w:p>
    <w:p>
      <w:pPr>
        <w:spacing w:after="0" w:line="384" w:lineRule="exact"/>
        <w:rPr>
          <w:sz w:val="20"/>
          <w:szCs w:val="20"/>
          <w:color w:val="auto"/>
        </w:rPr>
      </w:pPr>
    </w:p>
    <w:p>
      <w:pPr>
        <w:jc w:val="center"/>
        <w:ind w:left="1040"/>
        <w:spacing w:after="0"/>
        <w:tabs>
          <w:tab w:leader="none" w:pos="200" w:val="left"/>
        </w:tabs>
        <w:rPr>
          <w:sz w:val="20"/>
          <w:szCs w:val="20"/>
          <w:color w:val="auto"/>
        </w:rPr>
      </w:pPr>
      <w:r>
        <w:rPr>
          <w:rFonts w:ascii="Courier New" w:cs="Courier New" w:eastAsia="Courier New" w:hAnsi="Courier New"/>
          <w:sz w:val="18"/>
          <w:szCs w:val="18"/>
          <w:color w:val="auto"/>
        </w:rPr>
        <w:t>By</w:t>
        <w:tab/>
        <w:t>/s/ Seth A. Rudnick</w:t>
      </w:r>
    </w:p>
    <w:p>
      <w:pPr>
        <w:ind w:left="4440"/>
        <w:spacing w:after="0" w:line="238" w:lineRule="auto"/>
        <w:rPr>
          <w:sz w:val="20"/>
          <w:szCs w:val="20"/>
          <w:color w:val="auto"/>
        </w:rPr>
      </w:pPr>
      <w:r>
        <w:rPr>
          <w:rFonts w:ascii="Courier New" w:cs="Courier New" w:eastAsia="Courier New" w:hAnsi="Courier New"/>
          <w:sz w:val="18"/>
          <w:szCs w:val="18"/>
          <w:color w:val="auto"/>
        </w:rPr>
        <w:t>------------------------------------</w:t>
      </w:r>
    </w:p>
    <w:p>
      <w:pPr>
        <w:ind w:left="4440"/>
        <w:spacing w:after="0"/>
        <w:rPr>
          <w:sz w:val="20"/>
          <w:szCs w:val="20"/>
          <w:color w:val="auto"/>
        </w:rPr>
      </w:pPr>
      <w:r>
        <w:rPr>
          <w:rFonts w:ascii="Courier New" w:cs="Courier New" w:eastAsia="Courier New" w:hAnsi="Courier New"/>
          <w:sz w:val="18"/>
          <w:szCs w:val="18"/>
          <w:color w:val="auto"/>
        </w:rPr>
        <w:t>Seth A. Rudnick</w:t>
      </w:r>
    </w:p>
    <w:p>
      <w:pPr>
        <w:ind w:left="4440"/>
        <w:spacing w:after="0" w:line="237" w:lineRule="auto"/>
        <w:rPr>
          <w:sz w:val="20"/>
          <w:szCs w:val="20"/>
          <w:color w:val="auto"/>
        </w:rPr>
      </w:pPr>
      <w:r>
        <w:rPr>
          <w:rFonts w:ascii="Courier New" w:cs="Courier New" w:eastAsia="Courier New" w:hAnsi="Courier New"/>
          <w:sz w:val="18"/>
          <w:szCs w:val="18"/>
          <w:color w:val="auto"/>
        </w:rPr>
        <w:t>Chairman and Chief Executive Officer</w:t>
      </w:r>
    </w:p>
    <w:p>
      <w:pPr>
        <w:ind w:left="4440"/>
        <w:spacing w:after="0" w:line="238" w:lineRule="auto"/>
        <w:rPr>
          <w:sz w:val="20"/>
          <w:szCs w:val="20"/>
          <w:color w:val="auto"/>
        </w:rPr>
      </w:pPr>
      <w:r>
        <w:rPr>
          <w:rFonts w:ascii="Courier New" w:cs="Courier New" w:eastAsia="Courier New" w:hAnsi="Courier New"/>
          <w:sz w:val="18"/>
          <w:szCs w:val="18"/>
          <w:color w:val="auto"/>
        </w:rPr>
        <w:t>and Director</w:t>
      </w:r>
    </w:p>
    <w:p>
      <w:pPr>
        <w:spacing w:after="0" w:line="200" w:lineRule="exact"/>
        <w:rPr>
          <w:sz w:val="20"/>
          <w:szCs w:val="20"/>
          <w:color w:val="auto"/>
        </w:rPr>
      </w:pPr>
    </w:p>
    <w:p>
      <w:pPr>
        <w:spacing w:after="0" w:line="210"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Each person whose signature appears below constitutes and appoints Seth A. Rudnick and Frederic A. Eustis, and each of them singly, his or her true and lawful attorney-in-fact and agent with full power of substitution and resubstitution, for him or her and in his or her name, place and stead, in any and all capacities, to sign any and all amendments (including post-effective amendments) to this registration statement on Form S-8 to be filed by CytoTherapeutics, Inc., and to file the same, with all exhibits thereto, and other documents in connection therewith, with the Securities and Exchange Commission, granting unto said attorneys-in-fact and agents full power and authority to be done in and about the premises, as fully to all intents and purposes as he or she might or could do in person, hereby ratifying and confirming all that said attorneys-in-fact and agents, or their substitutes, may lawfully do or cause to be done by virtue hereof.</w:t>
      </w:r>
    </w:p>
    <w:p>
      <w:pPr>
        <w:spacing w:after="0" w:line="207" w:lineRule="exact"/>
        <w:rPr>
          <w:sz w:val="20"/>
          <w:szCs w:val="20"/>
          <w:color w:val="auto"/>
        </w:rPr>
      </w:pPr>
    </w:p>
    <w:p>
      <w:pPr>
        <w:jc w:val="both"/>
        <w:ind w:right="2519" w:firstLine="948"/>
        <w:spacing w:after="0" w:line="236" w:lineRule="auto"/>
        <w:rPr>
          <w:sz w:val="20"/>
          <w:szCs w:val="20"/>
          <w:color w:val="auto"/>
        </w:rPr>
      </w:pPr>
      <w:r>
        <w:rPr>
          <w:rFonts w:ascii="Courier New" w:cs="Courier New" w:eastAsia="Courier New" w:hAnsi="Courier New"/>
          <w:sz w:val="18"/>
          <w:szCs w:val="18"/>
          <w:color w:val="auto"/>
        </w:rPr>
        <w:t>Pursuant to the requirements of the Securities Act of 1933, this registration statement on Form S-8 has been signed below by the following persons in the capacities shown.</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900" w:type="dxa"/>
            <w:vAlign w:val="bottom"/>
          </w:tcPr>
          <w:p>
            <w:pPr>
              <w:spacing w:after="0"/>
              <w:rPr>
                <w:sz w:val="20"/>
                <w:szCs w:val="20"/>
                <w:color w:val="auto"/>
              </w:rPr>
            </w:pPr>
            <w:r>
              <w:rPr>
                <w:rFonts w:ascii="Courier New" w:cs="Courier New" w:eastAsia="Courier New" w:hAnsi="Courier New"/>
                <w:sz w:val="18"/>
                <w:szCs w:val="18"/>
                <w:color w:val="auto"/>
              </w:rPr>
              <w:t>Signature</w:t>
            </w:r>
          </w:p>
        </w:tc>
        <w:tc>
          <w:tcPr>
            <w:tcW w:w="3740" w:type="dxa"/>
            <w:vAlign w:val="bottom"/>
          </w:tcPr>
          <w:p>
            <w:pPr>
              <w:ind w:left="160"/>
              <w:spacing w:after="0"/>
              <w:rPr>
                <w:sz w:val="20"/>
                <w:szCs w:val="20"/>
                <w:color w:val="auto"/>
              </w:rPr>
            </w:pPr>
            <w:r>
              <w:rPr>
                <w:rFonts w:ascii="Courier New" w:cs="Courier New" w:eastAsia="Courier New" w:hAnsi="Courier New"/>
                <w:sz w:val="18"/>
                <w:szCs w:val="18"/>
                <w:color w:val="auto"/>
              </w:rPr>
              <w:t>Capacity</w:t>
            </w:r>
          </w:p>
        </w:tc>
        <w:tc>
          <w:tcPr>
            <w:tcW w:w="1700" w:type="dxa"/>
            <w:vAlign w:val="bottom"/>
          </w:tcPr>
          <w:p>
            <w:pPr>
              <w:ind w:left="100"/>
              <w:spacing w:after="0"/>
              <w:rPr>
                <w:sz w:val="20"/>
                <w:szCs w:val="20"/>
                <w:color w:val="auto"/>
              </w:rPr>
            </w:pPr>
            <w:r>
              <w:rPr>
                <w:rFonts w:ascii="Courier New" w:cs="Courier New" w:eastAsia="Courier New" w:hAnsi="Courier New"/>
                <w:sz w:val="18"/>
                <w:szCs w:val="18"/>
                <w:color w:val="auto"/>
              </w:rPr>
              <w:t>Date</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374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2900" w:type="dxa"/>
            <w:vAlign w:val="bottom"/>
          </w:tcPr>
          <w:p>
            <w:pPr>
              <w:spacing w:after="0"/>
              <w:rPr>
                <w:sz w:val="20"/>
                <w:szCs w:val="20"/>
                <w:color w:val="auto"/>
              </w:rPr>
            </w:pPr>
            <w:r>
              <w:rPr>
                <w:rFonts w:ascii="Courier New" w:cs="Courier New" w:eastAsia="Courier New" w:hAnsi="Courier New"/>
                <w:sz w:val="18"/>
                <w:szCs w:val="18"/>
                <w:color w:val="auto"/>
              </w:rPr>
              <w:t>/s/ Seth A. Rudnick</w:t>
            </w:r>
          </w:p>
        </w:tc>
        <w:tc>
          <w:tcPr>
            <w:tcW w:w="3740" w:type="dxa"/>
            <w:vAlign w:val="bottom"/>
          </w:tcPr>
          <w:p>
            <w:pPr>
              <w:ind w:left="160"/>
              <w:spacing w:after="0"/>
              <w:rPr>
                <w:sz w:val="20"/>
                <w:szCs w:val="20"/>
                <w:color w:val="auto"/>
              </w:rPr>
            </w:pPr>
            <w:r>
              <w:rPr>
                <w:rFonts w:ascii="Courier New" w:cs="Courier New" w:eastAsia="Courier New" w:hAnsi="Courier New"/>
                <w:sz w:val="18"/>
                <w:szCs w:val="18"/>
                <w:color w:val="auto"/>
              </w:rPr>
              <w:t>Chairman, Chief Executive</w:t>
            </w:r>
          </w:p>
        </w:tc>
        <w:tc>
          <w:tcPr>
            <w:tcW w:w="1700" w:type="dxa"/>
            <w:vAlign w:val="bottom"/>
          </w:tcPr>
          <w:p>
            <w:pPr>
              <w:ind w:left="100"/>
              <w:spacing w:after="0"/>
              <w:rPr>
                <w:sz w:val="20"/>
                <w:szCs w:val="20"/>
                <w:color w:val="auto"/>
              </w:rPr>
            </w:pPr>
            <w:r>
              <w:rPr>
                <w:rFonts w:ascii="Courier New" w:cs="Courier New" w:eastAsia="Courier New" w:hAnsi="Courier New"/>
                <w:sz w:val="18"/>
                <w:szCs w:val="18"/>
                <w:color w:val="auto"/>
                <w:w w:val="97"/>
              </w:rPr>
              <w:t>August 23, 1996</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374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w w:val="99"/>
              </w:rPr>
              <w:t>Officer and Director (principal</w:t>
            </w:r>
          </w:p>
        </w:tc>
        <w:tc>
          <w:tcPr>
            <w:tcW w:w="1700" w:type="dxa"/>
            <w:vAlign w:val="bottom"/>
          </w:tcPr>
          <w:p>
            <w:pPr>
              <w:spacing w:after="0"/>
              <w:rPr>
                <w:sz w:val="17"/>
                <w:szCs w:val="17"/>
                <w:color w:val="auto"/>
              </w:rPr>
            </w:pP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Seth A. Rudnick</w:t>
            </w:r>
          </w:p>
        </w:tc>
        <w:tc>
          <w:tcPr>
            <w:tcW w:w="37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executive officer)</w:t>
            </w:r>
          </w:p>
        </w:tc>
        <w:tc>
          <w:tcPr>
            <w:tcW w:w="1700" w:type="dxa"/>
            <w:vAlign w:val="bottom"/>
          </w:tcPr>
          <w:p>
            <w:pPr>
              <w:spacing w:after="0"/>
              <w:rPr>
                <w:sz w:val="17"/>
                <w:szCs w:val="17"/>
                <w:color w:val="auto"/>
              </w:rPr>
            </w:pPr>
          </w:p>
        </w:tc>
      </w:tr>
      <w:tr>
        <w:trPr>
          <w:trHeight w:val="608"/>
        </w:trPr>
        <w:tc>
          <w:tcPr>
            <w:tcW w:w="2900" w:type="dxa"/>
            <w:vAlign w:val="bottom"/>
          </w:tcPr>
          <w:p>
            <w:pPr>
              <w:spacing w:after="0"/>
              <w:rPr>
                <w:sz w:val="20"/>
                <w:szCs w:val="20"/>
                <w:color w:val="auto"/>
              </w:rPr>
            </w:pPr>
            <w:r>
              <w:rPr>
                <w:rFonts w:ascii="Courier New" w:cs="Courier New" w:eastAsia="Courier New" w:hAnsi="Courier New"/>
                <w:sz w:val="18"/>
                <w:szCs w:val="18"/>
                <w:color w:val="auto"/>
              </w:rPr>
              <w:t>/s/ Daniel E. Geffken</w:t>
            </w:r>
          </w:p>
        </w:tc>
        <w:tc>
          <w:tcPr>
            <w:tcW w:w="3740" w:type="dxa"/>
            <w:vAlign w:val="bottom"/>
          </w:tcPr>
          <w:p>
            <w:pPr>
              <w:ind w:left="160"/>
              <w:spacing w:after="0"/>
              <w:rPr>
                <w:sz w:val="20"/>
                <w:szCs w:val="20"/>
                <w:color w:val="auto"/>
              </w:rPr>
            </w:pPr>
            <w:r>
              <w:rPr>
                <w:rFonts w:ascii="Courier New" w:cs="Courier New" w:eastAsia="Courier New" w:hAnsi="Courier New"/>
                <w:sz w:val="18"/>
                <w:szCs w:val="18"/>
                <w:color w:val="auto"/>
              </w:rPr>
              <w:t>Chief Financial Officer, Vice</w:t>
            </w:r>
          </w:p>
        </w:tc>
        <w:tc>
          <w:tcPr>
            <w:tcW w:w="1700" w:type="dxa"/>
            <w:vAlign w:val="bottom"/>
          </w:tcPr>
          <w:p>
            <w:pPr>
              <w:ind w:left="100"/>
              <w:spacing w:after="0"/>
              <w:rPr>
                <w:sz w:val="20"/>
                <w:szCs w:val="20"/>
                <w:color w:val="auto"/>
              </w:rPr>
            </w:pPr>
            <w:r>
              <w:rPr>
                <w:rFonts w:ascii="Courier New" w:cs="Courier New" w:eastAsia="Courier New" w:hAnsi="Courier New"/>
                <w:sz w:val="18"/>
                <w:szCs w:val="18"/>
                <w:color w:val="auto"/>
                <w:w w:val="97"/>
              </w:rPr>
              <w:t>August 23, 1996</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374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President and Treasurer</w:t>
            </w:r>
          </w:p>
        </w:tc>
        <w:tc>
          <w:tcPr>
            <w:tcW w:w="1700" w:type="dxa"/>
            <w:vAlign w:val="bottom"/>
          </w:tcPr>
          <w:p>
            <w:pPr>
              <w:spacing w:after="0"/>
              <w:rPr>
                <w:sz w:val="17"/>
                <w:szCs w:val="17"/>
                <w:color w:val="auto"/>
              </w:rPr>
            </w:pP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Daniel E. Geffken</w:t>
            </w:r>
          </w:p>
        </w:tc>
        <w:tc>
          <w:tcPr>
            <w:tcW w:w="37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(principal financial and</w:t>
            </w:r>
          </w:p>
        </w:tc>
        <w:tc>
          <w:tcPr>
            <w:tcW w:w="1700" w:type="dxa"/>
            <w:vAlign w:val="bottom"/>
          </w:tcPr>
          <w:p>
            <w:pPr>
              <w:spacing w:after="0"/>
              <w:rPr>
                <w:sz w:val="17"/>
                <w:szCs w:val="17"/>
                <w:color w:val="auto"/>
              </w:rPr>
            </w:pPr>
          </w:p>
        </w:tc>
      </w:tr>
      <w:tr>
        <w:trPr>
          <w:trHeight w:val="203"/>
        </w:trPr>
        <w:tc>
          <w:tcPr>
            <w:tcW w:w="2900" w:type="dxa"/>
            <w:vAlign w:val="bottom"/>
          </w:tcPr>
          <w:p>
            <w:pPr>
              <w:spacing w:after="0"/>
              <w:rPr>
                <w:sz w:val="17"/>
                <w:szCs w:val="17"/>
                <w:color w:val="auto"/>
              </w:rPr>
            </w:pPr>
          </w:p>
        </w:tc>
        <w:tc>
          <w:tcPr>
            <w:tcW w:w="37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accounting officer)</w:t>
            </w:r>
          </w:p>
        </w:tc>
        <w:tc>
          <w:tcPr>
            <w:tcW w:w="1700" w:type="dxa"/>
            <w:vAlign w:val="bottom"/>
          </w:tcPr>
          <w:p>
            <w:pPr>
              <w:spacing w:after="0"/>
              <w:rPr>
                <w:sz w:val="17"/>
                <w:szCs w:val="17"/>
                <w:color w:val="auto"/>
              </w:rPr>
            </w:pPr>
          </w:p>
        </w:tc>
      </w:tr>
      <w:tr>
        <w:trPr>
          <w:trHeight w:val="608"/>
        </w:trPr>
        <w:tc>
          <w:tcPr>
            <w:tcW w:w="2900" w:type="dxa"/>
            <w:vAlign w:val="bottom"/>
          </w:tcPr>
          <w:p>
            <w:pPr>
              <w:spacing w:after="0"/>
              <w:rPr>
                <w:sz w:val="20"/>
                <w:szCs w:val="20"/>
                <w:color w:val="auto"/>
              </w:rPr>
            </w:pPr>
            <w:r>
              <w:rPr>
                <w:rFonts w:ascii="Courier New" w:cs="Courier New" w:eastAsia="Courier New" w:hAnsi="Courier New"/>
                <w:sz w:val="18"/>
                <w:szCs w:val="18"/>
                <w:color w:val="auto"/>
              </w:rPr>
              <w:t>/s/ Edwin C. Cadman</w:t>
            </w:r>
          </w:p>
        </w:tc>
        <w:tc>
          <w:tcPr>
            <w:tcW w:w="3740" w:type="dxa"/>
            <w:vAlign w:val="bottom"/>
          </w:tcPr>
          <w:p>
            <w:pPr>
              <w:ind w:left="160"/>
              <w:spacing w:after="0"/>
              <w:rPr>
                <w:sz w:val="20"/>
                <w:szCs w:val="20"/>
                <w:color w:val="auto"/>
              </w:rPr>
            </w:pPr>
            <w:r>
              <w:rPr>
                <w:rFonts w:ascii="Courier New" w:cs="Courier New" w:eastAsia="Courier New" w:hAnsi="Courier New"/>
                <w:sz w:val="18"/>
                <w:szCs w:val="18"/>
                <w:color w:val="auto"/>
              </w:rPr>
              <w:t>Director</w:t>
            </w:r>
          </w:p>
        </w:tc>
        <w:tc>
          <w:tcPr>
            <w:tcW w:w="1700" w:type="dxa"/>
            <w:vAlign w:val="bottom"/>
          </w:tcPr>
          <w:p>
            <w:pPr>
              <w:ind w:left="100"/>
              <w:spacing w:after="0"/>
              <w:rPr>
                <w:sz w:val="20"/>
                <w:szCs w:val="20"/>
                <w:color w:val="auto"/>
              </w:rPr>
            </w:pPr>
            <w:r>
              <w:rPr>
                <w:rFonts w:ascii="Courier New" w:cs="Courier New" w:eastAsia="Courier New" w:hAnsi="Courier New"/>
                <w:sz w:val="18"/>
                <w:szCs w:val="18"/>
                <w:color w:val="auto"/>
                <w:w w:val="97"/>
              </w:rPr>
              <w:t>August 23, 1996</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374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Edwin C. Cadman</w:t>
            </w:r>
          </w:p>
        </w:tc>
        <w:tc>
          <w:tcPr>
            <w:tcW w:w="3740" w:type="dxa"/>
            <w:vAlign w:val="bottom"/>
          </w:tcPr>
          <w:p>
            <w:pPr>
              <w:spacing w:after="0"/>
              <w:rPr>
                <w:sz w:val="17"/>
                <w:szCs w:val="17"/>
                <w:color w:val="auto"/>
              </w:rPr>
            </w:pPr>
          </w:p>
        </w:tc>
        <w:tc>
          <w:tcPr>
            <w:tcW w:w="1700" w:type="dxa"/>
            <w:vAlign w:val="bottom"/>
          </w:tcPr>
          <w:p>
            <w:pPr>
              <w:spacing w:after="0"/>
              <w:rPr>
                <w:sz w:val="17"/>
                <w:szCs w:val="17"/>
                <w:color w:val="auto"/>
              </w:rPr>
            </w:pPr>
          </w:p>
        </w:tc>
      </w:tr>
    </w:tbl>
    <w:p>
      <w:pPr>
        <w:spacing w:after="0" w:line="200" w:lineRule="exact"/>
        <w:rPr>
          <w:sz w:val="20"/>
          <w:szCs w:val="20"/>
          <w:color w:val="auto"/>
        </w:rPr>
      </w:pPr>
    </w:p>
    <w:p>
      <w:pPr>
        <w:spacing w:after="0" w:line="204" w:lineRule="exact"/>
        <w:rPr>
          <w:sz w:val="20"/>
          <w:szCs w:val="20"/>
          <w:color w:val="auto"/>
        </w:rPr>
      </w:pPr>
    </w:p>
    <w:p>
      <w:pPr>
        <w:spacing w:after="0"/>
        <w:tabs>
          <w:tab w:leader="none" w:pos="3040" w:val="left"/>
          <w:tab w:leader="none" w:pos="6720" w:val="left"/>
        </w:tabs>
        <w:rPr>
          <w:sz w:val="20"/>
          <w:szCs w:val="20"/>
          <w:color w:val="auto"/>
        </w:rPr>
      </w:pPr>
      <w:r>
        <w:rPr>
          <w:rFonts w:ascii="Courier New" w:cs="Courier New" w:eastAsia="Courier New" w:hAnsi="Courier New"/>
          <w:sz w:val="18"/>
          <w:szCs w:val="18"/>
          <w:color w:val="auto"/>
        </w:rPr>
        <w:t>/s/ Donald R. Conklin</w:t>
      </w:r>
      <w:r>
        <w:rPr>
          <w:sz w:val="20"/>
          <w:szCs w:val="20"/>
          <w:color w:val="auto"/>
        </w:rPr>
        <w:tab/>
      </w:r>
      <w:r>
        <w:rPr>
          <w:rFonts w:ascii="Courier New" w:cs="Courier New" w:eastAsia="Courier New" w:hAnsi="Courier New"/>
          <w:sz w:val="18"/>
          <w:szCs w:val="18"/>
          <w:color w:val="auto"/>
        </w:rPr>
        <w:t>Director</w:t>
      </w:r>
      <w:r>
        <w:rPr>
          <w:sz w:val="20"/>
          <w:szCs w:val="20"/>
          <w:color w:val="auto"/>
        </w:rPr>
        <w:tab/>
      </w:r>
      <w:r>
        <w:rPr>
          <w:rFonts w:ascii="Courier New" w:cs="Courier New" w:eastAsia="Courier New" w:hAnsi="Courier New"/>
          <w:sz w:val="16"/>
          <w:szCs w:val="16"/>
          <w:color w:val="auto"/>
        </w:rPr>
        <w:t>August 23, 1996</w:t>
      </w:r>
    </w:p>
    <w:p>
      <w:pPr>
        <w:ind w:left="220" w:hanging="212"/>
        <w:spacing w:after="0" w:line="238" w:lineRule="auto"/>
        <w:tabs>
          <w:tab w:leader="none" w:pos="2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Donald R. Conklin</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right="6099" w:firstLine="8"/>
        <w:spacing w:after="0" w:line="235" w:lineRule="auto"/>
        <w:tabs>
          <w:tab w:leader="none" w:pos="21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Director Patrick Aebischer</w:t>
      </w:r>
    </w:p>
    <w:p>
      <w:pPr>
        <w:spacing w:after="0" w:line="200" w:lineRule="exact"/>
        <w:rPr>
          <w:sz w:val="20"/>
          <w:szCs w:val="20"/>
          <w:color w:val="auto"/>
        </w:rPr>
      </w:pPr>
    </w:p>
    <w:p>
      <w:pPr>
        <w:spacing w:after="0" w:line="205" w:lineRule="exact"/>
        <w:rPr>
          <w:sz w:val="20"/>
          <w:szCs w:val="20"/>
          <w:color w:val="auto"/>
        </w:rPr>
      </w:pPr>
    </w:p>
    <w:p>
      <w:pPr>
        <w:spacing w:after="0"/>
        <w:tabs>
          <w:tab w:leader="none" w:pos="3040" w:val="left"/>
          <w:tab w:leader="none" w:pos="6720" w:val="left"/>
        </w:tabs>
        <w:rPr>
          <w:sz w:val="20"/>
          <w:szCs w:val="20"/>
          <w:color w:val="auto"/>
        </w:rPr>
      </w:pPr>
      <w:r>
        <w:rPr>
          <w:rFonts w:ascii="Courier New" w:cs="Courier New" w:eastAsia="Courier New" w:hAnsi="Courier New"/>
          <w:sz w:val="18"/>
          <w:szCs w:val="18"/>
          <w:color w:val="auto"/>
        </w:rPr>
        <w:t>/s/ Mark J. Levin</w:t>
      </w:r>
      <w:r>
        <w:rPr>
          <w:sz w:val="20"/>
          <w:szCs w:val="20"/>
          <w:color w:val="auto"/>
        </w:rPr>
        <w:tab/>
      </w:r>
      <w:r>
        <w:rPr>
          <w:rFonts w:ascii="Courier New" w:cs="Courier New" w:eastAsia="Courier New" w:hAnsi="Courier New"/>
          <w:sz w:val="18"/>
          <w:szCs w:val="18"/>
          <w:color w:val="auto"/>
        </w:rPr>
        <w:t>Director</w:t>
      </w:r>
      <w:r>
        <w:rPr>
          <w:sz w:val="20"/>
          <w:szCs w:val="20"/>
          <w:color w:val="auto"/>
        </w:rPr>
        <w:tab/>
      </w:r>
      <w:r>
        <w:rPr>
          <w:rFonts w:ascii="Courier New" w:cs="Courier New" w:eastAsia="Courier New" w:hAnsi="Courier New"/>
          <w:sz w:val="16"/>
          <w:szCs w:val="16"/>
          <w:color w:val="auto"/>
        </w:rPr>
        <w:t>August 23, 1996</w:t>
      </w:r>
    </w:p>
    <w:p>
      <w:pPr>
        <w:ind w:left="220" w:hanging="212"/>
        <w:spacing w:after="0" w:line="238" w:lineRule="auto"/>
        <w:tabs>
          <w:tab w:leader="none" w:pos="2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Mark J. Levin</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312" w:right="1440" w:bottom="767" w:gutter="0" w:footer="0" w:header="0"/>
        </w:sectPr>
      </w:pPr>
    </w:p>
    <w:bookmarkStart w:id="6" w:name="page7"/>
    <w:bookmarkEnd w:id="6"/>
    <w:p>
      <w:pPr>
        <w:ind w:left="32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3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Capacity</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3">
            <w:col w:w="2860" w:space="720"/>
            <w:col w:w="2140" w:space="720"/>
            <w:col w:w="3779"/>
          </w:cols>
          <w:pgMar w:left="240" w:top="317" w:right="1440" w:bottom="1440" w:gutter="0" w:footer="0" w:header="0"/>
          <w:type w:val="continuous"/>
        </w:sect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Richard J. Ramsden</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6"/>
          <w:szCs w:val="16"/>
          <w:color w:val="auto"/>
        </w:rPr>
        <w:t>August 23, 1996</w:t>
      </w:r>
    </w:p>
    <w:p>
      <w:pPr>
        <w:spacing w:after="0" w:line="16" w:lineRule="exact"/>
        <w:rPr>
          <w:sz w:val="20"/>
          <w:szCs w:val="20"/>
          <w:color w:val="auto"/>
        </w:rPr>
      </w:pPr>
    </w:p>
    <w:p>
      <w:pPr>
        <w:sectPr>
          <w:pgSz w:w="11900" w:h="16838" w:orient="portrait"/>
          <w:cols w:equalWidth="0" w:num="3">
            <w:col w:w="2860" w:space="720"/>
            <w:col w:w="2140" w:space="720"/>
            <w:col w:w="3779"/>
          </w:cols>
          <w:pgMar w:left="240" w:top="317" w:right="1440" w:bottom="1440" w:gutter="0" w:footer="0" w:header="0"/>
          <w:type w:val="continuous"/>
        </w:sectPr>
      </w:pPr>
    </w:p>
    <w:p>
      <w:pPr>
        <w:ind w:left="220" w:hanging="212"/>
        <w:spacing w:after="0"/>
        <w:tabs>
          <w:tab w:leader="none" w:pos="2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Richard J. Ramsden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tabs>
          <w:tab w:leader="none" w:pos="3560" w:val="left"/>
          <w:tab w:leader="none" w:pos="6420" w:val="left"/>
        </w:tabs>
        <w:rPr>
          <w:sz w:val="20"/>
          <w:szCs w:val="20"/>
          <w:color w:val="auto"/>
        </w:rPr>
      </w:pPr>
      <w:r>
        <w:rPr>
          <w:rFonts w:ascii="Courier New" w:cs="Courier New" w:eastAsia="Courier New" w:hAnsi="Courier New"/>
          <w:sz w:val="18"/>
          <w:szCs w:val="18"/>
          <w:color w:val="auto"/>
        </w:rPr>
        <w:t>/s/ Peter K. Simon</w:t>
      </w:r>
      <w:r>
        <w:rPr>
          <w:sz w:val="20"/>
          <w:szCs w:val="20"/>
          <w:color w:val="auto"/>
        </w:rPr>
        <w:tab/>
      </w:r>
      <w:r>
        <w:rPr>
          <w:rFonts w:ascii="Courier New" w:cs="Courier New" w:eastAsia="Courier New" w:hAnsi="Courier New"/>
          <w:sz w:val="18"/>
          <w:szCs w:val="18"/>
          <w:color w:val="auto"/>
        </w:rPr>
        <w:t>Director</w:t>
      </w:r>
      <w:r>
        <w:rPr>
          <w:sz w:val="20"/>
          <w:szCs w:val="20"/>
          <w:color w:val="auto"/>
        </w:rPr>
        <w:tab/>
      </w:r>
      <w:r>
        <w:rPr>
          <w:rFonts w:ascii="Courier New" w:cs="Courier New" w:eastAsia="Courier New" w:hAnsi="Courier New"/>
          <w:sz w:val="16"/>
          <w:szCs w:val="16"/>
          <w:color w:val="auto"/>
        </w:rPr>
        <w:t>August 23, 1996</w:t>
      </w:r>
    </w:p>
    <w:p>
      <w:pPr>
        <w:ind w:left="220" w:hanging="212"/>
        <w:spacing w:after="0" w:line="238" w:lineRule="auto"/>
        <w:tabs>
          <w:tab w:leader="none" w:pos="2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Peter K. Simon</w:t>
      </w:r>
    </w:p>
    <w:p>
      <w:pPr>
        <w:spacing w:after="0" w:line="200" w:lineRule="exact"/>
        <w:rPr>
          <w:sz w:val="20"/>
          <w:szCs w:val="20"/>
          <w:color w:val="auto"/>
        </w:rPr>
      </w:pPr>
    </w:p>
    <w:p>
      <w:pPr>
        <w:spacing w:after="0" w:line="204" w:lineRule="exact"/>
        <w:rPr>
          <w:sz w:val="20"/>
          <w:szCs w:val="20"/>
          <w:color w:val="auto"/>
        </w:rPr>
      </w:pPr>
    </w:p>
    <w:p>
      <w:pPr>
        <w:spacing w:after="0"/>
        <w:tabs>
          <w:tab w:leader="none" w:pos="3560" w:val="left"/>
          <w:tab w:leader="none" w:pos="6420" w:val="left"/>
        </w:tabs>
        <w:rPr>
          <w:sz w:val="20"/>
          <w:szCs w:val="20"/>
          <w:color w:val="auto"/>
        </w:rPr>
      </w:pPr>
      <w:r>
        <w:rPr>
          <w:rFonts w:ascii="Courier New" w:cs="Courier New" w:eastAsia="Courier New" w:hAnsi="Courier New"/>
          <w:sz w:val="18"/>
          <w:szCs w:val="18"/>
          <w:color w:val="auto"/>
        </w:rPr>
        <w:t>/s/ Sandra Nusinoff Lehrman</w:t>
      </w:r>
      <w:r>
        <w:rPr>
          <w:sz w:val="20"/>
          <w:szCs w:val="20"/>
          <w:color w:val="auto"/>
        </w:rPr>
        <w:tab/>
      </w:r>
      <w:r>
        <w:rPr>
          <w:rFonts w:ascii="Courier New" w:cs="Courier New" w:eastAsia="Courier New" w:hAnsi="Courier New"/>
          <w:sz w:val="18"/>
          <w:szCs w:val="18"/>
          <w:color w:val="auto"/>
        </w:rPr>
        <w:t>Director</w:t>
      </w:r>
      <w:r>
        <w:rPr>
          <w:sz w:val="20"/>
          <w:szCs w:val="20"/>
          <w:color w:val="auto"/>
        </w:rPr>
        <w:tab/>
      </w:r>
      <w:r>
        <w:rPr>
          <w:rFonts w:ascii="Courier New" w:cs="Courier New" w:eastAsia="Courier New" w:hAnsi="Courier New"/>
          <w:sz w:val="16"/>
          <w:szCs w:val="16"/>
          <w:color w:val="auto"/>
        </w:rPr>
        <w:t>August 23, 1996</w:t>
      </w:r>
    </w:p>
    <w:p>
      <w:pPr>
        <w:ind w:left="220" w:hanging="212"/>
        <w:spacing w:after="0" w:line="238" w:lineRule="auto"/>
        <w:tabs>
          <w:tab w:leader="none" w:pos="2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Sandra Nusinoff Lehrman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317" w:right="1440" w:bottom="1440" w:gutter="0" w:footer="0" w:header="0"/>
          <w:type w:val="continuous"/>
        </w:sectPr>
      </w:pPr>
    </w:p>
    <w:bookmarkStart w:id="7" w:name="page8"/>
    <w:bookmarkEnd w:id="7"/>
    <w:tbl>
      <w:tblPr>
        <w:tblLayout w:type="fixed"/>
        <w:tblInd w:w="0" w:type="dxa"/>
        <w:tblCellMar>
          <w:top w:w="0" w:type="dxa"/>
          <w:left w:w="0" w:type="dxa"/>
          <w:bottom w:w="0" w:type="dxa"/>
          <w:right w:w="0" w:type="dxa"/>
        </w:tblCellMar>
      </w:tblPr>
      <w:tr>
        <w:trPr>
          <w:trHeight w:val="204"/>
        </w:trPr>
        <w:tc>
          <w:tcPr>
            <w:tcW w:w="1320" w:type="dxa"/>
            <w:vAlign w:val="bottom"/>
          </w:tcPr>
          <w:p>
            <w:pPr>
              <w:ind w:left="320"/>
              <w:spacing w:after="0"/>
              <w:rPr>
                <w:sz w:val="20"/>
                <w:szCs w:val="20"/>
                <w:color w:val="auto"/>
              </w:rPr>
            </w:pPr>
            <w:r>
              <w:rPr>
                <w:rFonts w:ascii="Courier New" w:cs="Courier New" w:eastAsia="Courier New" w:hAnsi="Courier New"/>
                <w:sz w:val="18"/>
                <w:szCs w:val="18"/>
                <w:color w:val="auto"/>
              </w:rPr>
              <w:t>7</w:t>
            </w:r>
          </w:p>
        </w:tc>
        <w:tc>
          <w:tcPr>
            <w:tcW w:w="622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810"/>
        </w:trPr>
        <w:tc>
          <w:tcPr>
            <w:tcW w:w="1320" w:type="dxa"/>
            <w:vAlign w:val="bottom"/>
          </w:tcPr>
          <w:p>
            <w:pPr>
              <w:spacing w:after="0"/>
              <w:rPr>
                <w:sz w:val="24"/>
                <w:szCs w:val="24"/>
                <w:color w:val="auto"/>
              </w:rPr>
            </w:pPr>
          </w:p>
        </w:tc>
        <w:tc>
          <w:tcPr>
            <w:tcW w:w="6220" w:type="dxa"/>
            <w:vAlign w:val="bottom"/>
          </w:tcPr>
          <w:p>
            <w:pPr>
              <w:jc w:val="right"/>
              <w:ind w:right="2492"/>
              <w:spacing w:after="0"/>
              <w:rPr>
                <w:sz w:val="20"/>
                <w:szCs w:val="20"/>
                <w:color w:val="auto"/>
              </w:rPr>
            </w:pPr>
            <w:r>
              <w:rPr>
                <w:rFonts w:ascii="Courier New" w:cs="Courier New" w:eastAsia="Courier New" w:hAnsi="Courier New"/>
                <w:sz w:val="18"/>
                <w:szCs w:val="18"/>
                <w:color w:val="auto"/>
              </w:rPr>
              <w:t>EXHIBIT INDEX</w:t>
            </w:r>
          </w:p>
        </w:tc>
        <w:tc>
          <w:tcPr>
            <w:tcW w:w="580" w:type="dxa"/>
            <w:vAlign w:val="bottom"/>
          </w:tcPr>
          <w:p>
            <w:pPr>
              <w:spacing w:after="0"/>
              <w:rPr>
                <w:sz w:val="24"/>
                <w:szCs w:val="24"/>
                <w:color w:val="auto"/>
              </w:rPr>
            </w:pPr>
          </w:p>
        </w:tc>
      </w:tr>
      <w:tr>
        <w:trPr>
          <w:trHeight w:val="608"/>
        </w:trPr>
        <w:tc>
          <w:tcPr>
            <w:tcW w:w="1320" w:type="dxa"/>
            <w:vAlign w:val="bottom"/>
          </w:tcPr>
          <w:p>
            <w:pPr>
              <w:spacing w:after="0"/>
              <w:rPr>
                <w:sz w:val="20"/>
                <w:szCs w:val="20"/>
                <w:color w:val="auto"/>
              </w:rPr>
            </w:pPr>
            <w:r>
              <w:rPr>
                <w:rFonts w:ascii="Courier New" w:cs="Courier New" w:eastAsia="Courier New" w:hAnsi="Courier New"/>
                <w:sz w:val="18"/>
                <w:szCs w:val="18"/>
                <w:color w:val="auto"/>
              </w:rPr>
              <w:t>Exhibit</w:t>
            </w:r>
          </w:p>
        </w:tc>
        <w:tc>
          <w:tcPr>
            <w:tcW w:w="622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03"/>
        </w:trPr>
        <w:tc>
          <w:tcPr>
            <w:tcW w:w="132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w:t>
            </w:r>
          </w:p>
        </w:tc>
        <w:tc>
          <w:tcPr>
            <w:tcW w:w="622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132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622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1320" w:type="dxa"/>
            <w:vAlign w:val="bottom"/>
          </w:tcPr>
          <w:p>
            <w:pPr>
              <w:spacing w:after="0"/>
              <w:rPr>
                <w:sz w:val="17"/>
                <w:szCs w:val="17"/>
                <w:color w:val="auto"/>
              </w:rPr>
            </w:pPr>
          </w:p>
        </w:tc>
        <w:tc>
          <w:tcPr>
            <w:tcW w:w="6220" w:type="dxa"/>
            <w:vAlign w:val="bottom"/>
          </w:tcPr>
          <w:p>
            <w:pPr>
              <w:jc w:val="right"/>
              <w:ind w:right="2492"/>
              <w:spacing w:after="0" w:line="203" w:lineRule="exact"/>
              <w:rPr>
                <w:sz w:val="20"/>
                <w:szCs w:val="20"/>
                <w:color w:val="auto"/>
              </w:rPr>
            </w:pPr>
            <w:r>
              <w:rPr>
                <w:rFonts w:ascii="Courier New" w:cs="Courier New" w:eastAsia="Courier New" w:hAnsi="Courier New"/>
                <w:sz w:val="18"/>
                <w:szCs w:val="18"/>
                <w:color w:val="auto"/>
              </w:rPr>
              <w:t>Title of Exhibit</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Page</w:t>
            </w:r>
          </w:p>
        </w:tc>
      </w:tr>
      <w:tr>
        <w:trPr>
          <w:trHeight w:val="203"/>
        </w:trPr>
        <w:tc>
          <w:tcPr>
            <w:tcW w:w="1320" w:type="dxa"/>
            <w:vAlign w:val="bottom"/>
          </w:tcPr>
          <w:p>
            <w:pPr>
              <w:spacing w:after="0"/>
              <w:rPr>
                <w:sz w:val="17"/>
                <w:szCs w:val="17"/>
                <w:color w:val="auto"/>
              </w:rPr>
            </w:pPr>
          </w:p>
        </w:tc>
        <w:tc>
          <w:tcPr>
            <w:tcW w:w="6220" w:type="dxa"/>
            <w:vAlign w:val="bottom"/>
          </w:tcPr>
          <w:p>
            <w:pPr>
              <w:jc w:val="right"/>
              <w:ind w:right="2492"/>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320" w:type="dxa"/>
            <w:vAlign w:val="bottom"/>
          </w:tcPr>
          <w:p>
            <w:pPr>
              <w:spacing w:after="0"/>
              <w:rPr>
                <w:sz w:val="20"/>
                <w:szCs w:val="20"/>
                <w:color w:val="auto"/>
              </w:rPr>
            </w:pPr>
            <w:r>
              <w:rPr>
                <w:rFonts w:ascii="Courier New" w:cs="Courier New" w:eastAsia="Courier New" w:hAnsi="Courier New"/>
                <w:sz w:val="18"/>
                <w:szCs w:val="18"/>
                <w:color w:val="auto"/>
              </w:rPr>
              <w:t>5.1</w:t>
            </w:r>
          </w:p>
        </w:tc>
        <w:tc>
          <w:tcPr>
            <w:tcW w:w="6220" w:type="dxa"/>
            <w:vAlign w:val="bottom"/>
          </w:tcPr>
          <w:p>
            <w:pPr>
              <w:ind w:left="480"/>
              <w:spacing w:after="0"/>
              <w:rPr>
                <w:sz w:val="20"/>
                <w:szCs w:val="20"/>
                <w:color w:val="auto"/>
              </w:rPr>
            </w:pPr>
            <w:r>
              <w:rPr>
                <w:rFonts w:ascii="Courier New" w:cs="Courier New" w:eastAsia="Courier New" w:hAnsi="Courier New"/>
                <w:sz w:val="18"/>
                <w:szCs w:val="18"/>
                <w:color w:val="auto"/>
              </w:rPr>
              <w:t>Opinion of Ropes &amp; Gray.</w:t>
            </w:r>
          </w:p>
        </w:tc>
        <w:tc>
          <w:tcPr>
            <w:tcW w:w="5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8</w:t>
            </w:r>
          </w:p>
        </w:tc>
      </w:tr>
      <w:tr>
        <w:trPr>
          <w:trHeight w:val="405"/>
        </w:trPr>
        <w:tc>
          <w:tcPr>
            <w:tcW w:w="1320" w:type="dxa"/>
            <w:vAlign w:val="bottom"/>
          </w:tcPr>
          <w:p>
            <w:pPr>
              <w:spacing w:after="0"/>
              <w:rPr>
                <w:sz w:val="20"/>
                <w:szCs w:val="20"/>
                <w:color w:val="auto"/>
              </w:rPr>
            </w:pPr>
            <w:r>
              <w:rPr>
                <w:rFonts w:ascii="Courier New" w:cs="Courier New" w:eastAsia="Courier New" w:hAnsi="Courier New"/>
                <w:sz w:val="18"/>
                <w:szCs w:val="18"/>
                <w:color w:val="auto"/>
              </w:rPr>
              <w:t>23.1</w:t>
            </w:r>
          </w:p>
        </w:tc>
        <w:tc>
          <w:tcPr>
            <w:tcW w:w="6220" w:type="dxa"/>
            <w:vAlign w:val="bottom"/>
          </w:tcPr>
          <w:p>
            <w:pPr>
              <w:ind w:left="480"/>
              <w:spacing w:after="0"/>
              <w:rPr>
                <w:sz w:val="20"/>
                <w:szCs w:val="20"/>
                <w:color w:val="auto"/>
              </w:rPr>
            </w:pPr>
            <w:r>
              <w:rPr>
                <w:rFonts w:ascii="Courier New" w:cs="Courier New" w:eastAsia="Courier New" w:hAnsi="Courier New"/>
                <w:sz w:val="18"/>
                <w:szCs w:val="18"/>
                <w:color w:val="auto"/>
              </w:rPr>
              <w:t>Consent of Ernst &amp; Young, LLP.</w:t>
            </w:r>
          </w:p>
        </w:tc>
        <w:tc>
          <w:tcPr>
            <w:tcW w:w="5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9</w:t>
            </w:r>
          </w:p>
        </w:tc>
      </w:tr>
      <w:tr>
        <w:trPr>
          <w:trHeight w:val="405"/>
        </w:trPr>
        <w:tc>
          <w:tcPr>
            <w:tcW w:w="1320" w:type="dxa"/>
            <w:vAlign w:val="bottom"/>
          </w:tcPr>
          <w:p>
            <w:pPr>
              <w:spacing w:after="0"/>
              <w:rPr>
                <w:sz w:val="20"/>
                <w:szCs w:val="20"/>
                <w:color w:val="auto"/>
              </w:rPr>
            </w:pPr>
            <w:r>
              <w:rPr>
                <w:rFonts w:ascii="Courier New" w:cs="Courier New" w:eastAsia="Courier New" w:hAnsi="Courier New"/>
                <w:sz w:val="18"/>
                <w:szCs w:val="18"/>
                <w:color w:val="auto"/>
              </w:rPr>
              <w:t>23.2</w:t>
            </w:r>
          </w:p>
        </w:tc>
        <w:tc>
          <w:tcPr>
            <w:tcW w:w="6220" w:type="dxa"/>
            <w:vAlign w:val="bottom"/>
          </w:tcPr>
          <w:p>
            <w:pPr>
              <w:ind w:left="480"/>
              <w:spacing w:after="0"/>
              <w:rPr>
                <w:sz w:val="20"/>
                <w:szCs w:val="20"/>
                <w:color w:val="auto"/>
              </w:rPr>
            </w:pPr>
            <w:r>
              <w:rPr>
                <w:rFonts w:ascii="Courier New" w:cs="Courier New" w:eastAsia="Courier New" w:hAnsi="Courier New"/>
                <w:sz w:val="18"/>
                <w:szCs w:val="18"/>
                <w:color w:val="auto"/>
              </w:rPr>
              <w:t>Consent of Ropes &amp; Gray (contained in the opinion</w:t>
            </w:r>
          </w:p>
        </w:tc>
        <w:tc>
          <w:tcPr>
            <w:tcW w:w="580" w:type="dxa"/>
            <w:vAlign w:val="bottom"/>
          </w:tcPr>
          <w:p>
            <w:pPr>
              <w:spacing w:after="0"/>
              <w:rPr>
                <w:sz w:val="24"/>
                <w:szCs w:val="24"/>
                <w:color w:val="auto"/>
              </w:rPr>
            </w:pPr>
          </w:p>
        </w:tc>
      </w:tr>
      <w:tr>
        <w:trPr>
          <w:trHeight w:val="203"/>
        </w:trPr>
        <w:tc>
          <w:tcPr>
            <w:tcW w:w="1320" w:type="dxa"/>
            <w:vAlign w:val="bottom"/>
          </w:tcPr>
          <w:p>
            <w:pPr>
              <w:spacing w:after="0"/>
              <w:rPr>
                <w:sz w:val="17"/>
                <w:szCs w:val="17"/>
                <w:color w:val="auto"/>
              </w:rPr>
            </w:pPr>
          </w:p>
        </w:tc>
        <w:tc>
          <w:tcPr>
            <w:tcW w:w="622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w w:val="99"/>
              </w:rPr>
              <w:t>filed as Exhibit 5.1 to this registration statement).</w:t>
            </w:r>
          </w:p>
        </w:tc>
        <w:tc>
          <w:tcPr>
            <w:tcW w:w="580" w:type="dxa"/>
            <w:vAlign w:val="bottom"/>
          </w:tcPr>
          <w:p>
            <w:pPr>
              <w:spacing w:after="0"/>
              <w:rPr>
                <w:sz w:val="17"/>
                <w:szCs w:val="17"/>
                <w:color w:val="auto"/>
              </w:rPr>
            </w:pPr>
          </w:p>
        </w:tc>
      </w:tr>
      <w:tr>
        <w:trPr>
          <w:trHeight w:val="405"/>
        </w:trPr>
        <w:tc>
          <w:tcPr>
            <w:tcW w:w="1320" w:type="dxa"/>
            <w:vAlign w:val="bottom"/>
          </w:tcPr>
          <w:p>
            <w:pPr>
              <w:spacing w:after="0"/>
              <w:rPr>
                <w:sz w:val="20"/>
                <w:szCs w:val="20"/>
                <w:color w:val="auto"/>
              </w:rPr>
            </w:pPr>
            <w:r>
              <w:rPr>
                <w:rFonts w:ascii="Courier New" w:cs="Courier New" w:eastAsia="Courier New" w:hAnsi="Courier New"/>
                <w:sz w:val="18"/>
                <w:szCs w:val="18"/>
                <w:color w:val="auto"/>
              </w:rPr>
              <w:t>24.1</w:t>
            </w:r>
          </w:p>
        </w:tc>
        <w:tc>
          <w:tcPr>
            <w:tcW w:w="6220" w:type="dxa"/>
            <w:vAlign w:val="bottom"/>
          </w:tcPr>
          <w:p>
            <w:pPr>
              <w:ind w:left="480"/>
              <w:spacing w:after="0"/>
              <w:rPr>
                <w:sz w:val="20"/>
                <w:szCs w:val="20"/>
                <w:color w:val="auto"/>
              </w:rPr>
            </w:pPr>
            <w:r>
              <w:rPr>
                <w:rFonts w:ascii="Courier New" w:cs="Courier New" w:eastAsia="Courier New" w:hAnsi="Courier New"/>
                <w:sz w:val="18"/>
                <w:szCs w:val="18"/>
                <w:color w:val="auto"/>
              </w:rPr>
              <w:t>Powers of Attorney (included in Part II of this</w:t>
            </w:r>
          </w:p>
        </w:tc>
        <w:tc>
          <w:tcPr>
            <w:tcW w:w="580" w:type="dxa"/>
            <w:vAlign w:val="bottom"/>
          </w:tcPr>
          <w:p>
            <w:pPr>
              <w:spacing w:after="0"/>
              <w:rPr>
                <w:sz w:val="24"/>
                <w:szCs w:val="24"/>
                <w:color w:val="auto"/>
              </w:rPr>
            </w:pPr>
          </w:p>
        </w:tc>
      </w:tr>
      <w:tr>
        <w:trPr>
          <w:trHeight w:val="203"/>
        </w:trPr>
        <w:tc>
          <w:tcPr>
            <w:tcW w:w="1320" w:type="dxa"/>
            <w:vAlign w:val="bottom"/>
          </w:tcPr>
          <w:p>
            <w:pPr>
              <w:spacing w:after="0"/>
              <w:rPr>
                <w:sz w:val="17"/>
                <w:szCs w:val="17"/>
                <w:color w:val="auto"/>
              </w:rPr>
            </w:pPr>
          </w:p>
        </w:tc>
        <w:tc>
          <w:tcPr>
            <w:tcW w:w="622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registration statement under the caption</w:t>
            </w:r>
          </w:p>
        </w:tc>
        <w:tc>
          <w:tcPr>
            <w:tcW w:w="580" w:type="dxa"/>
            <w:vAlign w:val="bottom"/>
          </w:tcPr>
          <w:p>
            <w:pPr>
              <w:spacing w:after="0"/>
              <w:rPr>
                <w:sz w:val="17"/>
                <w:szCs w:val="17"/>
                <w:color w:val="auto"/>
              </w:rPr>
            </w:pPr>
          </w:p>
        </w:tc>
      </w:tr>
      <w:tr>
        <w:trPr>
          <w:trHeight w:val="203"/>
        </w:trPr>
        <w:tc>
          <w:tcPr>
            <w:tcW w:w="1320" w:type="dxa"/>
            <w:vAlign w:val="bottom"/>
          </w:tcPr>
          <w:p>
            <w:pPr>
              <w:spacing w:after="0"/>
              <w:rPr>
                <w:sz w:val="17"/>
                <w:szCs w:val="17"/>
                <w:color w:val="auto"/>
              </w:rPr>
            </w:pPr>
          </w:p>
        </w:tc>
        <w:tc>
          <w:tcPr>
            <w:tcW w:w="622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"Signatures").</w:t>
            </w:r>
          </w:p>
        </w:tc>
        <w:tc>
          <w:tcPr>
            <w:tcW w:w="580" w:type="dxa"/>
            <w:vAlign w:val="bottom"/>
          </w:tcPr>
          <w:p>
            <w:pPr>
              <w:spacing w:after="0"/>
              <w:rPr>
                <w:sz w:val="17"/>
                <w:szCs w:val="17"/>
                <w:color w:val="auto"/>
              </w:rPr>
            </w:pPr>
          </w:p>
        </w:tc>
      </w:tr>
      <w:tr>
        <w:trPr>
          <w:trHeight w:val="405"/>
        </w:trPr>
        <w:tc>
          <w:tcPr>
            <w:tcW w:w="1320" w:type="dxa"/>
            <w:vAlign w:val="bottom"/>
          </w:tcPr>
          <w:p>
            <w:pPr>
              <w:spacing w:after="0"/>
              <w:rPr>
                <w:sz w:val="20"/>
                <w:szCs w:val="20"/>
                <w:color w:val="auto"/>
              </w:rPr>
            </w:pPr>
            <w:r>
              <w:rPr>
                <w:rFonts w:ascii="Courier New" w:cs="Courier New" w:eastAsia="Courier New" w:hAnsi="Courier New"/>
                <w:sz w:val="18"/>
                <w:szCs w:val="18"/>
                <w:color w:val="auto"/>
              </w:rPr>
              <w:t>99.1</w:t>
            </w:r>
          </w:p>
        </w:tc>
        <w:tc>
          <w:tcPr>
            <w:tcW w:w="6220" w:type="dxa"/>
            <w:vAlign w:val="bottom"/>
          </w:tcPr>
          <w:p>
            <w:pPr>
              <w:ind w:left="480"/>
              <w:spacing w:after="0"/>
              <w:rPr>
                <w:sz w:val="20"/>
                <w:szCs w:val="20"/>
                <w:color w:val="auto"/>
              </w:rPr>
            </w:pPr>
            <w:r>
              <w:rPr>
                <w:rFonts w:ascii="Courier New" w:cs="Courier New" w:eastAsia="Courier New" w:hAnsi="Courier New"/>
                <w:sz w:val="18"/>
                <w:szCs w:val="18"/>
                <w:color w:val="auto"/>
              </w:rPr>
              <w:t>1992 Equity Incentive Plan, as amended to date</w:t>
            </w:r>
          </w:p>
        </w:tc>
        <w:tc>
          <w:tcPr>
            <w:tcW w:w="5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10</w:t>
            </w:r>
          </w:p>
        </w:tc>
      </w:tr>
      <w:tr>
        <w:trPr>
          <w:trHeight w:val="810"/>
        </w:trPr>
        <w:tc>
          <w:tcPr>
            <w:tcW w:w="1320" w:type="dxa"/>
            <w:vAlign w:val="bottom"/>
          </w:tcPr>
          <w:p>
            <w:pPr>
              <w:spacing w:after="0"/>
              <w:rPr>
                <w:sz w:val="24"/>
                <w:szCs w:val="24"/>
                <w:color w:val="auto"/>
              </w:rPr>
            </w:pPr>
          </w:p>
        </w:tc>
        <w:tc>
          <w:tcPr>
            <w:tcW w:w="6220" w:type="dxa"/>
            <w:vAlign w:val="bottom"/>
          </w:tcPr>
          <w:p>
            <w:pPr>
              <w:ind w:left="2800"/>
              <w:spacing w:after="0"/>
              <w:rPr>
                <w:sz w:val="20"/>
                <w:szCs w:val="20"/>
                <w:color w:val="auto"/>
              </w:rPr>
            </w:pPr>
            <w:r>
              <w:rPr>
                <w:rFonts w:ascii="Courier New" w:cs="Courier New" w:eastAsia="Courier New" w:hAnsi="Courier New"/>
                <w:sz w:val="18"/>
                <w:szCs w:val="18"/>
                <w:color w:val="auto"/>
              </w:rPr>
              <w:t>-7-</w:t>
            </w:r>
          </w:p>
        </w:tc>
        <w:tc>
          <w:tcPr>
            <w:tcW w:w="580" w:type="dxa"/>
            <w:vAlign w:val="bottom"/>
          </w:tcPr>
          <w:p>
            <w:pPr>
              <w:spacing w:after="0"/>
              <w:rPr>
                <w:sz w:val="24"/>
                <w:szCs w:val="24"/>
                <w:color w:val="auto"/>
              </w:rPr>
            </w:pPr>
          </w:p>
        </w:tc>
      </w:tr>
    </w:tbl>
    <w:p>
      <w:pPr>
        <w:sectPr>
          <w:pgSz w:w="11900" w:h="16838" w:orient="portrait"/>
          <w:cols w:equalWidth="0" w:num="1">
            <w:col w:w="10219"/>
          </w:cols>
          <w:pgMar w:left="240" w:top="312" w:right="1440" w:bottom="1440" w:gutter="0" w:footer="0" w:header="0"/>
        </w:sectPr>
      </w:pPr>
    </w:p>
    <w:bookmarkStart w:id="8" w:name="page9"/>
    <w:bookmarkEnd w:id="8"/>
    <w:p>
      <w:pPr>
        <w:ind w:left="320"/>
        <w:spacing w:after="0"/>
        <w:rPr>
          <w:sz w:val="20"/>
          <w:szCs w:val="20"/>
          <w:color w:val="auto"/>
        </w:rPr>
      </w:pPr>
      <w:r>
        <w:rPr>
          <w:rFonts w:ascii="Courier New" w:cs="Courier New" w:eastAsia="Courier New" w:hAnsi="Courier New"/>
          <w:sz w:val="18"/>
          <w:szCs w:val="18"/>
          <w:color w:val="auto"/>
        </w:rPr>
        <w:t>1</w:t>
      </w:r>
    </w:p>
    <w:p>
      <w:pPr>
        <w:spacing w:after="0" w:line="201" w:lineRule="exact"/>
        <w:rPr>
          <w:sz w:val="20"/>
          <w:szCs w:val="20"/>
          <w:color w:val="auto"/>
        </w:rPr>
      </w:pPr>
    </w:p>
    <w:p>
      <w:pPr>
        <w:jc w:val="right"/>
        <w:ind w:right="1879"/>
        <w:spacing w:after="0"/>
        <w:rPr>
          <w:sz w:val="20"/>
          <w:szCs w:val="20"/>
          <w:color w:val="auto"/>
        </w:rPr>
      </w:pPr>
      <w:r>
        <w:rPr>
          <w:rFonts w:ascii="Courier New" w:cs="Courier New" w:eastAsia="Courier New" w:hAnsi="Courier New"/>
          <w:sz w:val="18"/>
          <w:szCs w:val="18"/>
          <w:color w:val="auto"/>
        </w:rPr>
        <w:t>Exhibit 5.1</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August 23, 1996</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CytoTherapeutics, Inc.</w:t>
      </w:r>
    </w:p>
    <w:p>
      <w:pPr>
        <w:spacing w:after="0" w:line="238" w:lineRule="auto"/>
        <w:rPr>
          <w:sz w:val="20"/>
          <w:szCs w:val="20"/>
          <w:color w:val="auto"/>
        </w:rPr>
      </w:pPr>
      <w:r>
        <w:rPr>
          <w:rFonts w:ascii="Courier New" w:cs="Courier New" w:eastAsia="Courier New" w:hAnsi="Courier New"/>
          <w:sz w:val="18"/>
          <w:szCs w:val="18"/>
          <w:color w:val="auto"/>
        </w:rPr>
        <w:t>2 Richmond Square</w:t>
      </w:r>
    </w:p>
    <w:p>
      <w:pPr>
        <w:spacing w:after="0"/>
        <w:tabs>
          <w:tab w:leader="none" w:pos="1680" w:val="left"/>
        </w:tabs>
        <w:rPr>
          <w:sz w:val="20"/>
          <w:szCs w:val="20"/>
          <w:color w:val="auto"/>
        </w:rPr>
      </w:pPr>
      <w:r>
        <w:rPr>
          <w:rFonts w:ascii="Courier New" w:cs="Courier New" w:eastAsia="Courier New" w:hAnsi="Courier New"/>
          <w:sz w:val="18"/>
          <w:szCs w:val="18"/>
          <w:color w:val="auto"/>
        </w:rPr>
        <w:t>Providence, RI</w:t>
      </w:r>
      <w:r>
        <w:rPr>
          <w:sz w:val="20"/>
          <w:szCs w:val="20"/>
          <w:color w:val="auto"/>
        </w:rPr>
        <w:tab/>
      </w:r>
      <w:r>
        <w:rPr>
          <w:rFonts w:ascii="Courier New" w:cs="Courier New" w:eastAsia="Courier New" w:hAnsi="Courier New"/>
          <w:sz w:val="16"/>
          <w:szCs w:val="16"/>
          <w:color w:val="auto"/>
        </w:rPr>
        <w:t>02906</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Ladies and Gentlemen:</w:t>
      </w:r>
    </w:p>
    <w:p>
      <w:pPr>
        <w:spacing w:after="0" w:line="207" w:lineRule="exact"/>
        <w:rPr>
          <w:sz w:val="20"/>
          <w:szCs w:val="20"/>
          <w:color w:val="auto"/>
        </w:rPr>
      </w:pPr>
    </w:p>
    <w:p>
      <w:pPr>
        <w:ind w:right="1879" w:firstLine="948"/>
        <w:spacing w:after="0" w:line="272" w:lineRule="auto"/>
        <w:rPr>
          <w:sz w:val="20"/>
          <w:szCs w:val="20"/>
          <w:color w:val="auto"/>
        </w:rPr>
      </w:pPr>
      <w:r>
        <w:rPr>
          <w:rFonts w:ascii="Courier New" w:cs="Courier New" w:eastAsia="Courier New" w:hAnsi="Courier New"/>
          <w:sz w:val="16"/>
          <w:szCs w:val="16"/>
          <w:color w:val="auto"/>
        </w:rPr>
        <w:t>This opinion is furnished to you in connection with a registration statement on Form S-8 (the "Registration Statement"), filed with the Securities and Exchange Commission (the "Commission") under the Securities Act of 1933, as amended, for the registration of 1,500,000 shares of common stock, $.01 par value (the "Shares"), of CytoTherapeutics, Inc. (the "Company") issuable under the Company's 1992 Equity Incentive Plan, as amended (the "Plan").</w:t>
      </w:r>
    </w:p>
    <w:p>
      <w:pPr>
        <w:spacing w:after="0" w:line="186"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We have acted as counsel for the Company in connection with the Plan and are familiar with the actions taken by the Company in connection therewith. For purposes of this opinion we have examined the Registration Statement, the Plan, and such other documents as we deemed appropriate.</w:t>
      </w:r>
    </w:p>
    <w:p>
      <w:pPr>
        <w:spacing w:after="0" w:line="207" w:lineRule="exact"/>
        <w:rPr>
          <w:sz w:val="20"/>
          <w:szCs w:val="20"/>
          <w:color w:val="auto"/>
        </w:rPr>
      </w:pPr>
    </w:p>
    <w:p>
      <w:pPr>
        <w:ind w:right="2099" w:firstLine="948"/>
        <w:spacing w:after="0" w:line="237" w:lineRule="auto"/>
        <w:rPr>
          <w:sz w:val="20"/>
          <w:szCs w:val="20"/>
          <w:color w:val="auto"/>
        </w:rPr>
      </w:pPr>
      <w:r>
        <w:rPr>
          <w:rFonts w:ascii="Courier New" w:cs="Courier New" w:eastAsia="Courier New" w:hAnsi="Courier New"/>
          <w:sz w:val="18"/>
          <w:szCs w:val="18"/>
          <w:color w:val="auto"/>
        </w:rPr>
        <w:t>Based upon the foregoing, we are of the opinion that (i) the Shares have been duly authorized, and the Shares, when issued and sold in accordance with the terms of the Plan, will be validly issued, fully paid and non-assessable.</w:t>
      </w:r>
    </w:p>
    <w:p>
      <w:pPr>
        <w:spacing w:after="0" w:line="207" w:lineRule="exact"/>
        <w:rPr>
          <w:sz w:val="20"/>
          <w:szCs w:val="20"/>
          <w:color w:val="auto"/>
        </w:rPr>
      </w:pPr>
    </w:p>
    <w:p>
      <w:pPr>
        <w:ind w:right="1999" w:firstLine="948"/>
        <w:spacing w:after="0" w:line="236" w:lineRule="auto"/>
        <w:rPr>
          <w:sz w:val="20"/>
          <w:szCs w:val="20"/>
          <w:color w:val="auto"/>
        </w:rPr>
      </w:pPr>
      <w:r>
        <w:rPr>
          <w:rFonts w:ascii="Courier New" w:cs="Courier New" w:eastAsia="Courier New" w:hAnsi="Courier New"/>
          <w:sz w:val="18"/>
          <w:szCs w:val="18"/>
          <w:color w:val="auto"/>
        </w:rPr>
        <w:t>We hereby consent to your filing this opinion as an exhibit to the Registration Statement and to all references to our firm included in or made a part of this Registration Statement.</w:t>
      </w:r>
    </w:p>
    <w:p>
      <w:pPr>
        <w:spacing w:after="0" w:line="203"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Very truly yours,</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/s/ Ropes &amp; Gray</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Ropes &amp; Gray</w:t>
      </w:r>
    </w:p>
    <w:p>
      <w:pPr>
        <w:sectPr>
          <w:pgSz w:w="11900" w:h="16838" w:orient="portrait"/>
          <w:cols w:equalWidth="0" w:num="1">
            <w:col w:w="10219"/>
          </w:cols>
          <w:pgMar w:left="240" w:top="136" w:right="1440" w:bottom="1440" w:gutter="0" w:footer="0" w:header="0"/>
        </w:sectPr>
      </w:pPr>
    </w:p>
    <w:bookmarkStart w:id="9" w:name="page10"/>
    <w:bookmarkEnd w:id="9"/>
    <w:p>
      <w:pPr>
        <w:ind w:left="320"/>
        <w:spacing w:after="0"/>
        <w:rPr>
          <w:sz w:val="20"/>
          <w:szCs w:val="20"/>
          <w:color w:val="auto"/>
        </w:rPr>
      </w:pPr>
      <w:r>
        <w:rPr>
          <w:rFonts w:ascii="Courier New" w:cs="Courier New" w:eastAsia="Courier New" w:hAnsi="Courier New"/>
          <w:sz w:val="18"/>
          <w:szCs w:val="18"/>
          <w:color w:val="auto"/>
        </w:rPr>
        <w:t>1</w:t>
      </w:r>
    </w:p>
    <w:p>
      <w:pPr>
        <w:spacing w:after="0" w:line="200" w:lineRule="exact"/>
        <w:rPr>
          <w:sz w:val="20"/>
          <w:szCs w:val="20"/>
          <w:color w:val="auto"/>
        </w:rPr>
      </w:pPr>
    </w:p>
    <w:p>
      <w:pPr>
        <w:spacing w:after="0" w:line="204" w:lineRule="exact"/>
        <w:rPr>
          <w:sz w:val="20"/>
          <w:szCs w:val="20"/>
          <w:color w:val="auto"/>
        </w:rPr>
      </w:pPr>
    </w:p>
    <w:p>
      <w:pPr>
        <w:jc w:val="right"/>
        <w:ind w:right="1879"/>
        <w:spacing w:after="0"/>
        <w:rPr>
          <w:sz w:val="20"/>
          <w:szCs w:val="20"/>
          <w:color w:val="auto"/>
        </w:rPr>
      </w:pPr>
      <w:r>
        <w:rPr>
          <w:rFonts w:ascii="Courier New" w:cs="Courier New" w:eastAsia="Courier New" w:hAnsi="Courier New"/>
          <w:sz w:val="18"/>
          <w:szCs w:val="18"/>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CONSENT OF INDEPENDENT AUDITORS</w:t>
      </w:r>
    </w:p>
    <w:p>
      <w:pPr>
        <w:spacing w:after="0" w:line="200" w:lineRule="exact"/>
        <w:rPr>
          <w:sz w:val="20"/>
          <w:szCs w:val="20"/>
          <w:color w:val="auto"/>
        </w:rPr>
      </w:pPr>
    </w:p>
    <w:p>
      <w:pPr>
        <w:spacing w:after="0" w:line="209" w:lineRule="exact"/>
        <w:rPr>
          <w:sz w:val="20"/>
          <w:szCs w:val="20"/>
          <w:color w:val="auto"/>
        </w:rPr>
      </w:pPr>
    </w:p>
    <w:p>
      <w:pPr>
        <w:ind w:right="1999" w:firstLine="948"/>
        <w:spacing w:after="0" w:line="268" w:lineRule="auto"/>
        <w:rPr>
          <w:sz w:val="20"/>
          <w:szCs w:val="20"/>
          <w:color w:val="auto"/>
        </w:rPr>
      </w:pPr>
      <w:r>
        <w:rPr>
          <w:rFonts w:ascii="Courier New" w:cs="Courier New" w:eastAsia="Courier New" w:hAnsi="Courier New"/>
          <w:sz w:val="16"/>
          <w:szCs w:val="16"/>
          <w:color w:val="auto"/>
        </w:rPr>
        <w:t>We consent to the reference of our firm in the Registration Statement (Form S-8 No. 333-_____) pertaining to the 1992 Equity Incentive Plan of</w:t>
      </w:r>
    </w:p>
    <w:p>
      <w:pPr>
        <w:ind w:right="2319"/>
        <w:spacing w:after="0" w:line="237" w:lineRule="auto"/>
        <w:rPr>
          <w:sz w:val="20"/>
          <w:szCs w:val="20"/>
          <w:color w:val="auto"/>
        </w:rPr>
      </w:pPr>
      <w:r>
        <w:rPr>
          <w:rFonts w:ascii="Courier New" w:cs="Courier New" w:eastAsia="Courier New" w:hAnsi="Courier New"/>
          <w:sz w:val="18"/>
          <w:szCs w:val="18"/>
          <w:color w:val="auto"/>
        </w:rPr>
        <w:t>CytoTherapeutics, Inc. and to the incorporation by reference therein of our report dated January 22, 1996, with respect to the financial statements of CytoTherapeutics, Inc. incorporated by reference in its Annual Report (Form 10-K) for the year ended December 31, 1995, filed with the Securities and Exchange Commission.</w:t>
      </w:r>
    </w:p>
    <w:p>
      <w:pPr>
        <w:spacing w:after="0" w:line="200" w:lineRule="exact"/>
        <w:rPr>
          <w:sz w:val="20"/>
          <w:szCs w:val="20"/>
          <w:color w:val="auto"/>
        </w:rPr>
      </w:pPr>
    </w:p>
    <w:p>
      <w:pPr>
        <w:spacing w:after="0" w:line="206" w:lineRule="exact"/>
        <w:rPr>
          <w:sz w:val="20"/>
          <w:szCs w:val="20"/>
          <w:color w:val="auto"/>
        </w:rPr>
      </w:pPr>
    </w:p>
    <w:p>
      <w:pPr>
        <w:ind w:left="5160"/>
        <w:spacing w:after="0"/>
        <w:rPr>
          <w:sz w:val="20"/>
          <w:szCs w:val="20"/>
          <w:color w:val="auto"/>
        </w:rPr>
      </w:pPr>
      <w:r>
        <w:rPr>
          <w:rFonts w:ascii="Courier New" w:cs="Courier New" w:eastAsia="Courier New" w:hAnsi="Courier New"/>
          <w:sz w:val="18"/>
          <w:szCs w:val="18"/>
          <w:color w:val="auto"/>
        </w:rPr>
        <w:t>/s/ Ernst &amp; Young LLP</w:t>
      </w:r>
    </w:p>
    <w:p>
      <w:pPr>
        <w:spacing w:after="0" w:line="201" w:lineRule="exact"/>
        <w:rPr>
          <w:sz w:val="20"/>
          <w:szCs w:val="20"/>
          <w:color w:val="auto"/>
        </w:rPr>
      </w:pPr>
    </w:p>
    <w:p>
      <w:pPr>
        <w:ind w:left="5160"/>
        <w:spacing w:after="0"/>
        <w:rPr>
          <w:sz w:val="20"/>
          <w:szCs w:val="20"/>
          <w:color w:val="auto"/>
        </w:rPr>
      </w:pPr>
      <w:r>
        <w:rPr>
          <w:rFonts w:ascii="Courier New" w:cs="Courier New" w:eastAsia="Courier New" w:hAnsi="Courier New"/>
          <w:sz w:val="18"/>
          <w:szCs w:val="18"/>
          <w:color w:val="auto"/>
        </w:rPr>
        <w:t>ERNST &amp; YOUNG LLP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Boston, Massachusetts</w:t>
      </w:r>
    </w:p>
    <w:p>
      <w:pPr>
        <w:spacing w:after="0" w:line="238" w:lineRule="auto"/>
        <w:rPr>
          <w:sz w:val="20"/>
          <w:szCs w:val="20"/>
          <w:color w:val="auto"/>
        </w:rPr>
      </w:pPr>
      <w:r>
        <w:rPr>
          <w:rFonts w:ascii="Courier New" w:cs="Courier New" w:eastAsia="Courier New" w:hAnsi="Courier New"/>
          <w:sz w:val="18"/>
          <w:szCs w:val="18"/>
          <w:color w:val="auto"/>
        </w:rPr>
        <w:t>August 22, 1996</w:t>
      </w:r>
    </w:p>
    <w:p>
      <w:pPr>
        <w:sectPr>
          <w:pgSz w:w="11900" w:h="16838" w:orient="portrait"/>
          <w:cols w:equalWidth="0" w:num="1">
            <w:col w:w="10219"/>
          </w:cols>
          <w:pgMar w:left="240" w:top="136" w:right="1440" w:bottom="1440" w:gutter="0" w:footer="0" w:header="0"/>
        </w:sectPr>
      </w:pPr>
    </w:p>
    <w:bookmarkStart w:id="10" w:name="page11"/>
    <w:bookmarkEnd w:id="10"/>
    <w:p>
      <w:pPr>
        <w:ind w:left="320"/>
        <w:spacing w:after="0"/>
        <w:rPr>
          <w:sz w:val="20"/>
          <w:szCs w:val="20"/>
          <w:color w:val="auto"/>
        </w:rPr>
      </w:pPr>
      <w:r>
        <w:rPr>
          <w:rFonts w:ascii="Courier New" w:cs="Courier New" w:eastAsia="Courier New" w:hAnsi="Courier New"/>
          <w:sz w:val="18"/>
          <w:szCs w:val="18"/>
          <w:color w:val="auto"/>
        </w:rPr>
        <w:t>1</w:t>
      </w:r>
    </w:p>
    <w:p>
      <w:pPr>
        <w:spacing w:after="0" w:line="200" w:lineRule="exact"/>
        <w:rPr>
          <w:sz w:val="20"/>
          <w:szCs w:val="20"/>
          <w:color w:val="auto"/>
        </w:rPr>
      </w:pPr>
    </w:p>
    <w:p>
      <w:pPr>
        <w:spacing w:after="0" w:line="204" w:lineRule="exact"/>
        <w:rPr>
          <w:sz w:val="20"/>
          <w:szCs w:val="20"/>
          <w:color w:val="auto"/>
        </w:rPr>
      </w:pPr>
    </w:p>
    <w:p>
      <w:pPr>
        <w:jc w:val="right"/>
        <w:ind w:right="1879"/>
        <w:spacing w:after="0"/>
        <w:rPr>
          <w:sz w:val="20"/>
          <w:szCs w:val="20"/>
          <w:color w:val="auto"/>
        </w:rPr>
      </w:pPr>
      <w:r>
        <w:rPr>
          <w:rFonts w:ascii="Courier New" w:cs="Courier New" w:eastAsia="Courier New" w:hAnsi="Courier New"/>
          <w:sz w:val="18"/>
          <w:szCs w:val="18"/>
          <w:color w:val="auto"/>
        </w:rPr>
        <w:t>Exhibit 99.1</w:t>
      </w:r>
    </w:p>
    <w:p>
      <w:pPr>
        <w:spacing w:after="0" w:line="201" w:lineRule="exact"/>
        <w:rPr>
          <w:sz w:val="20"/>
          <w:szCs w:val="20"/>
          <w:color w:val="auto"/>
        </w:rPr>
      </w:pPr>
    </w:p>
    <w:p>
      <w:pPr>
        <w:jc w:val="right"/>
        <w:ind w:right="1879"/>
        <w:spacing w:after="0"/>
        <w:rPr>
          <w:sz w:val="20"/>
          <w:szCs w:val="20"/>
          <w:color w:val="auto"/>
        </w:rPr>
      </w:pPr>
      <w:r>
        <w:rPr>
          <w:rFonts w:ascii="Courier New" w:cs="Courier New" w:eastAsia="Courier New" w:hAnsi="Courier New"/>
          <w:sz w:val="18"/>
          <w:szCs w:val="18"/>
          <w:color w:val="auto"/>
        </w:rPr>
        <w:t>As Amended Through</w:t>
      </w:r>
    </w:p>
    <w:p>
      <w:pPr>
        <w:jc w:val="right"/>
        <w:ind w:right="1879"/>
        <w:spacing w:after="0" w:line="238" w:lineRule="auto"/>
        <w:rPr>
          <w:sz w:val="20"/>
          <w:szCs w:val="20"/>
          <w:color w:val="auto"/>
        </w:rPr>
      </w:pPr>
      <w:r>
        <w:rPr>
          <w:rFonts w:ascii="Courier New" w:cs="Courier New" w:eastAsia="Courier New" w:hAnsi="Courier New"/>
          <w:sz w:val="18"/>
          <w:szCs w:val="18"/>
          <w:color w:val="auto"/>
        </w:rPr>
        <w:t>April, 1996</w:t>
      </w:r>
    </w:p>
    <w:p>
      <w:pPr>
        <w:spacing w:after="0" w:line="200" w:lineRule="exact"/>
        <w:rPr>
          <w:sz w:val="20"/>
          <w:szCs w:val="20"/>
          <w:color w:val="auto"/>
        </w:rPr>
      </w:pPr>
    </w:p>
    <w:p>
      <w:pPr>
        <w:spacing w:after="0" w:line="20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CYTOTHERAPEUTICS, INC.</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1992 EQUITY INCENTIVE PLAN</w:t>
      </w:r>
    </w:p>
    <w:p>
      <w:pPr>
        <w:spacing w:after="0" w:line="200" w:lineRule="exact"/>
        <w:rPr>
          <w:sz w:val="20"/>
          <w:szCs w:val="20"/>
          <w:color w:val="auto"/>
        </w:rPr>
      </w:pPr>
    </w:p>
    <w:p>
      <w:pPr>
        <w:spacing w:after="0" w:line="204" w:lineRule="exact"/>
        <w:rPr>
          <w:sz w:val="20"/>
          <w:szCs w:val="20"/>
          <w:color w:val="auto"/>
        </w:rPr>
      </w:pPr>
    </w:p>
    <w:p>
      <w:pPr>
        <w:ind w:left="540" w:hanging="532"/>
        <w:spacing w:after="0"/>
        <w:tabs>
          <w:tab w:leader="none" w:pos="5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PURPOSE</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purpose of this Equity Incentive Plan (the "Plan") is to advance the interests of CytoTherapeutics, Inc. (the "Company") by enhancing its ability to attract and retain employees and other persons or entities who are in a position to make significant contributions to the success of the Company and its subsidiaries through ownership of shares of the Company's common stock ("Stock").</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Plan is intended to accomplish these goals by enabling the Company to grant Awards in the form of Options, Stock Appreciation Rights, Restricted Stock or Unrestricted Stock Awards, Deferred Stock Awards, Performance Awards, Loans or Supplement Grants, or combinations thereof, all as more fully described below.</w:t>
      </w:r>
    </w:p>
    <w:p>
      <w:pPr>
        <w:spacing w:after="0" w:line="203" w:lineRule="exact"/>
        <w:rPr>
          <w:sz w:val="20"/>
          <w:szCs w:val="20"/>
          <w:color w:val="auto"/>
        </w:rPr>
      </w:pPr>
    </w:p>
    <w:p>
      <w:pPr>
        <w:ind w:left="540" w:hanging="532"/>
        <w:spacing w:after="0"/>
        <w:tabs>
          <w:tab w:leader="none" w:pos="5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ADMINISTRATION</w:t>
      </w:r>
    </w:p>
    <w:p>
      <w:pPr>
        <w:spacing w:after="0" w:line="207"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The Plan will be administered by the Board of Directors of the Company (the "Board"). The Board will have authority, not inconsistent with the express provisions of the Plan and in addition to other authority granted under the Plan, to (a) grant Awards at such time or times as it may choose; (b) determine the size of each Award, including the number of shares of Stock subject to the Award; (c) determine the type or types of each Award; (d) determine the terms and conditions of each Award; (e) waive compliance by a Participant (as defined below) with any obligations to be performed by the Participant under an Award and waive any term or condition of an Award; (f) amend or cancel an existing Award in whole or in part (and if an award is cancelled, grant another Award in its place on such terms as the Board shall specify), except that the Board may not, without the consent of the holder of an Award, take any action under this clause with respect to such Award if such action would adversely affect the rights of such holder; (g) prescribe the form or forms of instruments that are required or deemed appropriate under the Plan, including any written notices and elections required of Participants, and change such forms from time to time; (h) adopt, amend and rescind rules and regulations for the administration of the Plan; and (i) interpret the Plan and decide any questions and settle all controversies and disputes that may arise in connection with the Plan. Such determinations and actions of the Board, and all other determinations and actions of the Board made or taken under authority granted by any provision of the Plan, will be conclusive and will bind all parties. Nothing in this paragraph shall be construed as limiting the power of the Board to make adjustments under Section 7.3 or Section 8.6.</w:t>
      </w:r>
    </w:p>
    <w:p>
      <w:pPr>
        <w:spacing w:after="0" w:line="200" w:lineRule="exact"/>
        <w:rPr>
          <w:sz w:val="20"/>
          <w:szCs w:val="20"/>
          <w:color w:val="auto"/>
        </w:rPr>
      </w:pPr>
    </w:p>
    <w:p>
      <w:pPr>
        <w:spacing w:after="0" w:line="395"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Board may, in its discretion, delegate some or all of its powers with respect to the Plan to a committee (the "Committee"), in which event all references (as appropriate) to the Board hereunder shall be deemed to refer to the Committee. The Committee, if one is appointed, shall consist of at least two directors. A majority of the members of the Committee shall constitute a quorum, and all determinations of the Committee shall be made by a majority of its members. Any determination of the Committee under the Plan may be made without notice or meeting of the Committee by a writing signed by a majority of the Committee members. On and after registration of the Stock under the Securities Exchange Act of 1934 (the "1934 Act"), the Board shall delegate the power to select directors and officers to receive Awards under the Plan and the timing, pricing and amount of such Awards to a committee, all members of which shall be disinterested persons within the meaning of Rule 16b-3 under the 1934 Act and "outside directors" within the meaning of section 162(m)(4)(C)(i) of the Internal Revenue Code of 1986, as amended (the "Code").</w:t>
      </w:r>
    </w:p>
    <w:p>
      <w:pPr>
        <w:spacing w:after="0" w:line="202"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3.</w:t>
      </w:r>
      <w:r>
        <w:rPr>
          <w:sz w:val="20"/>
          <w:szCs w:val="20"/>
          <w:color w:val="auto"/>
        </w:rPr>
        <w:tab/>
      </w:r>
      <w:r>
        <w:rPr>
          <w:rFonts w:ascii="Courier New" w:cs="Courier New" w:eastAsia="Courier New" w:hAnsi="Courier New"/>
          <w:sz w:val="18"/>
          <w:szCs w:val="18"/>
          <w:color w:val="auto"/>
        </w:rPr>
        <w:t>EFFECTIVE DATE AND TERM OF PLAN</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136" w:right="1440" w:bottom="740" w:gutter="0" w:footer="0" w:header="0"/>
        </w:sectPr>
      </w:pPr>
    </w:p>
    <w:bookmarkStart w:id="11" w:name="page12"/>
    <w:bookmarkEnd w:id="11"/>
    <w:p>
      <w:pPr>
        <w:ind w:left="320"/>
        <w:spacing w:after="0"/>
        <w:rPr>
          <w:sz w:val="20"/>
          <w:szCs w:val="20"/>
          <w:color w:val="auto"/>
        </w:rPr>
      </w:pPr>
      <w:r>
        <w:rPr>
          <w:rFonts w:ascii="Courier New" w:cs="Courier New" w:eastAsia="Courier New" w:hAnsi="Courier New"/>
          <w:sz w:val="18"/>
          <w:szCs w:val="18"/>
          <w:color w:val="auto"/>
        </w:rPr>
        <w:t>2</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Plan will become effective on the date on which it is approved by the stockholders of the Company. Grants of Awards under the Plan may be made prior to that date (but after Board adoption of the Plan), subject to such approval of the Plan.</w:t>
      </w:r>
    </w:p>
    <w:p>
      <w:pPr>
        <w:spacing w:after="0" w:line="207"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No Award may be granted under the Plan after February 12, 2002, but Awards previously granted may extend beyond that date.</w:t>
      </w:r>
    </w:p>
    <w:p>
      <w:pPr>
        <w:spacing w:after="0" w:line="203" w:lineRule="exact"/>
        <w:rPr>
          <w:sz w:val="20"/>
          <w:szCs w:val="20"/>
          <w:color w:val="auto"/>
        </w:rPr>
      </w:pPr>
    </w:p>
    <w:p>
      <w:pPr>
        <w:ind w:left="540" w:hanging="532"/>
        <w:spacing w:after="0"/>
        <w:tabs>
          <w:tab w:leader="none" w:pos="5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SHARES SUBJECT TO THE PLAN</w:t>
      </w:r>
    </w:p>
    <w:p>
      <w:pPr>
        <w:spacing w:after="0" w:line="207" w:lineRule="exact"/>
        <w:rPr>
          <w:sz w:val="20"/>
          <w:szCs w:val="20"/>
          <w:color w:val="auto"/>
        </w:rPr>
      </w:pPr>
    </w:p>
    <w:p>
      <w:pPr>
        <w:ind w:right="1999" w:firstLine="527"/>
        <w:spacing w:after="0" w:line="268" w:lineRule="auto"/>
        <w:rPr>
          <w:sz w:val="20"/>
          <w:szCs w:val="20"/>
          <w:color w:val="auto"/>
        </w:rPr>
      </w:pPr>
      <w:r>
        <w:rPr>
          <w:rFonts w:ascii="Courier New" w:cs="Courier New" w:eastAsia="Courier New" w:hAnsi="Courier New"/>
          <w:sz w:val="16"/>
          <w:szCs w:val="16"/>
          <w:color w:val="auto"/>
        </w:rPr>
        <w:t>Subject to the adjustment as provided in Section 8.6 below, the aggregate number of shares of Stock that may be delivered under the Plan will be</w:t>
      </w:r>
    </w:p>
    <w:p>
      <w:pPr>
        <w:ind w:right="1779"/>
        <w:spacing w:after="0" w:line="237" w:lineRule="auto"/>
        <w:rPr>
          <w:sz w:val="20"/>
          <w:szCs w:val="20"/>
          <w:color w:val="auto"/>
        </w:rPr>
      </w:pPr>
      <w:r>
        <w:rPr>
          <w:rFonts w:ascii="Courier New" w:cs="Courier New" w:eastAsia="Courier New" w:hAnsi="Courier New"/>
          <w:sz w:val="18"/>
          <w:szCs w:val="18"/>
          <w:color w:val="auto"/>
        </w:rPr>
        <w:t>3,000,000. If any Award requiring exercise by the Participant for delivery of Stock terminates without having been exercised in full, or if any Award payable in Stock or cash is satisfied in cash rather than Stock, the number of shares of Stock as to which such Award was not exercised or for which cash was substituted will be available for future grants.</w:t>
      </w:r>
    </w:p>
    <w:p>
      <w:pPr>
        <w:spacing w:after="0" w:line="209"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Stock delivered under the Plan may be either authorized but unissued Stock or previously issued Stock acquired by the Company and held in treasury. No fractional shares of Stock will be delivered under the Plan.</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Subject to Section 8.6(a), the maximum number of shares of Stock as to which Options may be granted to any Participant during the period beginning on May 24, 1994 and ending on February 12, 2002 is 350,000 and the maximum number of shares of Stock as to which Stock Appreciation Rights may be granted to any Participant during the period beginning on May 24, 1994 and ending on February 12, 2002 is 350,000. For purposes of this paragraph, except as otherwise provided in regulations or other guidance issued under Section 162(m) of the Code, any repricing of an Option or Stock Appreciation Right shall be treated as an additional grant.</w:t>
      </w:r>
    </w:p>
    <w:p>
      <w:pPr>
        <w:spacing w:after="0" w:line="208" w:lineRule="exact"/>
        <w:rPr>
          <w:sz w:val="20"/>
          <w:szCs w:val="20"/>
          <w:color w:val="auto"/>
        </w:rPr>
      </w:pPr>
    </w:p>
    <w:p>
      <w:pPr>
        <w:ind w:left="540" w:hanging="532"/>
        <w:spacing w:after="0"/>
        <w:tabs>
          <w:tab w:leader="none" w:pos="5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ELIGIBILITY AND PARTICIPATION</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Those eligible to receive Awards under the Plan ("Participants") will be employees of the Company or any of its subsidiaries ("Employees") and other persons or entities (including without limitation non-Employee directors of the Company or a subsidiary of the Company) who, in the opinion of the Board, are in a position to make a significant contribution to the success of the Company or its subsidiaries. A "subsidiary" for purposes of the Plan will be a corporation in which the Company owns, directly or indirectly, stock possessing 50% or more of the total combined voting power of all classes of stock.</w:t>
      </w:r>
    </w:p>
    <w:p>
      <w:pPr>
        <w:spacing w:after="0" w:line="186" w:lineRule="exact"/>
        <w:rPr>
          <w:sz w:val="20"/>
          <w:szCs w:val="20"/>
          <w:color w:val="auto"/>
        </w:rPr>
      </w:pPr>
    </w:p>
    <w:p>
      <w:pPr>
        <w:ind w:left="540" w:right="8099" w:hanging="532"/>
        <w:spacing w:after="0" w:line="536" w:lineRule="auto"/>
        <w:tabs>
          <w:tab w:leader="none" w:pos="54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TYPES OF AWARDS 6.1. Options.</w:t>
      </w:r>
    </w:p>
    <w:p>
      <w:pPr>
        <w:spacing w:after="0" w:line="1" w:lineRule="exact"/>
        <w:rPr>
          <w:sz w:val="20"/>
          <w:szCs w:val="20"/>
          <w:color w:val="auto"/>
        </w:rPr>
      </w:pPr>
    </w:p>
    <w:p>
      <w:pPr>
        <w:ind w:left="540" w:right="1999" w:firstLine="521"/>
        <w:spacing w:after="0" w:line="290" w:lineRule="auto"/>
        <w:tabs>
          <w:tab w:leader="none" w:pos="1488"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Nature of Options. An Option is an Award entitling the recipient on exercise thereof to purchase Stock at a specified exercise price.</w:t>
      </w:r>
    </w:p>
    <w:p>
      <w:pPr>
        <w:spacing w:after="0" w:line="170" w:lineRule="exact"/>
        <w:rPr>
          <w:sz w:val="20"/>
          <w:szCs w:val="20"/>
          <w:color w:val="auto"/>
        </w:rPr>
      </w:pPr>
    </w:p>
    <w:p>
      <w:pPr>
        <w:ind w:right="1879" w:firstLine="527"/>
        <w:spacing w:after="0" w:line="275" w:lineRule="auto"/>
        <w:rPr>
          <w:sz w:val="20"/>
          <w:szCs w:val="20"/>
          <w:color w:val="auto"/>
        </w:rPr>
      </w:pPr>
      <w:r>
        <w:rPr>
          <w:rFonts w:ascii="Courier New" w:cs="Courier New" w:eastAsia="Courier New" w:hAnsi="Courier New"/>
          <w:sz w:val="16"/>
          <w:szCs w:val="16"/>
          <w:color w:val="auto"/>
        </w:rPr>
        <w:t>Both "incentive stock options," as defined in section 422 of the Code (any Option intended to qualify as an incentive stock option being hereinafter referred to as an "ISO"), and Options that are not incentive stock options, may be granted under the Plan. ISOs shall be awarded only to Employees.</w:t>
      </w:r>
    </w:p>
    <w:p>
      <w:pPr>
        <w:spacing w:after="0" w:line="182" w:lineRule="exact"/>
        <w:rPr>
          <w:sz w:val="20"/>
          <w:szCs w:val="20"/>
          <w:color w:val="auto"/>
        </w:rPr>
      </w:pPr>
    </w:p>
    <w:p>
      <w:pPr>
        <w:ind w:left="540" w:right="1779" w:firstLine="521"/>
        <w:spacing w:after="0" w:line="235" w:lineRule="auto"/>
        <w:tabs>
          <w:tab w:leader="none" w:pos="1488"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Exercise Price. The exercise price of an Option will be determined by the Board subject to the following:</w:t>
      </w:r>
    </w:p>
    <w:p>
      <w:pPr>
        <w:spacing w:after="0" w:line="208" w:lineRule="exact"/>
        <w:rPr>
          <w:rFonts w:ascii="Courier New" w:cs="Courier New" w:eastAsia="Courier New" w:hAnsi="Courier New"/>
          <w:sz w:val="18"/>
          <w:szCs w:val="18"/>
          <w:color w:val="auto"/>
        </w:rPr>
      </w:pPr>
    </w:p>
    <w:p>
      <w:pPr>
        <w:ind w:left="1060" w:right="1879" w:firstLine="528"/>
        <w:spacing w:after="0" w:line="237" w:lineRule="auto"/>
        <w:tabs>
          <w:tab w:leader="none" w:pos="2008"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exercise price of an ISO shall not be less than 100% (110% in the case of an ISO granted to a ten-percent shareholder) of the fair market value of the Stock subject to the Option, determined as of the time the Option is granted. A "ten-percent shareholder" is any person who at the time of grant owns, directly or indirectly, or is deemed to own by reason of the attribution rules of section 424(d) of the Code, stock possessing more than 10% of the total combined voting power of all classes of stock of the Company or of any of its subsidiaries.</w:t>
      </w:r>
    </w:p>
    <w:p>
      <w:pPr>
        <w:spacing w:after="0" w:line="200" w:lineRule="exact"/>
        <w:rPr>
          <w:sz w:val="20"/>
          <w:szCs w:val="20"/>
          <w:color w:val="auto"/>
        </w:rPr>
      </w:pPr>
    </w:p>
    <w:p>
      <w:pPr>
        <w:spacing w:after="0" w:line="21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312" w:right="1440" w:bottom="970" w:gutter="0" w:footer="0" w:header="0"/>
        </w:sectPr>
      </w:pPr>
    </w:p>
    <w:bookmarkStart w:id="12" w:name="page13"/>
    <w:bookmarkEnd w:id="12"/>
    <w:p>
      <w:pPr>
        <w:ind w:left="320"/>
        <w:spacing w:after="0"/>
        <w:rPr>
          <w:sz w:val="20"/>
          <w:szCs w:val="20"/>
          <w:color w:val="auto"/>
        </w:rPr>
      </w:pPr>
      <w:r>
        <w:rPr>
          <w:rFonts w:ascii="Courier New" w:cs="Courier New" w:eastAsia="Courier New" w:hAnsi="Courier New"/>
          <w:sz w:val="18"/>
          <w:szCs w:val="18"/>
          <w:color w:val="auto"/>
        </w:rPr>
        <w:t>3</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left="1060" w:right="2199" w:firstLine="528"/>
        <w:spacing w:after="0" w:line="236" w:lineRule="auto"/>
        <w:tabs>
          <w:tab w:leader="none" w:pos="2008"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no case may the exercise price paid for Stock which is part of an original issue of authorized Stock be less than the par value per share of the Stock.</w:t>
      </w:r>
    </w:p>
    <w:p>
      <w:pPr>
        <w:spacing w:after="0" w:line="208" w:lineRule="exact"/>
        <w:rPr>
          <w:rFonts w:ascii="Courier New" w:cs="Courier New" w:eastAsia="Courier New" w:hAnsi="Courier New"/>
          <w:sz w:val="18"/>
          <w:szCs w:val="18"/>
          <w:color w:val="auto"/>
        </w:rPr>
      </w:pPr>
    </w:p>
    <w:p>
      <w:pPr>
        <w:ind w:left="1060" w:right="1879" w:firstLine="528"/>
        <w:spacing w:after="0" w:line="279" w:lineRule="auto"/>
        <w:tabs>
          <w:tab w:leader="none" w:pos="2008" w:val="left"/>
        </w:tabs>
        <w:numPr>
          <w:ilvl w:val="1"/>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Board may reduce the exercise price of an Option at any time after the time of grant, but in the case of an Option originally awarded as an ISO, only with the consent of the Participant.</w:t>
      </w:r>
    </w:p>
    <w:p>
      <w:pPr>
        <w:spacing w:after="0" w:line="178" w:lineRule="exact"/>
        <w:rPr>
          <w:rFonts w:ascii="Courier New" w:cs="Courier New" w:eastAsia="Courier New" w:hAnsi="Courier New"/>
          <w:sz w:val="16"/>
          <w:szCs w:val="16"/>
          <w:color w:val="auto"/>
        </w:rPr>
      </w:pPr>
    </w:p>
    <w:p>
      <w:pPr>
        <w:ind w:left="540" w:right="1779" w:firstLine="521"/>
        <w:spacing w:after="0" w:line="237" w:lineRule="auto"/>
        <w:tabs>
          <w:tab w:leader="none" w:pos="1488"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Duration of Options. The latest date on which an Option may be exercised will be the tenth anniversary (fifth anniversary, in the case of an ISO granted to a ten-percent shareholder) of the day immediately preceding the date the Option was granted, or such earlier date as may have been specified by the Board at the time the Option was granted.</w:t>
      </w:r>
    </w:p>
    <w:p>
      <w:pPr>
        <w:spacing w:after="0" w:line="208" w:lineRule="exact"/>
        <w:rPr>
          <w:rFonts w:ascii="Courier New" w:cs="Courier New" w:eastAsia="Courier New" w:hAnsi="Courier New"/>
          <w:sz w:val="18"/>
          <w:szCs w:val="18"/>
          <w:color w:val="auto"/>
        </w:rPr>
      </w:pPr>
    </w:p>
    <w:p>
      <w:pPr>
        <w:ind w:left="540" w:right="1879" w:firstLine="521"/>
        <w:spacing w:after="0" w:line="237" w:lineRule="auto"/>
        <w:tabs>
          <w:tab w:leader="none" w:pos="1488"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Exercise of Options. An Option will become exercisable at such time or times, and on such conditions, as the Board may specify. The Board may at any time accelerate the time at which all or any part of the Option may be exercised.</w:t>
      </w:r>
    </w:p>
    <w:p>
      <w:pPr>
        <w:spacing w:after="0" w:line="207" w:lineRule="exact"/>
        <w:rPr>
          <w:sz w:val="20"/>
          <w:szCs w:val="20"/>
          <w:color w:val="auto"/>
        </w:rPr>
      </w:pPr>
    </w:p>
    <w:p>
      <w:pPr>
        <w:ind w:right="1999" w:firstLine="527"/>
        <w:spacing w:after="0" w:line="275" w:lineRule="auto"/>
        <w:rPr>
          <w:sz w:val="20"/>
          <w:szCs w:val="20"/>
          <w:color w:val="auto"/>
        </w:rPr>
      </w:pPr>
      <w:r>
        <w:rPr>
          <w:rFonts w:ascii="Courier New" w:cs="Courier New" w:eastAsia="Courier New" w:hAnsi="Courier New"/>
          <w:sz w:val="16"/>
          <w:szCs w:val="16"/>
          <w:color w:val="auto"/>
        </w:rPr>
        <w:t>Any exercise of an Option must be in writing, signed by the proper person and delivered or mailed to the Company, accompanied by (1) any documents required by the Board and (2) payment in full in accordance with paragraph (e) below for the number of shares for which the Option is exercised.</w:t>
      </w:r>
    </w:p>
    <w:p>
      <w:pPr>
        <w:spacing w:after="0" w:line="182" w:lineRule="exact"/>
        <w:rPr>
          <w:sz w:val="20"/>
          <w:szCs w:val="20"/>
          <w:color w:val="auto"/>
        </w:rPr>
      </w:pPr>
    </w:p>
    <w:p>
      <w:pPr>
        <w:ind w:left="540" w:right="1879" w:firstLine="521"/>
        <w:spacing w:after="0" w:line="269" w:lineRule="auto"/>
        <w:tabs>
          <w:tab w:leader="none" w:pos="1488"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Payment for Stock. Stock purchased on exercise of an Option must be paid for as follows: (1) in cash or by check (acceptable to the Company in accordance with guidelines established for this purpose), bank draft or money order payable to the order of the Company or (2) if so permitted by the instrument evidencing the Option (or in the case of an Option which is not an ISO, by the Board at or after grant of the Option), (i) through the delivery of shares of Stock which have been outstanding for at least six months (unless the Board expressly approves a shorter period) and which have a fair market value on the last business day preceding the date of exercise equal to the exercise price, or (ii) by delivery of a promissory note of the Option holder to the Company, payable on such terms as are specified by the Board, or (iii) by delivery of an unconditional and irrevocable undertaking by a broker to deliver promptly to the Company sufficient funds to pay the exercise price, or (iv) by the withholding of shares of Stock otherwise deliverable upon exercise which have a fair market value on the date of exercise at least equal to the exercise price, or (v) by any combination of the permissible forms of payment; provided, that if the Stock delivered upon exercise of the Option is an original issue of authorized Stock, at least so much of the exercise price as represents the par value of such Stock must be paid other than by the Option holder's personal check or promissory note.</w:t>
      </w:r>
    </w:p>
    <w:p>
      <w:pPr>
        <w:spacing w:after="0" w:line="200" w:lineRule="exact"/>
        <w:rPr>
          <w:rFonts w:ascii="Courier New" w:cs="Courier New" w:eastAsia="Courier New" w:hAnsi="Courier New"/>
          <w:sz w:val="16"/>
          <w:szCs w:val="16"/>
          <w:color w:val="auto"/>
        </w:rPr>
      </w:pPr>
    </w:p>
    <w:p>
      <w:pPr>
        <w:spacing w:after="0" w:line="396" w:lineRule="exact"/>
        <w:rPr>
          <w:rFonts w:ascii="Courier New" w:cs="Courier New" w:eastAsia="Courier New" w:hAnsi="Courier New"/>
          <w:sz w:val="16"/>
          <w:szCs w:val="16"/>
          <w:color w:val="auto"/>
        </w:rPr>
      </w:pPr>
    </w:p>
    <w:p>
      <w:pPr>
        <w:ind w:left="540" w:right="1779" w:firstLine="521"/>
        <w:spacing w:after="0" w:line="238" w:lineRule="auto"/>
        <w:tabs>
          <w:tab w:leader="none" w:pos="1488"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Discretionary Payments. If the market price of shares of Stock subject to an Option (other than an Option which is in tandem with a Stock Appreciation Right as described in Section 6.2 below) exceeds the exercise price of the Option at the time of its exercise, the Board may cancel the Option and cause the Company to pay in cash or in shares of Common Stock (at a price per share equal to the fair market value per share) to the person exercising the Option an amount equal to the difference between the fair market value of the Stock which would have been purchased pursuant to the exercise (determined on the date the Option is cancelled) and the aggregate exercise price which would have been paid. The Board may exercise its discretion to take such action only if it has received a written request from the person exercising the Option, but such a request will not be binding on the Board.</w:t>
      </w:r>
    </w:p>
    <w:p>
      <w:pPr>
        <w:spacing w:after="0" w:line="202" w:lineRule="exact"/>
        <w:rPr>
          <w:sz w:val="20"/>
          <w:szCs w:val="20"/>
          <w:color w:val="auto"/>
        </w:rPr>
      </w:pPr>
    </w:p>
    <w:p>
      <w:pPr>
        <w:ind w:left="540"/>
        <w:spacing w:after="0"/>
        <w:tabs>
          <w:tab w:leader="none" w:pos="1140" w:val="left"/>
        </w:tabs>
        <w:rPr>
          <w:sz w:val="20"/>
          <w:szCs w:val="20"/>
          <w:color w:val="auto"/>
        </w:rPr>
      </w:pPr>
      <w:r>
        <w:rPr>
          <w:rFonts w:ascii="Courier New" w:cs="Courier New" w:eastAsia="Courier New" w:hAnsi="Courier New"/>
          <w:sz w:val="18"/>
          <w:szCs w:val="18"/>
          <w:color w:val="auto"/>
        </w:rPr>
        <w:t>6.2.</w:t>
      </w:r>
      <w:r>
        <w:rPr>
          <w:sz w:val="20"/>
          <w:szCs w:val="20"/>
          <w:color w:val="auto"/>
        </w:rPr>
        <w:tab/>
      </w:r>
      <w:r>
        <w:rPr>
          <w:rFonts w:ascii="Courier New" w:cs="Courier New" w:eastAsia="Courier New" w:hAnsi="Courier New"/>
          <w:sz w:val="16"/>
          <w:szCs w:val="16"/>
          <w:color w:val="auto"/>
        </w:rPr>
        <w:t>Stock Appreciation Rights.</w:t>
      </w:r>
    </w:p>
    <w:p>
      <w:pPr>
        <w:spacing w:after="0" w:line="207" w:lineRule="exact"/>
        <w:rPr>
          <w:sz w:val="20"/>
          <w:szCs w:val="20"/>
          <w:color w:val="auto"/>
        </w:rPr>
      </w:pPr>
    </w:p>
    <w:p>
      <w:pPr>
        <w:ind w:left="540" w:right="1779" w:firstLine="521"/>
        <w:spacing w:after="0" w:line="237" w:lineRule="auto"/>
        <w:tabs>
          <w:tab w:leader="none" w:pos="1488"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Nature of Stock Appreciation Rights. A Stock Appreciation Right is an Award entitling the recipient on exercise of the Right to receive an amount, in cash or Stock or a combination thereof (such form to be determined by the Board), determined in whole or in part by reference to appreciation in Stock value.</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general, a Stock Appreciation Right entitles the Participant to receive, with respect to each share of Stock as to which the Right is exercised, the excess of the share's fair market value on the date of exercise over its fair market value on the date the Right was granted. However, the Board may provide at the time of grant that</w:t>
      </w:r>
    </w:p>
    <w:p>
      <w:pPr>
        <w:sectPr>
          <w:pgSz w:w="11900" w:h="16838" w:orient="portrait"/>
          <w:cols w:equalWidth="0" w:num="1">
            <w:col w:w="10219"/>
          </w:cols>
          <w:pgMar w:left="240" w:top="312" w:right="1440" w:bottom="364" w:gutter="0" w:footer="0" w:header="0"/>
        </w:sectPr>
      </w:pPr>
    </w:p>
    <w:bookmarkStart w:id="13" w:name="page14"/>
    <w:bookmarkEnd w:id="13"/>
    <w:p>
      <w:pPr>
        <w:ind w:left="29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9019"/>
          </w:cols>
          <w:pgMar w:left="1440" w:top="142" w:right="1440" w:bottom="1440" w:gutter="0" w:footer="0" w:header="0"/>
        </w:sectPr>
      </w:pPr>
    </w:p>
    <w:bookmarkStart w:id="14" w:name="page15"/>
    <w:bookmarkEnd w:id="14"/>
    <w:p>
      <w:pPr>
        <w:ind w:left="320"/>
        <w:spacing w:after="0"/>
        <w:rPr>
          <w:sz w:val="20"/>
          <w:szCs w:val="20"/>
          <w:color w:val="auto"/>
        </w:rPr>
      </w:pPr>
      <w:r>
        <w:rPr>
          <w:rFonts w:ascii="Courier New" w:cs="Courier New" w:eastAsia="Courier New" w:hAnsi="Courier New"/>
          <w:sz w:val="18"/>
          <w:szCs w:val="18"/>
          <w:color w:val="auto"/>
        </w:rPr>
        <w:t>4</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amount the recipient is entitled to receive will be adjusted upward or downward under rules established by the Board to take into account the performance of the Stock in comparison with the performance of other stocks or an index or indices of other stocks. The Board may also grant Stock Appreciation Rights that provide, in such limited circumstances following a change in control (as determined by the Board) of the Company as the Board may specify, that the holder of such Right will be entitled to receive, with respect to each share of Stock subject to the Right, an amount equal to the excess of a specified value (which may include an average of values) for a share of Stock during a period preceding the change in control over the fair market value of a share of Stock on the date the Right was granted.</w:t>
      </w:r>
    </w:p>
    <w:p>
      <w:pPr>
        <w:spacing w:after="0" w:line="216" w:lineRule="exact"/>
        <w:rPr>
          <w:sz w:val="20"/>
          <w:szCs w:val="20"/>
          <w:color w:val="auto"/>
        </w:rPr>
      </w:pPr>
    </w:p>
    <w:p>
      <w:pPr>
        <w:ind w:left="540" w:right="1879" w:firstLine="521"/>
        <w:spacing w:after="0" w:line="237" w:lineRule="auto"/>
        <w:tabs>
          <w:tab w:leader="none" w:pos="1488"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Grant of Stock Appreciation Rights. Stock Appreciation Rights may be granted in tandem with, or independently of, Options granted under the Plan. A Stock Appreciation Right granted in tandem with an Option which is not an ISO may be granted either at or after the time the Option is granted. A Stock Appreciation Right granted in tandem with an ISO may be granted only at the time the Option is granted.</w:t>
      </w:r>
    </w:p>
    <w:p>
      <w:pPr>
        <w:spacing w:after="0" w:line="209" w:lineRule="exact"/>
        <w:rPr>
          <w:rFonts w:ascii="Courier New" w:cs="Courier New" w:eastAsia="Courier New" w:hAnsi="Courier New"/>
          <w:sz w:val="18"/>
          <w:szCs w:val="18"/>
          <w:color w:val="auto"/>
        </w:rPr>
      </w:pPr>
    </w:p>
    <w:p>
      <w:pPr>
        <w:ind w:left="540" w:right="1879" w:firstLine="521"/>
        <w:spacing w:after="0" w:line="235" w:lineRule="auto"/>
        <w:tabs>
          <w:tab w:leader="none" w:pos="1488"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Rules Applicable to Tandem Awards. When Stock Appreciation Rights are granted in tandem with Options, the following will apply:</w:t>
      </w:r>
    </w:p>
    <w:p>
      <w:pPr>
        <w:spacing w:after="0" w:line="208" w:lineRule="exact"/>
        <w:rPr>
          <w:rFonts w:ascii="Courier New" w:cs="Courier New" w:eastAsia="Courier New" w:hAnsi="Courier New"/>
          <w:sz w:val="18"/>
          <w:szCs w:val="18"/>
          <w:color w:val="auto"/>
        </w:rPr>
      </w:pPr>
    </w:p>
    <w:p>
      <w:pPr>
        <w:ind w:left="1060" w:right="1779" w:firstLine="528"/>
        <w:spacing w:after="0" w:line="237" w:lineRule="auto"/>
        <w:tabs>
          <w:tab w:leader="none" w:pos="2008" w:val="left"/>
        </w:tabs>
        <w:numPr>
          <w:ilvl w:val="1"/>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Stock Appreciation Right will be exercisable only at such time or times, and to the extent, that the related Option is exercisable and will be exercisable in accordance with the procedure required for exercise of the related Option.</w:t>
      </w:r>
    </w:p>
    <w:p>
      <w:pPr>
        <w:spacing w:after="0" w:line="207" w:lineRule="exact"/>
        <w:rPr>
          <w:rFonts w:ascii="Courier New" w:cs="Courier New" w:eastAsia="Courier New" w:hAnsi="Courier New"/>
          <w:sz w:val="18"/>
          <w:szCs w:val="18"/>
          <w:color w:val="auto"/>
        </w:rPr>
      </w:pPr>
    </w:p>
    <w:p>
      <w:pPr>
        <w:ind w:left="1060" w:right="1879" w:firstLine="528"/>
        <w:spacing w:after="0" w:line="237" w:lineRule="auto"/>
        <w:tabs>
          <w:tab w:leader="none" w:pos="2008" w:val="left"/>
        </w:tabs>
        <w:numPr>
          <w:ilvl w:val="1"/>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Stock Appreciation Right will terminate and no longer be exercisable upon the termination or exercise of the related Option, except that a Stock Appreciation Right granted with respect to less than the full number of shares covered by an Option will not be reduced until the number of shares as to which the related Option has been exercised or has terminated exceeds the number of shares not covered by the Stock Appreciation Right.</w:t>
      </w:r>
    </w:p>
    <w:p>
      <w:pPr>
        <w:spacing w:after="0" w:line="211" w:lineRule="exact"/>
        <w:rPr>
          <w:rFonts w:ascii="Courier New" w:cs="Courier New" w:eastAsia="Courier New" w:hAnsi="Courier New"/>
          <w:sz w:val="18"/>
          <w:szCs w:val="18"/>
          <w:color w:val="auto"/>
        </w:rPr>
      </w:pPr>
    </w:p>
    <w:p>
      <w:pPr>
        <w:ind w:left="1060" w:right="1999" w:firstLine="528"/>
        <w:spacing w:after="0" w:line="235" w:lineRule="auto"/>
        <w:tabs>
          <w:tab w:leader="none" w:pos="2008" w:val="left"/>
        </w:tabs>
        <w:numPr>
          <w:ilvl w:val="1"/>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Option will terminate and no longer be exercisable upon the exercise of the related Stock Appreciation Right.</w:t>
      </w:r>
    </w:p>
    <w:p>
      <w:pPr>
        <w:spacing w:after="0" w:line="208" w:lineRule="exact"/>
        <w:rPr>
          <w:rFonts w:ascii="Courier New" w:cs="Courier New" w:eastAsia="Courier New" w:hAnsi="Courier New"/>
          <w:sz w:val="18"/>
          <w:szCs w:val="18"/>
          <w:color w:val="auto"/>
        </w:rPr>
      </w:pPr>
    </w:p>
    <w:p>
      <w:pPr>
        <w:ind w:left="1060" w:right="1999" w:firstLine="528"/>
        <w:spacing w:after="0" w:line="235" w:lineRule="auto"/>
        <w:tabs>
          <w:tab w:leader="none" w:pos="2008" w:val="left"/>
        </w:tabs>
        <w:numPr>
          <w:ilvl w:val="1"/>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Stock Appreciation Right will be transferable only with the related Option.</w:t>
      </w:r>
    </w:p>
    <w:p>
      <w:pPr>
        <w:spacing w:after="0" w:line="208" w:lineRule="exact"/>
        <w:rPr>
          <w:rFonts w:ascii="Courier New" w:cs="Courier New" w:eastAsia="Courier New" w:hAnsi="Courier New"/>
          <w:sz w:val="18"/>
          <w:szCs w:val="18"/>
          <w:color w:val="auto"/>
        </w:rPr>
      </w:pPr>
    </w:p>
    <w:p>
      <w:pPr>
        <w:ind w:left="1060" w:right="1879" w:firstLine="528"/>
        <w:spacing w:after="0" w:line="236" w:lineRule="auto"/>
        <w:tabs>
          <w:tab w:leader="none" w:pos="2008" w:val="left"/>
        </w:tabs>
        <w:numPr>
          <w:ilvl w:val="1"/>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Stock Appreciation Right granted in tandem with an ISO may be exercised only when the market price of the Stock subject to the Option exceeds the exercise price of such option.</w:t>
      </w:r>
    </w:p>
    <w:p>
      <w:pPr>
        <w:spacing w:after="0" w:line="208" w:lineRule="exact"/>
        <w:rPr>
          <w:rFonts w:ascii="Courier New" w:cs="Courier New" w:eastAsia="Courier New" w:hAnsi="Courier New"/>
          <w:sz w:val="18"/>
          <w:szCs w:val="18"/>
          <w:color w:val="auto"/>
        </w:rPr>
      </w:pPr>
    </w:p>
    <w:p>
      <w:pPr>
        <w:ind w:left="540" w:right="1779" w:firstLine="521"/>
        <w:spacing w:after="0" w:line="237" w:lineRule="auto"/>
        <w:tabs>
          <w:tab w:leader="none" w:pos="1488"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Exercise of Independent Stock Appreciation Rights. A Stock Appreciation Right not granted in tandem with an Option will become exercisable at such time or times, and on such conditions, as the Board may specify. The Board may at any time accelerate the time at which all or any part of the Right may be exercised.</w:t>
      </w:r>
    </w:p>
    <w:p>
      <w:pPr>
        <w:spacing w:after="0" w:line="209"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Any exercise of an independent Stock Appreciation Right must be in writing, signed by the proper person and delivered or mailed to the Company, accompanied by any other documents required by the Board.</w:t>
      </w:r>
    </w:p>
    <w:p>
      <w:pPr>
        <w:spacing w:after="0" w:line="203" w:lineRule="exact"/>
        <w:rPr>
          <w:sz w:val="20"/>
          <w:szCs w:val="20"/>
          <w:color w:val="auto"/>
        </w:rPr>
      </w:pPr>
    </w:p>
    <w:p>
      <w:pPr>
        <w:ind w:left="540"/>
        <w:spacing w:after="0"/>
        <w:tabs>
          <w:tab w:leader="none" w:pos="1140" w:val="left"/>
        </w:tabs>
        <w:rPr>
          <w:sz w:val="20"/>
          <w:szCs w:val="20"/>
          <w:color w:val="auto"/>
        </w:rPr>
      </w:pPr>
      <w:r>
        <w:rPr>
          <w:rFonts w:ascii="Courier New" w:cs="Courier New" w:eastAsia="Courier New" w:hAnsi="Courier New"/>
          <w:sz w:val="18"/>
          <w:szCs w:val="18"/>
          <w:color w:val="auto"/>
        </w:rPr>
        <w:t>6.3.</w:t>
      </w:r>
      <w:r>
        <w:rPr>
          <w:sz w:val="20"/>
          <w:szCs w:val="20"/>
          <w:color w:val="auto"/>
        </w:rPr>
        <w:tab/>
      </w:r>
      <w:r>
        <w:rPr>
          <w:rFonts w:ascii="Courier New" w:cs="Courier New" w:eastAsia="Courier New" w:hAnsi="Courier New"/>
          <w:sz w:val="16"/>
          <w:szCs w:val="16"/>
          <w:color w:val="auto"/>
        </w:rPr>
        <w:t>Restricted and Unrestricted Stock.</w:t>
      </w:r>
    </w:p>
    <w:p>
      <w:pPr>
        <w:spacing w:after="0" w:line="207" w:lineRule="exact"/>
        <w:rPr>
          <w:sz w:val="20"/>
          <w:szCs w:val="20"/>
          <w:color w:val="auto"/>
        </w:rPr>
      </w:pPr>
    </w:p>
    <w:p>
      <w:pPr>
        <w:ind w:left="540" w:right="1779" w:firstLine="521"/>
        <w:spacing w:after="0" w:line="237" w:lineRule="auto"/>
        <w:tabs>
          <w:tab w:leader="none" w:pos="1488"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Nature of Restricted Stock Award. A Restricted Stock Award entitles the recipient to acquire, for a purchase price equal to par value, shares of Stock subject to the restrictions described in paragraph (d) below ("Restricted Stock").</w:t>
      </w:r>
    </w:p>
    <w:p>
      <w:pPr>
        <w:spacing w:after="0" w:line="207" w:lineRule="exact"/>
        <w:rPr>
          <w:rFonts w:ascii="Courier New" w:cs="Courier New" w:eastAsia="Courier New" w:hAnsi="Courier New"/>
          <w:sz w:val="18"/>
          <w:szCs w:val="18"/>
          <w:color w:val="auto"/>
        </w:rPr>
      </w:pPr>
    </w:p>
    <w:p>
      <w:pPr>
        <w:ind w:left="540" w:right="1779" w:firstLine="521"/>
        <w:spacing w:after="0" w:line="237" w:lineRule="auto"/>
        <w:tabs>
          <w:tab w:leader="none" w:pos="1488"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Acceptance of Award. A Participant who is granted a Restricted Stock Award will have no rights with respect to such Award unless the Participant accepts the Award by written instrument delivered or mailed to the Company accompanied by payment in full of the specified purchase price, if any, of the shares covered by the Award. Payment may be by certified or bank check or other instrument acceptable to the Board.</w:t>
      </w:r>
    </w:p>
    <w:p>
      <w:pPr>
        <w:spacing w:after="0" w:line="200" w:lineRule="exact"/>
        <w:rPr>
          <w:sz w:val="20"/>
          <w:szCs w:val="20"/>
          <w:color w:val="auto"/>
        </w:r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312" w:right="1440" w:bottom="767" w:gutter="0" w:footer="0" w:header="0"/>
        </w:sectPr>
      </w:pPr>
    </w:p>
    <w:bookmarkStart w:id="15" w:name="page16"/>
    <w:bookmarkEnd w:id="15"/>
    <w:p>
      <w:pPr>
        <w:ind w:left="320"/>
        <w:spacing w:after="0"/>
        <w:rPr>
          <w:sz w:val="20"/>
          <w:szCs w:val="20"/>
          <w:color w:val="auto"/>
        </w:rPr>
      </w:pPr>
      <w:r>
        <w:rPr>
          <w:rFonts w:ascii="Courier New" w:cs="Courier New" w:eastAsia="Courier New" w:hAnsi="Courier New"/>
          <w:sz w:val="18"/>
          <w:szCs w:val="18"/>
          <w:color w:val="auto"/>
        </w:rPr>
        <w:t>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40" w:right="1779" w:firstLine="521"/>
        <w:spacing w:after="0" w:line="271" w:lineRule="auto"/>
        <w:tabs>
          <w:tab w:leader="none" w:pos="1488"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Rights as a Stockholder. A Participant who receives Restricted Stock will have all the rights of a stockholder with respect to the Stock, including voting and dividend rights, subject to the restrictions described in paragraph (d) below and any other conditions imposed by the Board at the time of grant. Unless the Board otherwise determines, certificates evidencing shares of Restricted Stock will remain in the possession of the Company until such shares are free of all restrictions under the Plan.</w:t>
      </w:r>
    </w:p>
    <w:p>
      <w:pPr>
        <w:spacing w:after="0" w:line="187" w:lineRule="exact"/>
        <w:rPr>
          <w:rFonts w:ascii="Courier New" w:cs="Courier New" w:eastAsia="Courier New" w:hAnsi="Courier New"/>
          <w:sz w:val="16"/>
          <w:szCs w:val="16"/>
          <w:color w:val="auto"/>
        </w:rPr>
      </w:pPr>
    </w:p>
    <w:p>
      <w:pPr>
        <w:ind w:left="540" w:right="1779" w:firstLine="521"/>
        <w:spacing w:after="0" w:line="237" w:lineRule="auto"/>
        <w:tabs>
          <w:tab w:leader="none" w:pos="1488"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Restrictions. Except as otherwise specifically provided by the Plan, Restricted Stock may not be sold, assigned, transferred, pledged or otherwise encumbered or disposed of, and if the Participant ceases to be an Employee or otherwise suffers a Status Change (as defined at Section 7.2(a) below) for any reason, must be offered to the Company for purchase for the amount of cash paid for the Stock, or forfeited to the Company if no cash was paid. These restrictions will lapse at such time or times, and on such conditions, as the Board may specify. The Board may at any time accelerate the time at which the restrictions on all or any part of the shares will lapse.</w:t>
      </w:r>
    </w:p>
    <w:p>
      <w:pPr>
        <w:spacing w:after="0" w:line="214" w:lineRule="exact"/>
        <w:rPr>
          <w:rFonts w:ascii="Courier New" w:cs="Courier New" w:eastAsia="Courier New" w:hAnsi="Courier New"/>
          <w:sz w:val="18"/>
          <w:szCs w:val="18"/>
          <w:color w:val="auto"/>
        </w:rPr>
      </w:pPr>
    </w:p>
    <w:p>
      <w:pPr>
        <w:ind w:left="540" w:right="1999" w:firstLine="521"/>
        <w:spacing w:after="0" w:line="237" w:lineRule="auto"/>
        <w:tabs>
          <w:tab w:leader="none" w:pos="1488"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Notice of Election. Any Participant making an election under Section 83(b) of the Code with respect to Restricted Stock must provide a copy thereof to the Company within 10 days of the filing of such election with the Internal Revenue Service.</w:t>
      </w:r>
    </w:p>
    <w:p>
      <w:pPr>
        <w:spacing w:after="0" w:line="207" w:lineRule="exact"/>
        <w:rPr>
          <w:rFonts w:ascii="Courier New" w:cs="Courier New" w:eastAsia="Courier New" w:hAnsi="Courier New"/>
          <w:sz w:val="18"/>
          <w:szCs w:val="18"/>
          <w:color w:val="auto"/>
        </w:rPr>
      </w:pPr>
    </w:p>
    <w:p>
      <w:pPr>
        <w:jc w:val="both"/>
        <w:ind w:left="540" w:right="1879" w:firstLine="521"/>
        <w:spacing w:after="0" w:line="279" w:lineRule="auto"/>
        <w:tabs>
          <w:tab w:leader="none" w:pos="1488"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Awards Settled with Restricted Stock. The Board may, at the time any Award described in this Section 6 is granted, provide that any or all the Stock delivered pursuant to the Award will be Restricted Stock.</w:t>
      </w:r>
    </w:p>
    <w:p>
      <w:pPr>
        <w:spacing w:after="0" w:line="178" w:lineRule="exact"/>
        <w:rPr>
          <w:rFonts w:ascii="Courier New" w:cs="Courier New" w:eastAsia="Courier New" w:hAnsi="Courier New"/>
          <w:sz w:val="16"/>
          <w:szCs w:val="16"/>
          <w:color w:val="auto"/>
        </w:rPr>
      </w:pPr>
    </w:p>
    <w:p>
      <w:pPr>
        <w:ind w:left="540" w:right="1779" w:firstLine="521"/>
        <w:spacing w:after="0" w:line="236" w:lineRule="auto"/>
        <w:tabs>
          <w:tab w:leader="none" w:pos="1488"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Unrestricted Stock. The Board may, in its sole discretion, sell to any Participant shares of Stock free of restrictions under the Plan for a price which is not less than the par value of the Stock.</w:t>
      </w:r>
    </w:p>
    <w:p>
      <w:pPr>
        <w:spacing w:after="0" w:line="203" w:lineRule="exact"/>
        <w:rPr>
          <w:sz w:val="20"/>
          <w:szCs w:val="20"/>
          <w:color w:val="auto"/>
        </w:rPr>
      </w:pPr>
    </w:p>
    <w:p>
      <w:pPr>
        <w:ind w:left="540"/>
        <w:spacing w:after="0"/>
        <w:tabs>
          <w:tab w:leader="none" w:pos="1140" w:val="left"/>
        </w:tabs>
        <w:rPr>
          <w:sz w:val="20"/>
          <w:szCs w:val="20"/>
          <w:color w:val="auto"/>
        </w:rPr>
      </w:pPr>
      <w:r>
        <w:rPr>
          <w:rFonts w:ascii="Courier New" w:cs="Courier New" w:eastAsia="Courier New" w:hAnsi="Courier New"/>
          <w:sz w:val="18"/>
          <w:szCs w:val="18"/>
          <w:color w:val="auto"/>
        </w:rPr>
        <w:t>6.4.</w:t>
      </w:r>
      <w:r>
        <w:rPr>
          <w:sz w:val="20"/>
          <w:szCs w:val="20"/>
          <w:color w:val="auto"/>
        </w:rPr>
        <w:tab/>
      </w:r>
      <w:r>
        <w:rPr>
          <w:rFonts w:ascii="Courier New" w:cs="Courier New" w:eastAsia="Courier New" w:hAnsi="Courier New"/>
          <w:sz w:val="16"/>
          <w:szCs w:val="16"/>
          <w:color w:val="auto"/>
        </w:rPr>
        <w:t>Deferred Stock.</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A Deferred Stock Award entitles the recipient to receive shares of Stock to be delivered in the future. Delivery of the Stock will take place at such time or times, and on such conditions, as the Board may specify. The Board may at any time accelerate the time at which delivery of all or any part of the Stock will take place. At the time any Award described in this Section 6 is granted, the Board may provide that, at the time Stock would otherwise be delivered pursuant to the Award, the Participant will instead receive an instrument evidencing the Participant's right to future delivery of Deferred Stock.</w:t>
      </w:r>
    </w:p>
    <w:p>
      <w:pPr>
        <w:spacing w:after="0" w:line="180" w:lineRule="exact"/>
        <w:rPr>
          <w:sz w:val="20"/>
          <w:szCs w:val="20"/>
          <w:color w:val="auto"/>
        </w:rPr>
      </w:pPr>
    </w:p>
    <w:p>
      <w:pPr>
        <w:ind w:left="540"/>
        <w:spacing w:after="0"/>
        <w:tabs>
          <w:tab w:leader="none" w:pos="1140" w:val="left"/>
        </w:tabs>
        <w:rPr>
          <w:sz w:val="20"/>
          <w:szCs w:val="20"/>
          <w:color w:val="auto"/>
        </w:rPr>
      </w:pPr>
      <w:r>
        <w:rPr>
          <w:rFonts w:ascii="Courier New" w:cs="Courier New" w:eastAsia="Courier New" w:hAnsi="Courier New"/>
          <w:sz w:val="18"/>
          <w:szCs w:val="18"/>
          <w:color w:val="auto"/>
        </w:rPr>
        <w:t>6.5.</w:t>
      </w:r>
      <w:r>
        <w:rPr>
          <w:sz w:val="20"/>
          <w:szCs w:val="20"/>
          <w:color w:val="auto"/>
        </w:rPr>
        <w:tab/>
      </w:r>
      <w:r>
        <w:rPr>
          <w:rFonts w:ascii="Courier New" w:cs="Courier New" w:eastAsia="Courier New" w:hAnsi="Courier New"/>
          <w:sz w:val="16"/>
          <w:szCs w:val="16"/>
          <w:color w:val="auto"/>
        </w:rPr>
        <w:t>Performance Awards; Performance Goals.</w:t>
      </w:r>
    </w:p>
    <w:p>
      <w:pPr>
        <w:spacing w:after="0" w:line="207" w:lineRule="exact"/>
        <w:rPr>
          <w:sz w:val="20"/>
          <w:szCs w:val="20"/>
          <w:color w:val="auto"/>
        </w:rPr>
      </w:pPr>
    </w:p>
    <w:p>
      <w:pPr>
        <w:ind w:left="540" w:right="1779" w:firstLine="521"/>
        <w:spacing w:after="0" w:line="237" w:lineRule="auto"/>
        <w:tabs>
          <w:tab w:leader="none" w:pos="1488"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Nature of Performance Awards. A Performance Award entitles the recipient to receive, without payment, an amount in cash or Stock or a combination thereof (such form to be determined by the Board) following the attainment of Performance Goals. Performance Goals may be related to personal performance, corporate performance, departmental performance or any other category of performance deemed by the Board to be important to the success of the Company. The Board will determine the Performance Goals, the period or periods during which performance is to be measured and all other terms and conditions applicable to the Award.</w:t>
      </w:r>
    </w:p>
    <w:p>
      <w:pPr>
        <w:spacing w:after="0" w:line="213" w:lineRule="exact"/>
        <w:rPr>
          <w:rFonts w:ascii="Courier New" w:cs="Courier New" w:eastAsia="Courier New" w:hAnsi="Courier New"/>
          <w:sz w:val="18"/>
          <w:szCs w:val="18"/>
          <w:color w:val="auto"/>
        </w:rPr>
      </w:pPr>
    </w:p>
    <w:p>
      <w:pPr>
        <w:ind w:left="540" w:right="1779" w:firstLine="521"/>
        <w:spacing w:after="0" w:line="237" w:lineRule="auto"/>
        <w:tabs>
          <w:tab w:leader="none" w:pos="1488"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Awards Subject to Performance Condition. The Board may, at the time any Award described in this Section 6 is granted, impose the condition (in addition to any conditions specified or authorized in this Section 6 or any other provision of the Plan) that Performance Goals be met prior to the Participant's realization of any payment or benefit under the Award.</w:t>
      </w:r>
    </w:p>
    <w:p>
      <w:pPr>
        <w:spacing w:after="0" w:line="204" w:lineRule="exact"/>
        <w:rPr>
          <w:sz w:val="20"/>
          <w:szCs w:val="20"/>
          <w:color w:val="auto"/>
        </w:rPr>
      </w:pPr>
    </w:p>
    <w:p>
      <w:pPr>
        <w:ind w:left="540"/>
        <w:spacing w:after="0"/>
        <w:tabs>
          <w:tab w:leader="none" w:pos="1140" w:val="left"/>
        </w:tabs>
        <w:rPr>
          <w:sz w:val="20"/>
          <w:szCs w:val="20"/>
          <w:color w:val="auto"/>
        </w:rPr>
      </w:pPr>
      <w:r>
        <w:rPr>
          <w:rFonts w:ascii="Courier New" w:cs="Courier New" w:eastAsia="Courier New" w:hAnsi="Courier New"/>
          <w:sz w:val="18"/>
          <w:szCs w:val="18"/>
          <w:color w:val="auto"/>
        </w:rPr>
        <w:t>6.6.</w:t>
      </w:r>
      <w:r>
        <w:rPr>
          <w:sz w:val="20"/>
          <w:szCs w:val="20"/>
          <w:color w:val="auto"/>
        </w:rPr>
        <w:tab/>
      </w:r>
      <w:r>
        <w:rPr>
          <w:rFonts w:ascii="Courier New" w:cs="Courier New" w:eastAsia="Courier New" w:hAnsi="Courier New"/>
          <w:sz w:val="16"/>
          <w:szCs w:val="16"/>
          <w:color w:val="auto"/>
        </w:rPr>
        <w:t>Loans and Supplemental Grants.</w:t>
      </w:r>
    </w:p>
    <w:p>
      <w:pPr>
        <w:spacing w:after="0" w:line="207" w:lineRule="exact"/>
        <w:rPr>
          <w:sz w:val="20"/>
          <w:szCs w:val="20"/>
          <w:color w:val="auto"/>
        </w:rPr>
      </w:pPr>
    </w:p>
    <w:p>
      <w:pPr>
        <w:ind w:left="540" w:right="1779" w:firstLine="521"/>
        <w:spacing w:after="0" w:line="237" w:lineRule="auto"/>
        <w:tabs>
          <w:tab w:leader="none" w:pos="1488"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Loans. The Company may make a loan to a Participant ("Loan"), either on the date of or after the grant of any Award to the Participant. A Loan may be made either in connection with the purchase of Stock under the Award or with the payment of any Federal, state and local income tax with respect to income recognized as a result of the Award. The Board will have full authority to decide</w:t>
      </w:r>
    </w:p>
    <w:p>
      <w:pPr>
        <w:spacing w:after="0" w:line="200" w:lineRule="exact"/>
        <w:rPr>
          <w:sz w:val="20"/>
          <w:szCs w:val="20"/>
          <w:color w:val="auto"/>
        </w:r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312" w:right="1440" w:bottom="159" w:gutter="0" w:footer="0" w:header="0"/>
        </w:sectPr>
      </w:pPr>
    </w:p>
    <w:bookmarkStart w:id="16" w:name="page17"/>
    <w:bookmarkEnd w:id="16"/>
    <w:p>
      <w:pPr>
        <w:ind w:left="320"/>
        <w:spacing w:after="0"/>
        <w:rPr>
          <w:sz w:val="20"/>
          <w:szCs w:val="20"/>
          <w:color w:val="auto"/>
        </w:rPr>
      </w:pPr>
      <w:r>
        <w:rPr>
          <w:rFonts w:ascii="Courier New" w:cs="Courier New" w:eastAsia="Courier New" w:hAnsi="Courier New"/>
          <w:sz w:val="18"/>
          <w:szCs w:val="18"/>
          <w:color w:val="auto"/>
        </w:rPr>
        <w:t>6</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40" w:right="1779"/>
        <w:spacing w:after="0" w:line="237" w:lineRule="auto"/>
        <w:rPr>
          <w:sz w:val="20"/>
          <w:szCs w:val="20"/>
          <w:color w:val="auto"/>
        </w:rPr>
      </w:pPr>
      <w:r>
        <w:rPr>
          <w:rFonts w:ascii="Courier New" w:cs="Courier New" w:eastAsia="Courier New" w:hAnsi="Courier New"/>
          <w:sz w:val="18"/>
          <w:szCs w:val="18"/>
          <w:color w:val="auto"/>
        </w:rPr>
        <w:t>whether to make a Loan and to determine the amount, terms and conditions of the Loan, including the interest rate (which may be zero), whether the Loan is to be secured or unsecured or with or without recourse against the borrower, the terms on which the Loan is to be repaid and the conditions, if any, under which it may be forgiven. However, no Loan may have a term (including extensions) exceeding ten years in duration.</w:t>
      </w:r>
    </w:p>
    <w:p>
      <w:pPr>
        <w:spacing w:after="0" w:line="210" w:lineRule="exact"/>
        <w:rPr>
          <w:sz w:val="20"/>
          <w:szCs w:val="20"/>
          <w:color w:val="auto"/>
        </w:rPr>
      </w:pPr>
    </w:p>
    <w:p>
      <w:pPr>
        <w:ind w:left="540" w:right="1879" w:firstLine="521"/>
        <w:spacing w:after="0" w:line="238" w:lineRule="auto"/>
        <w:tabs>
          <w:tab w:leader="none" w:pos="1488" w:val="left"/>
        </w:tabs>
        <w:numPr>
          <w:ilvl w:val="1"/>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Supplemental Grants. In connection with any Award, the Board may at the time such Award is made or at a later date, provide for and grant a cash award to the Participant ("Supplemental Grant") not to exceed an amount equal to (1) the amount of any federal, state and local income tax on ordinary income for which the Participant may be liable with respect to the Award, determined by assuming taxation at the highest marginal rate, plus (2) an additional amount on a grossed-up basis intended to make the Participant whole on an after-tax basis after discharging all the Participant's income tax liabilities arising from all payments under this Section 6. Any payments under this subsection (b) will be made at the time the Participant incurs Federal income tax liability with respect to the Award.</w:t>
      </w:r>
    </w:p>
    <w:p>
      <w:pPr>
        <w:spacing w:after="0" w:line="207" w:lineRule="exact"/>
        <w:rPr>
          <w:rFonts w:ascii="Courier New" w:cs="Courier New" w:eastAsia="Courier New" w:hAnsi="Courier New"/>
          <w:sz w:val="18"/>
          <w:szCs w:val="18"/>
          <w:color w:val="auto"/>
        </w:rPr>
      </w:pPr>
    </w:p>
    <w:p>
      <w:pPr>
        <w:ind w:left="540" w:right="5999" w:hanging="532"/>
        <w:spacing w:after="0" w:line="470" w:lineRule="auto"/>
        <w:tabs>
          <w:tab w:leader="none" w:pos="5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EVENTS AFFECTING OUTSTANDING AWARDS 7.1. Death.</w:t>
      </w:r>
    </w:p>
    <w:p>
      <w:pPr>
        <w:spacing w:after="0" w:line="6"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If a Participant dies, the following will apply:</w:t>
      </w:r>
    </w:p>
    <w:p>
      <w:pPr>
        <w:spacing w:after="0" w:line="206" w:lineRule="exact"/>
        <w:rPr>
          <w:rFonts w:ascii="Courier New" w:cs="Courier New" w:eastAsia="Courier New" w:hAnsi="Courier New"/>
          <w:sz w:val="18"/>
          <w:szCs w:val="18"/>
          <w:color w:val="auto"/>
        </w:rPr>
      </w:pPr>
    </w:p>
    <w:p>
      <w:pPr>
        <w:ind w:left="540" w:right="1879" w:firstLine="521"/>
        <w:spacing w:after="0" w:line="238" w:lineRule="auto"/>
        <w:tabs>
          <w:tab w:leader="none" w:pos="1488" w:val="left"/>
        </w:tabs>
        <w:numPr>
          <w:ilvl w:val="1"/>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Options and Stock Appreciation Rights held by the Participant immediately prior to death, to the extent then exercisable, may be exercised by the Participant's executor or administrator or the person or persons to whom the Option or Right is transferred by will or the applicable laws of descent and distribution, at any time within the one-year period ending with the first anniversary of the Participant's death (or such shorter or longer period as the Board may determine), and shall thereupon terminate. In no event, however, shall an Option or Stock Appreciation Right remain exercisable beyond the latest date on which it could have been exercised without regard to this Section 7. Except as otherwise determined by the Board, all Options and Stock Appreciation Rights held by a Participant immediately prior to death that are not then exercisable shall terminate at death.</w:t>
      </w:r>
    </w:p>
    <w:p>
      <w:pPr>
        <w:spacing w:after="0" w:line="207" w:lineRule="exact"/>
        <w:rPr>
          <w:rFonts w:ascii="Courier New" w:cs="Courier New" w:eastAsia="Courier New" w:hAnsi="Courier New"/>
          <w:sz w:val="18"/>
          <w:szCs w:val="18"/>
          <w:color w:val="auto"/>
        </w:rPr>
      </w:pPr>
    </w:p>
    <w:p>
      <w:pPr>
        <w:ind w:left="540" w:right="1879" w:firstLine="521"/>
        <w:spacing w:after="0" w:line="273" w:lineRule="auto"/>
        <w:tabs>
          <w:tab w:leader="none" w:pos="1488" w:val="left"/>
        </w:tabs>
        <w:numPr>
          <w:ilvl w:val="1"/>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otherwise determined by the Board, all Restricted Stock held by the Participant must be transferred to the Company (and, in the event the certificates representing such Restricted Stock are held by the Company, such Restricted Stock will be so transferred without any further action by the Participant) in accordance with Section 6.3 above.</w:t>
      </w:r>
    </w:p>
    <w:p>
      <w:pPr>
        <w:spacing w:after="0" w:line="184" w:lineRule="exact"/>
        <w:rPr>
          <w:rFonts w:ascii="Courier New" w:cs="Courier New" w:eastAsia="Courier New" w:hAnsi="Courier New"/>
          <w:sz w:val="16"/>
          <w:szCs w:val="16"/>
          <w:color w:val="auto"/>
        </w:rPr>
      </w:pPr>
    </w:p>
    <w:p>
      <w:pPr>
        <w:jc w:val="both"/>
        <w:ind w:left="540" w:right="1879" w:firstLine="521"/>
        <w:spacing w:after="0" w:line="275" w:lineRule="auto"/>
        <w:tabs>
          <w:tab w:leader="none" w:pos="1488" w:val="left"/>
        </w:tabs>
        <w:numPr>
          <w:ilvl w:val="1"/>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payment or benefit under a Deferred Stock Award, Performance Award, or Supplemental Grant to which the Participant was not irrevocably entitled prior to death will be forfeited and the Award canceled as of the time of death, unless otherwise determined by the Board.</w:t>
      </w:r>
    </w:p>
    <w:p>
      <w:pPr>
        <w:spacing w:after="0" w:line="177" w:lineRule="exact"/>
        <w:rPr>
          <w:sz w:val="20"/>
          <w:szCs w:val="20"/>
          <w:color w:val="auto"/>
        </w:rPr>
      </w:pPr>
    </w:p>
    <w:p>
      <w:pPr>
        <w:ind w:left="540"/>
        <w:spacing w:after="0"/>
        <w:tabs>
          <w:tab w:leader="none" w:pos="1140" w:val="left"/>
        </w:tabs>
        <w:rPr>
          <w:sz w:val="20"/>
          <w:szCs w:val="20"/>
          <w:color w:val="auto"/>
        </w:rPr>
      </w:pPr>
      <w:r>
        <w:rPr>
          <w:rFonts w:ascii="Courier New" w:cs="Courier New" w:eastAsia="Courier New" w:hAnsi="Courier New"/>
          <w:sz w:val="18"/>
          <w:szCs w:val="18"/>
          <w:color w:val="auto"/>
        </w:rPr>
        <w:t>7.2.</w:t>
      </w:r>
      <w:r>
        <w:rPr>
          <w:sz w:val="20"/>
          <w:szCs w:val="20"/>
          <w:color w:val="auto"/>
        </w:rPr>
        <w:tab/>
      </w:r>
      <w:r>
        <w:rPr>
          <w:rFonts w:ascii="Courier New" w:cs="Courier New" w:eastAsia="Courier New" w:hAnsi="Courier New"/>
          <w:sz w:val="16"/>
          <w:szCs w:val="16"/>
          <w:color w:val="auto"/>
        </w:rPr>
        <w:t>Termination of Service (Other Than By Death).</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If a Participant who is an Employee ceases to be an Employee for any reason other than death, or if there is a termination (other than by reason of death) of the consulting, service or similar relationship in respect of which a non-Employee Participant was granted an Award hereunder (such termination of the employment or other relationship being hereinafter referred to as a "Status Change"), the following will apply:</w:t>
      </w:r>
    </w:p>
    <w:p>
      <w:pPr>
        <w:spacing w:after="0" w:line="210" w:lineRule="exact"/>
        <w:rPr>
          <w:sz w:val="20"/>
          <w:szCs w:val="20"/>
          <w:color w:val="auto"/>
        </w:rPr>
      </w:pPr>
    </w:p>
    <w:p>
      <w:pPr>
        <w:ind w:left="540" w:right="1779" w:firstLine="521"/>
        <w:spacing w:after="0" w:line="238" w:lineRule="auto"/>
        <w:tabs>
          <w:tab w:leader="none" w:pos="1488"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otherwise determined by the Board, all Options and Stock Appreciation Rights held by the Participant that were not exercisable immediately prior to the Status Change shall terminate at the time of the Status Change. Any Options or Rights that were exercisable immediately prior to the Status Change will continue to be exercisable for a period of three months (or such longer period as the Board may determine), and shall thereupon terminate, unless the Award provides by its terms for immediate termination in the event of a Status Change or unless the Status Change results from a discharge for cause which in the opinion of the Board casts such discredit on the Participant as to justify immediate termination of the Award. In no event, however, shall an Option or Stock Appreciation Right remain exercisable beyond the latest date on which it could have been exercised without regard to this</w:t>
      </w:r>
    </w:p>
    <w:p>
      <w:pPr>
        <w:sectPr>
          <w:pgSz w:w="11900" w:h="16838" w:orient="portrait"/>
          <w:cols w:equalWidth="0" w:num="1">
            <w:col w:w="10219"/>
          </w:cols>
          <w:pgMar w:left="240" w:top="312" w:right="1440" w:bottom="362" w:gutter="0" w:footer="0" w:header="0"/>
        </w:sectPr>
      </w:pPr>
    </w:p>
    <w:bookmarkStart w:id="17" w:name="page18"/>
    <w:bookmarkEnd w:id="17"/>
    <w:p>
      <w:pPr>
        <w:ind w:left="292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9019"/>
          </w:cols>
          <w:pgMar w:left="1440" w:top="142" w:right="1440" w:bottom="1440" w:gutter="0" w:footer="0" w:header="0"/>
        </w:sectPr>
      </w:pPr>
    </w:p>
    <w:bookmarkStart w:id="18" w:name="page19"/>
    <w:bookmarkEnd w:id="18"/>
    <w:p>
      <w:pPr>
        <w:ind w:left="320"/>
        <w:spacing w:after="0"/>
        <w:rPr>
          <w:sz w:val="20"/>
          <w:szCs w:val="20"/>
          <w:color w:val="auto"/>
        </w:rPr>
      </w:pPr>
      <w:r>
        <w:rPr>
          <w:rFonts w:ascii="Courier New" w:cs="Courier New" w:eastAsia="Courier New" w:hAnsi="Courier New"/>
          <w:sz w:val="18"/>
          <w:szCs w:val="18"/>
          <w:color w:val="auto"/>
        </w:rPr>
        <w:t>7</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40" w:right="1779"/>
        <w:spacing w:after="0" w:line="237" w:lineRule="auto"/>
        <w:rPr>
          <w:sz w:val="20"/>
          <w:szCs w:val="20"/>
          <w:color w:val="auto"/>
        </w:rPr>
      </w:pPr>
      <w:r>
        <w:rPr>
          <w:rFonts w:ascii="Courier New" w:cs="Courier New" w:eastAsia="Courier New" w:hAnsi="Courier New"/>
          <w:sz w:val="18"/>
          <w:szCs w:val="18"/>
          <w:color w:val="auto"/>
        </w:rPr>
        <w:t>Section 7. For purposes of this paragraph, in the case of a Participant who is an Employee, a Status Change shall not be deemed to have resulted by reason of (i) a sick leave or other bona fide leave of absence approved for purposes of the Plan by the Board, so long as the Employee's right to reemployment is guaranteed either by statute or by contract, or (ii) a transfer of employment between the Company and a subsidiary or between subsidiary, or to the employment of a corporation (or a parent or subsidiary corporation of such corporation) issuing or assuming an option in a transaction to which section 424(a) of the Code applies.</w:t>
      </w:r>
    </w:p>
    <w:p>
      <w:pPr>
        <w:spacing w:after="0" w:line="214" w:lineRule="exact"/>
        <w:rPr>
          <w:sz w:val="20"/>
          <w:szCs w:val="20"/>
          <w:color w:val="auto"/>
        </w:rPr>
      </w:pPr>
    </w:p>
    <w:p>
      <w:pPr>
        <w:ind w:left="540" w:right="1779" w:firstLine="521"/>
        <w:spacing w:after="0" w:line="237" w:lineRule="auto"/>
        <w:tabs>
          <w:tab w:leader="none" w:pos="1488"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otherwise determined by the Board, all Restricted Stock held by the Participant at the time of the Status Change must be transferred to the Company (and, in the event the certificates representing such Restricted Stock are held by the Company, such Restricted Stock will be so transferred without any further action by the Participant) in accordance with Section 6.3 above.</w:t>
      </w:r>
    </w:p>
    <w:p>
      <w:pPr>
        <w:spacing w:after="0" w:line="209" w:lineRule="exact"/>
        <w:rPr>
          <w:rFonts w:ascii="Courier New" w:cs="Courier New" w:eastAsia="Courier New" w:hAnsi="Courier New"/>
          <w:sz w:val="18"/>
          <w:szCs w:val="18"/>
          <w:color w:val="auto"/>
        </w:rPr>
      </w:pPr>
    </w:p>
    <w:p>
      <w:pPr>
        <w:ind w:left="540" w:right="1879" w:firstLine="521"/>
        <w:spacing w:after="0" w:line="237" w:lineRule="auto"/>
        <w:tabs>
          <w:tab w:leader="none" w:pos="1488"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payment or benefit under a Deferred Stock Award, Performance Award, or Supplemental Grant to which the Participant was not irrevocably entitled prior to the Status Change will be forfeited and the Award cancelled as of the date of such Status Change unless otherwise determined by the Board.</w:t>
      </w:r>
    </w:p>
    <w:p>
      <w:pPr>
        <w:spacing w:after="0" w:line="203" w:lineRule="exact"/>
        <w:rPr>
          <w:sz w:val="20"/>
          <w:szCs w:val="20"/>
          <w:color w:val="auto"/>
        </w:rPr>
      </w:pPr>
    </w:p>
    <w:p>
      <w:pPr>
        <w:ind w:left="540"/>
        <w:spacing w:after="0"/>
        <w:tabs>
          <w:tab w:leader="none" w:pos="1140" w:val="left"/>
        </w:tabs>
        <w:rPr>
          <w:sz w:val="20"/>
          <w:szCs w:val="20"/>
          <w:color w:val="auto"/>
        </w:rPr>
      </w:pPr>
      <w:r>
        <w:rPr>
          <w:rFonts w:ascii="Courier New" w:cs="Courier New" w:eastAsia="Courier New" w:hAnsi="Courier New"/>
          <w:sz w:val="18"/>
          <w:szCs w:val="18"/>
          <w:color w:val="auto"/>
        </w:rPr>
        <w:t>7.3.</w:t>
      </w:r>
      <w:r>
        <w:rPr>
          <w:sz w:val="20"/>
          <w:szCs w:val="20"/>
          <w:color w:val="auto"/>
        </w:rPr>
        <w:tab/>
      </w:r>
      <w:r>
        <w:rPr>
          <w:rFonts w:ascii="Courier New" w:cs="Courier New" w:eastAsia="Courier New" w:hAnsi="Courier New"/>
          <w:sz w:val="16"/>
          <w:szCs w:val="16"/>
          <w:color w:val="auto"/>
        </w:rPr>
        <w:t>Certain Corporate Transactions.</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Except as provided below in this Section 7.3, on the effective date of a Corporate Transaction (as defined below) (i) each outstanding Option and Stock Appreciation Right shall automatically become exercisable with respect to fifty percent (50%) of any portion of such Option or Stock Appreciation Right which is not then exercisable, (ii) all restrictions with respect to fifty percent (50%) of the shares of Common Stock then subject to the restrictions of Restricted Stock awards shall lapse, (iii) fifty percent (50%) of all payments or other benefits under each outstanding Deferred Stock Award, Performance Award and Supplemental Grant which have not then been paid or provided shall be paid or provided, and (iv) fifty percent (50%) of the unpaid principal balance and accrued interest on each outstanding Loan shall be forgiven.</w:t>
      </w:r>
    </w:p>
    <w:p>
      <w:pPr>
        <w:spacing w:after="0" w:line="392"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Provisions (i) through (iv) above shall not apply to the extent an outstanding Award held by a participant who, following the covered transaction, will be employed by or otherwise providing services to a corporation which is a surviving or acquiring corporation in such transaction or an affiliate of such a corporation, is replaced by such surviving or acquiring corporation or affiliate with a replacement award which, in the judgment of the Board, is substantially equivalent to the Award and which replacement award provides that if the recipient of such replacement award suffers an Involuntary Termination (as defined below) within twenty-four (24) months after the effective date of the Corporate Transaction in which such replacement award was granted then (i) each replacement option and stock appreciation right will automatically become exercisable with respect to fifty percent (50%) of any portion of such replacement option or stock appreciation right which is unexercisable at the time of the Involuntary Termination, (ii) all restrictions with respect to fifty percent (50%) of the shares of stock subject to replacement restricted stock awards at the time of the Involuntary Termination shall lapse, (iii) fifty percent (50%) of all payments or other benefits under each outstanding replacement deferred stock award, performance award and supplemental grant which have not been paid or provided as of the time of the Involuntary Termination shall be paid or provided, and (iv) fifty percent (50%) of the unpaid principal balance and accrued interest at the time of the Involuntary Termination on each outstanding replacement loan shall be forgiven.</w:t>
      </w:r>
    </w:p>
    <w:p>
      <w:pPr>
        <w:spacing w:after="0" w:line="200" w:lineRule="exact"/>
        <w:rPr>
          <w:sz w:val="20"/>
          <w:szCs w:val="20"/>
          <w:color w:val="auto"/>
        </w:rPr>
      </w:pPr>
    </w:p>
    <w:p>
      <w:pPr>
        <w:spacing w:after="0" w:line="396"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term "Corporate Transaction" shall mean the occurrence of any of the following: (i) a merger or consolidation involving the Company which results in less than 50% of the combined voting power of the surviving or resulting entity's outstanding securities being held by the stockholders of the Company who were stockholders immediately prior to such transaction, or (ii) the sale, transfer or other disposition of more than 51% of the Company's assets in a single or related series of transactions or (iii) within any twenty-four (24) consecutive month period, persons who were members of the Board immediately prior to such twenty-four (24) month period, together with any persons who were first elected as directors (other than as a result of any settlement of a proxy or consent solicitation contest or any action taken to avoid such a contest) during such twenty-four (24) month period by or upon the recommendation of persons who were members of the Board immediately prior to such twenty-four (24) month period and who constituted a majority of the Board at the time of such election, cease to constitute a majority of the Board.</w:t>
      </w:r>
    </w:p>
    <w:p>
      <w:pPr>
        <w:sectPr>
          <w:pgSz w:w="11900" w:h="16838" w:orient="portrait"/>
          <w:cols w:equalWidth="0" w:num="1">
            <w:col w:w="10219"/>
          </w:cols>
          <w:pgMar w:left="240" w:top="312" w:right="1440" w:bottom="0" w:gutter="0" w:footer="0" w:header="0"/>
        </w:sectPr>
      </w:pPr>
    </w:p>
    <w:bookmarkStart w:id="19" w:name="page20"/>
    <w:bookmarkEnd w:id="19"/>
    <w:p>
      <w:pPr>
        <w:ind w:left="292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9019"/>
          </w:cols>
          <w:pgMar w:left="1440" w:top="344" w:right="1440" w:bottom="1440" w:gutter="0" w:footer="0" w:header="0"/>
        </w:sectPr>
      </w:pPr>
    </w:p>
    <w:bookmarkStart w:id="20" w:name="page21"/>
    <w:bookmarkEnd w:id="20"/>
    <w:p>
      <w:pPr>
        <w:ind w:left="320"/>
        <w:spacing w:after="0"/>
        <w:rPr>
          <w:sz w:val="20"/>
          <w:szCs w:val="20"/>
          <w:color w:val="auto"/>
        </w:rPr>
      </w:pPr>
      <w:r>
        <w:rPr>
          <w:rFonts w:ascii="Courier New" w:cs="Courier New" w:eastAsia="Courier New" w:hAnsi="Courier New"/>
          <w:sz w:val="18"/>
          <w:szCs w:val="18"/>
          <w:color w:val="auto"/>
        </w:rPr>
        <w:t>8</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The term "Involuntary Termination" shall mean (i) the termination of the services of any Participant which occurs by reason of such individual's involuntary dismissal or discharge for reasons other than as a result of (a) the commission of any act or fraud, embezzlement or dishonesty by the Participant,</w:t>
      </w:r>
    </w:p>
    <w:p>
      <w:pPr>
        <w:spacing w:after="0" w:line="1" w:lineRule="exact"/>
        <w:rPr>
          <w:sz w:val="20"/>
          <w:szCs w:val="20"/>
          <w:color w:val="auto"/>
        </w:rPr>
      </w:pPr>
    </w:p>
    <w:p>
      <w:pPr>
        <w:ind w:right="1779" w:firstLine="8"/>
        <w:spacing w:after="0" w:line="237" w:lineRule="auto"/>
        <w:tabs>
          <w:tab w:leader="none" w:pos="421"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material unauthorized use or disclosure by such individual of confidential information or trade secrets of the Company or its successor, or (c) any other intentional misconduct by such individual adversely affecting the business or affairs of the Company or its successor in a material manner, or (ii) (d) a material diminution of the responsibilities of a Participant, (e) a reduction of more than 10% in a Participant's level of compensation (including base salary, benefits or any non-discretionary and objective-standard incentive payment or bonus award) or (c) a relocation of a Participant's principal place of employment by more than 50 miles, only if such change, reduction or relocation is effected by the Company or the successor thereto without the Participant's consent.</w:t>
      </w:r>
    </w:p>
    <w:p>
      <w:pPr>
        <w:spacing w:after="0" w:line="210" w:lineRule="exact"/>
        <w:rPr>
          <w:sz w:val="20"/>
          <w:szCs w:val="20"/>
          <w:color w:val="auto"/>
        </w:rPr>
      </w:pPr>
    </w:p>
    <w:p>
      <w:pPr>
        <w:ind w:left="540" w:hanging="532"/>
        <w:spacing w:after="0"/>
        <w:tabs>
          <w:tab w:leader="none" w:pos="54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GENERAL PROVISIONS</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8.1.  Documentation of Awards.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Awards will be evidenced by such written instruments, if any, as may be prescribed by the Board from time to time. Such instruments may be in the form of agreements to be executed by both the Participant and the Company, or certificates, letters or similar instruments, which need not be executed by the Participant but acceptance of which will evidence agreement to the terms thereof.</w:t>
      </w:r>
    </w:p>
    <w:p>
      <w:pPr>
        <w:spacing w:after="0" w:line="204" w:lineRule="exact"/>
        <w:rPr>
          <w:sz w:val="20"/>
          <w:szCs w:val="20"/>
          <w:color w:val="auto"/>
        </w:rPr>
      </w:pPr>
    </w:p>
    <w:p>
      <w:pPr>
        <w:ind w:left="540"/>
        <w:spacing w:after="0"/>
        <w:tabs>
          <w:tab w:leader="none" w:pos="1140" w:val="left"/>
        </w:tabs>
        <w:rPr>
          <w:sz w:val="20"/>
          <w:szCs w:val="20"/>
          <w:color w:val="auto"/>
        </w:rPr>
      </w:pPr>
      <w:r>
        <w:rPr>
          <w:rFonts w:ascii="Courier New" w:cs="Courier New" w:eastAsia="Courier New" w:hAnsi="Courier New"/>
          <w:sz w:val="18"/>
          <w:szCs w:val="18"/>
          <w:color w:val="auto"/>
        </w:rPr>
        <w:t>8.2.</w:t>
      </w:r>
      <w:r>
        <w:rPr>
          <w:sz w:val="20"/>
          <w:szCs w:val="20"/>
          <w:color w:val="auto"/>
        </w:rPr>
        <w:tab/>
      </w:r>
      <w:r>
        <w:rPr>
          <w:rFonts w:ascii="Courier New" w:cs="Courier New" w:eastAsia="Courier New" w:hAnsi="Courier New"/>
          <w:sz w:val="16"/>
          <w:szCs w:val="16"/>
          <w:color w:val="auto"/>
        </w:rPr>
        <w:t>Rights as a Stockholder, Dividend Equivalents.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Except as specifically provided by the Plan, the receipt of an Award will not give a Participant rights as a stockholder; the participant will obtain such rights, subject to any limitations imposed by the Plan or the instrument evidencing the Award, upon actual receipt of Stock. However, the Board may, on such conditions as it deems appropriate, provide that a Participant will receive a benefit in lieu of cash dividends that would have been payable on any or all Stock subject to the Participant's Award had such Stock been outstanding. Without limitation, the Board may provide for payment to the Participant of amounts representing such dividends, either currently or in the future, or for the investment of such amounts on behalf of the Participant.</w:t>
      </w:r>
    </w:p>
    <w:p>
      <w:pPr>
        <w:spacing w:after="0" w:line="209" w:lineRule="exact"/>
        <w:rPr>
          <w:sz w:val="20"/>
          <w:szCs w:val="20"/>
          <w:color w:val="auto"/>
        </w:rPr>
      </w:pPr>
    </w:p>
    <w:p>
      <w:pPr>
        <w:ind w:left="540"/>
        <w:spacing w:after="0"/>
        <w:tabs>
          <w:tab w:leader="none" w:pos="1140" w:val="left"/>
        </w:tabs>
        <w:rPr>
          <w:sz w:val="20"/>
          <w:szCs w:val="20"/>
          <w:color w:val="auto"/>
        </w:rPr>
      </w:pPr>
      <w:r>
        <w:rPr>
          <w:rFonts w:ascii="Courier New" w:cs="Courier New" w:eastAsia="Courier New" w:hAnsi="Courier New"/>
          <w:sz w:val="18"/>
          <w:szCs w:val="18"/>
          <w:color w:val="auto"/>
        </w:rPr>
        <w:t>8.3.</w:t>
      </w:r>
      <w:r>
        <w:rPr>
          <w:sz w:val="20"/>
          <w:szCs w:val="20"/>
          <w:color w:val="auto"/>
        </w:rPr>
        <w:tab/>
      </w:r>
      <w:r>
        <w:rPr>
          <w:rFonts w:ascii="Courier New" w:cs="Courier New" w:eastAsia="Courier New" w:hAnsi="Courier New"/>
          <w:sz w:val="16"/>
          <w:szCs w:val="16"/>
          <w:color w:val="auto"/>
        </w:rPr>
        <w:t>Conditions on Delivery of Stock.</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Company will not be obligated to deliver any shares of Stock pursuant to the Plan or to remove restriction from shares previously delivered under the Plan (a) until all conditions of the Award have been satisfied or removed, (b) until, in the opinion of the Company's counsel, all applicable federal and state laws and regulation have been complied with, (c) if the outstanding Stock is at the time listed on any stock exchange, until the shares to be delivered have been listed or authorized to be listed on such exchange upon official notice of notice of issuance, and (d) until all other legal matters in connection with the issuance and delivery of such shares have been approved by the Company's counsel. If the sale of Stock has not been registered under the Securities Act of 1933, as amended, the Company may require, as a condition to exercise of the Award, such representations or agreements as counsel for the Company may consider appropriate to avoid violation of such Act and may require that the certificates evidencing such Stock bear an appropriate legend restricting transfer.</w:t>
      </w:r>
    </w:p>
    <w:p>
      <w:pPr>
        <w:spacing w:after="0" w:line="208" w:lineRule="exact"/>
        <w:rPr>
          <w:sz w:val="20"/>
          <w:szCs w:val="20"/>
          <w:color w:val="auto"/>
        </w:rPr>
      </w:pPr>
    </w:p>
    <w:p>
      <w:pPr>
        <w:ind w:right="1999" w:firstLine="527"/>
        <w:spacing w:after="0" w:line="279" w:lineRule="auto"/>
        <w:rPr>
          <w:sz w:val="20"/>
          <w:szCs w:val="20"/>
          <w:color w:val="auto"/>
        </w:rPr>
      </w:pPr>
      <w:r>
        <w:rPr>
          <w:rFonts w:ascii="Courier New" w:cs="Courier New" w:eastAsia="Courier New" w:hAnsi="Courier New"/>
          <w:sz w:val="16"/>
          <w:szCs w:val="16"/>
          <w:color w:val="auto"/>
        </w:rPr>
        <w:t>If an Award is exercised by the Participant's legal representative, the Company will be under no obligation to deliver Stock pursuant to such exercise until the Company is satisfied as to the authority of such representative.</w:t>
      </w:r>
    </w:p>
    <w:p>
      <w:pPr>
        <w:spacing w:after="0" w:line="173" w:lineRule="exact"/>
        <w:rPr>
          <w:sz w:val="20"/>
          <w:szCs w:val="20"/>
          <w:color w:val="auto"/>
        </w:rPr>
      </w:pPr>
    </w:p>
    <w:p>
      <w:pPr>
        <w:ind w:left="540"/>
        <w:spacing w:after="0"/>
        <w:tabs>
          <w:tab w:leader="none" w:pos="1140" w:val="left"/>
        </w:tabs>
        <w:rPr>
          <w:sz w:val="20"/>
          <w:szCs w:val="20"/>
          <w:color w:val="auto"/>
        </w:rPr>
      </w:pPr>
      <w:r>
        <w:rPr>
          <w:rFonts w:ascii="Courier New" w:cs="Courier New" w:eastAsia="Courier New" w:hAnsi="Courier New"/>
          <w:sz w:val="18"/>
          <w:szCs w:val="18"/>
          <w:color w:val="auto"/>
        </w:rPr>
        <w:t>8.4.</w:t>
      </w:r>
      <w:r>
        <w:rPr>
          <w:sz w:val="20"/>
          <w:szCs w:val="20"/>
          <w:color w:val="auto"/>
        </w:rPr>
        <w:tab/>
      </w:r>
      <w:r>
        <w:rPr>
          <w:rFonts w:ascii="Courier New" w:cs="Courier New" w:eastAsia="Courier New" w:hAnsi="Courier New"/>
          <w:sz w:val="16"/>
          <w:szCs w:val="16"/>
          <w:color w:val="auto"/>
        </w:rPr>
        <w:t>Tax Withholding.</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The Company will withhold from any cash payment made pursuant to an Award an amount sufficient to satisfy all federal, state and local withholding tax requirements (the "withholding requirements").</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the case of an Award pursuant to which Stock may be delivered, the Board will have the right to require that the Participant or other appropriate person remit to the Company an amount sufficient to satisfy the withholding requirements, or make other arrangements satisfactory to the Board with regard to such requirements, prior to the delivery of any Stock. If and to the extent that such withholding is required, the Board may permit</w:t>
      </w:r>
    </w:p>
    <w:p>
      <w:pPr>
        <w:sectPr>
          <w:pgSz w:w="11900" w:h="16838" w:orient="portrait"/>
          <w:cols w:equalWidth="0" w:num="1">
            <w:col w:w="10219"/>
          </w:cols>
          <w:pgMar w:left="240" w:top="312" w:right="1440" w:bottom="162" w:gutter="0" w:footer="0" w:header="0"/>
        </w:sectPr>
      </w:pPr>
    </w:p>
    <w:bookmarkStart w:id="21" w:name="page22"/>
    <w:bookmarkEnd w:id="21"/>
    <w:p>
      <w:pPr>
        <w:ind w:left="292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9019"/>
          </w:cols>
          <w:pgMar w:left="1440" w:top="142" w:right="1440" w:bottom="1440" w:gutter="0" w:footer="0" w:header="0"/>
        </w:sectPr>
      </w:pPr>
    </w:p>
    <w:bookmarkStart w:id="22" w:name="page23"/>
    <w:bookmarkEnd w:id="22"/>
    <w:p>
      <w:pPr>
        <w:ind w:left="320"/>
        <w:spacing w:after="0"/>
        <w:rPr>
          <w:sz w:val="20"/>
          <w:szCs w:val="20"/>
          <w:color w:val="auto"/>
        </w:rPr>
      </w:pPr>
      <w:r>
        <w:rPr>
          <w:rFonts w:ascii="Courier New" w:cs="Courier New" w:eastAsia="Courier New" w:hAnsi="Courier New"/>
          <w:sz w:val="18"/>
          <w:szCs w:val="18"/>
          <w:color w:val="auto"/>
        </w:rPr>
        <w:t>9</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Participant or such other person to elect at such time and in such manner as the Board provides to have the Company hold back from the shares to be delivered, or to deliver to the Company, Stock having a value calculated to satisfy the withholding requirement.</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If at the time an ISO is exercised the Board determines that the Company could be liable for withholding requirements with respect to a disposition of the Stock received upon exercise, the Board may require as a condition of exercise that the person exercising the ISO agree (a) to inform the Company promptly of any disposition (within the meaning of section 424(c) of the Code) of Stock received upon exercise, and (b) to give such security as the Board deems adequate to meet the potential liability of the Company for the withholding requirements and to augment such security from time to time in any amount reasonably deemed necessary by the Board to preserve the adequacy of such security.</w:t>
      </w:r>
    </w:p>
    <w:p>
      <w:pPr>
        <w:spacing w:after="0" w:line="209" w:lineRule="exact"/>
        <w:rPr>
          <w:sz w:val="20"/>
          <w:szCs w:val="20"/>
          <w:color w:val="auto"/>
        </w:rPr>
      </w:pPr>
    </w:p>
    <w:p>
      <w:pPr>
        <w:ind w:left="540"/>
        <w:spacing w:after="0"/>
        <w:tabs>
          <w:tab w:leader="none" w:pos="1140" w:val="left"/>
        </w:tabs>
        <w:rPr>
          <w:sz w:val="20"/>
          <w:szCs w:val="20"/>
          <w:color w:val="auto"/>
        </w:rPr>
      </w:pPr>
      <w:r>
        <w:rPr>
          <w:rFonts w:ascii="Courier New" w:cs="Courier New" w:eastAsia="Courier New" w:hAnsi="Courier New"/>
          <w:sz w:val="18"/>
          <w:szCs w:val="18"/>
          <w:color w:val="auto"/>
        </w:rPr>
        <w:t>8.5.</w:t>
      </w:r>
      <w:r>
        <w:rPr>
          <w:sz w:val="20"/>
          <w:szCs w:val="20"/>
          <w:color w:val="auto"/>
        </w:rPr>
        <w:tab/>
      </w:r>
      <w:r>
        <w:rPr>
          <w:rFonts w:ascii="Courier New" w:cs="Courier New" w:eastAsia="Courier New" w:hAnsi="Courier New"/>
          <w:sz w:val="16"/>
          <w:szCs w:val="16"/>
          <w:color w:val="auto"/>
        </w:rPr>
        <w:t>Transferability of Awards.</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Except as the Board may otherwise determine in connection with gifts and except as provided below, no Award (other than an Award in the form of an outright transfer of cash or Unrestricted Stock) may be transferred other than by will or by the laws of descent and distribution, and during an employee's lifetime an Award requiring exercise may be exercised only by the Participant (or in the event of the Participant's incapacity, the person or persons legally appointed to act on the Participant's behalf). The Board may grant Options that are transferable, (i) without payment of consideration, to immediate family members of the optionee or to trusts or partnerships for such family members; the Committee may also amend outstanding Options to provide for such transferability or (ii) as is otherwise hereafter permitted in accordance with Rule 16b-3 of the 1934 Act (or any rule promulgated in replacement thereof or in substitution therefor).</w:t>
      </w:r>
    </w:p>
    <w:p>
      <w:pPr>
        <w:spacing w:after="0" w:line="202" w:lineRule="exact"/>
        <w:rPr>
          <w:sz w:val="20"/>
          <w:szCs w:val="20"/>
          <w:color w:val="auto"/>
        </w:rPr>
      </w:pPr>
    </w:p>
    <w:p>
      <w:pPr>
        <w:ind w:left="540"/>
        <w:spacing w:after="0"/>
        <w:tabs>
          <w:tab w:leader="none" w:pos="1140" w:val="left"/>
        </w:tabs>
        <w:rPr>
          <w:sz w:val="20"/>
          <w:szCs w:val="20"/>
          <w:color w:val="auto"/>
        </w:rPr>
      </w:pPr>
      <w:r>
        <w:rPr>
          <w:rFonts w:ascii="Courier New" w:cs="Courier New" w:eastAsia="Courier New" w:hAnsi="Courier New"/>
          <w:sz w:val="18"/>
          <w:szCs w:val="18"/>
          <w:color w:val="auto"/>
        </w:rPr>
        <w:t>8.6.</w:t>
      </w:r>
      <w:r>
        <w:rPr>
          <w:sz w:val="20"/>
          <w:szCs w:val="20"/>
          <w:color w:val="auto"/>
        </w:rPr>
        <w:tab/>
      </w:r>
      <w:r>
        <w:rPr>
          <w:rFonts w:ascii="Courier New" w:cs="Courier New" w:eastAsia="Courier New" w:hAnsi="Courier New"/>
          <w:sz w:val="16"/>
          <w:szCs w:val="16"/>
          <w:color w:val="auto"/>
        </w:rPr>
        <w:t>Adjustments in the Event of Certain Transactions.</w:t>
      </w:r>
    </w:p>
    <w:p>
      <w:pPr>
        <w:spacing w:after="0" w:line="207" w:lineRule="exact"/>
        <w:rPr>
          <w:sz w:val="20"/>
          <w:szCs w:val="20"/>
          <w:color w:val="auto"/>
        </w:rPr>
      </w:pPr>
    </w:p>
    <w:p>
      <w:pPr>
        <w:ind w:left="540" w:right="1999" w:firstLine="521"/>
        <w:spacing w:after="0" w:line="237" w:lineRule="auto"/>
        <w:tabs>
          <w:tab w:leader="none" w:pos="1488"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of a stock dividend, stock split or combination of shares, recapitalization or other change in the Company's capitalization, or other distribution to common stockholders other than normal cash dividends, after the effective date of the Plan, the Board will make any appropriate adjustments to the maximum number of shares that may be delivered under the Plan under Section 4 above.</w:t>
      </w:r>
    </w:p>
    <w:p>
      <w:pPr>
        <w:spacing w:after="0" w:line="209" w:lineRule="exact"/>
        <w:rPr>
          <w:rFonts w:ascii="Courier New" w:cs="Courier New" w:eastAsia="Courier New" w:hAnsi="Courier New"/>
          <w:sz w:val="18"/>
          <w:szCs w:val="18"/>
          <w:color w:val="auto"/>
        </w:rPr>
      </w:pPr>
    </w:p>
    <w:p>
      <w:pPr>
        <w:ind w:left="540" w:right="1779" w:firstLine="521"/>
        <w:spacing w:after="0" w:line="237" w:lineRule="auto"/>
        <w:tabs>
          <w:tab w:leader="none" w:pos="1488"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any event referred to in paragraph (a), the Board will also make any appropriate adjustments to the number and kind of shares of stock or securities subject to Awards then outstanding or subsequently granted, any exercise prices relating to Awards and any other provision of Awards affected by such change. The Board may also make such adjustments to take into account material changes in law or in accounting practices or principles, mergers, consolidations, acquisitions, dispositions or similar corporate transactions, or any other event, if it is determined by the Board that adjustments are appropriate to avoid distortion in the operation of the Plan.</w:t>
      </w:r>
    </w:p>
    <w:p>
      <w:pPr>
        <w:spacing w:after="0" w:line="209" w:lineRule="exact"/>
        <w:rPr>
          <w:sz w:val="20"/>
          <w:szCs w:val="20"/>
          <w:color w:val="auto"/>
        </w:rPr>
      </w:pPr>
    </w:p>
    <w:p>
      <w:pPr>
        <w:ind w:left="540"/>
        <w:spacing w:after="0"/>
        <w:tabs>
          <w:tab w:leader="none" w:pos="1140" w:val="left"/>
        </w:tabs>
        <w:rPr>
          <w:sz w:val="20"/>
          <w:szCs w:val="20"/>
          <w:color w:val="auto"/>
        </w:rPr>
      </w:pPr>
      <w:r>
        <w:rPr>
          <w:rFonts w:ascii="Courier New" w:cs="Courier New" w:eastAsia="Courier New" w:hAnsi="Courier New"/>
          <w:sz w:val="18"/>
          <w:szCs w:val="18"/>
          <w:color w:val="auto"/>
        </w:rPr>
        <w:t>8.7.</w:t>
      </w:r>
      <w:r>
        <w:rPr>
          <w:sz w:val="20"/>
          <w:szCs w:val="20"/>
          <w:color w:val="auto"/>
        </w:rPr>
        <w:tab/>
      </w:r>
      <w:r>
        <w:rPr>
          <w:rFonts w:ascii="Courier New" w:cs="Courier New" w:eastAsia="Courier New" w:hAnsi="Courier New"/>
          <w:sz w:val="16"/>
          <w:szCs w:val="16"/>
          <w:color w:val="auto"/>
        </w:rPr>
        <w:t>Employment Rights, Etc.</w:t>
      </w:r>
    </w:p>
    <w:p>
      <w:pPr>
        <w:spacing w:after="0" w:line="207" w:lineRule="exact"/>
        <w:rPr>
          <w:sz w:val="20"/>
          <w:szCs w:val="20"/>
          <w:color w:val="auto"/>
        </w:rPr>
      </w:pPr>
    </w:p>
    <w:p>
      <w:pPr>
        <w:ind w:right="1999" w:firstLine="527"/>
        <w:spacing w:after="0" w:line="271" w:lineRule="auto"/>
        <w:rPr>
          <w:sz w:val="20"/>
          <w:szCs w:val="20"/>
          <w:color w:val="auto"/>
        </w:rPr>
      </w:pPr>
      <w:r>
        <w:rPr>
          <w:rFonts w:ascii="Courier New" w:cs="Courier New" w:eastAsia="Courier New" w:hAnsi="Courier New"/>
          <w:sz w:val="16"/>
          <w:szCs w:val="16"/>
          <w:color w:val="auto"/>
        </w:rPr>
        <w:t>Neither the adoption of the Plan nor the grant of Awards will confer upon any person any right to continue retention by the Company or any subsidiary as an Employee or otherwise, or affect in any way the right of the Company or subsidiary to terminate an employment, service or similar relationship at any time. Except as specifically provided by the Board in any particular case, the loss of existing or potential profit in Awards granted under the Plan will not constitute an element of damages in the event of termination of an employment, service or similar relationship even if the termination is in violation of an obligation of the Company to the Participant.</w:t>
      </w:r>
    </w:p>
    <w:p>
      <w:pPr>
        <w:spacing w:after="0" w:line="178" w:lineRule="exact"/>
        <w:rPr>
          <w:sz w:val="20"/>
          <w:szCs w:val="20"/>
          <w:color w:val="auto"/>
        </w:rPr>
      </w:pPr>
    </w:p>
    <w:p>
      <w:pPr>
        <w:ind w:left="540"/>
        <w:spacing w:after="0"/>
        <w:tabs>
          <w:tab w:leader="none" w:pos="1140" w:val="left"/>
        </w:tabs>
        <w:rPr>
          <w:sz w:val="20"/>
          <w:szCs w:val="20"/>
          <w:color w:val="auto"/>
        </w:rPr>
      </w:pPr>
      <w:r>
        <w:rPr>
          <w:rFonts w:ascii="Courier New" w:cs="Courier New" w:eastAsia="Courier New" w:hAnsi="Courier New"/>
          <w:sz w:val="18"/>
          <w:szCs w:val="18"/>
          <w:color w:val="auto"/>
        </w:rPr>
        <w:t>8.8.</w:t>
      </w:r>
      <w:r>
        <w:rPr>
          <w:sz w:val="20"/>
          <w:szCs w:val="20"/>
          <w:color w:val="auto"/>
        </w:rPr>
        <w:tab/>
      </w:r>
      <w:r>
        <w:rPr>
          <w:rFonts w:ascii="Courier New" w:cs="Courier New" w:eastAsia="Courier New" w:hAnsi="Courier New"/>
          <w:sz w:val="16"/>
          <w:szCs w:val="16"/>
          <w:color w:val="auto"/>
        </w:rPr>
        <w:t>Deferral of Payments.</w:t>
      </w:r>
    </w:p>
    <w:p>
      <w:pPr>
        <w:spacing w:after="0" w:line="207"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The Board may agree at any time, upon request of the Participant, to defer the date on which any payment under an Award will be made.</w:t>
      </w:r>
    </w:p>
    <w:p>
      <w:pPr>
        <w:spacing w:after="0" w:line="203" w:lineRule="exact"/>
        <w:rPr>
          <w:sz w:val="20"/>
          <w:szCs w:val="20"/>
          <w:color w:val="auto"/>
        </w:rPr>
      </w:pPr>
    </w:p>
    <w:p>
      <w:pPr>
        <w:ind w:left="540"/>
        <w:spacing w:after="0"/>
        <w:tabs>
          <w:tab w:leader="none" w:pos="1140" w:val="left"/>
        </w:tabs>
        <w:rPr>
          <w:sz w:val="20"/>
          <w:szCs w:val="20"/>
          <w:color w:val="auto"/>
        </w:rPr>
      </w:pPr>
      <w:r>
        <w:rPr>
          <w:rFonts w:ascii="Courier New" w:cs="Courier New" w:eastAsia="Courier New" w:hAnsi="Courier New"/>
          <w:sz w:val="18"/>
          <w:szCs w:val="18"/>
          <w:color w:val="auto"/>
        </w:rPr>
        <w:t>8.9.</w:t>
      </w:r>
      <w:r>
        <w:rPr>
          <w:sz w:val="20"/>
          <w:szCs w:val="20"/>
          <w:color w:val="auto"/>
        </w:rPr>
        <w:tab/>
      </w:r>
      <w:r>
        <w:rPr>
          <w:rFonts w:ascii="Courier New" w:cs="Courier New" w:eastAsia="Courier New" w:hAnsi="Courier New"/>
          <w:sz w:val="16"/>
          <w:szCs w:val="16"/>
          <w:color w:val="auto"/>
        </w:rPr>
        <w:t>Past Services as Consideration.</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312" w:right="1440" w:bottom="362" w:gutter="0" w:footer="0" w:header="0"/>
        </w:sectPr>
      </w:pPr>
    </w:p>
    <w:bookmarkStart w:id="23" w:name="page24"/>
    <w:bookmarkEnd w:id="23"/>
    <w:p>
      <w:pPr>
        <w:ind w:left="320"/>
        <w:spacing w:after="0"/>
        <w:rPr>
          <w:sz w:val="20"/>
          <w:szCs w:val="20"/>
          <w:color w:val="auto"/>
        </w:rPr>
      </w:pPr>
      <w:r>
        <w:rPr>
          <w:rFonts w:ascii="Courier New" w:cs="Courier New" w:eastAsia="Courier New" w:hAnsi="Courier New"/>
          <w:sz w:val="18"/>
          <w:szCs w:val="18"/>
          <w:color w:val="auto"/>
        </w:rPr>
        <w:t>10</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Where a Participant purchases Stock under an Award for a price equal to the par value of the Stock the Board may determine that such price has been satisfied by past services rendered by the Participant.</w:t>
      </w:r>
    </w:p>
    <w:p>
      <w:pPr>
        <w:spacing w:after="0" w:line="203" w:lineRule="exact"/>
        <w:rPr>
          <w:sz w:val="20"/>
          <w:szCs w:val="20"/>
          <w:color w:val="auto"/>
        </w:rPr>
      </w:pPr>
    </w:p>
    <w:p>
      <w:pPr>
        <w:ind w:left="540" w:hanging="532"/>
        <w:spacing w:after="0"/>
        <w:tabs>
          <w:tab w:leader="none" w:pos="54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EFFECT, DISCONTINUANCE, CANCELLATION, AMENDMENT AND TERMINATION</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Neither adoption of the Plan nor the grant of Awards to a Participant will affect the Company's right to grant to such Participant awards that are not subject to the Plan, to issue to such Participant Stock as a bonus or otherwise, or to adopt other plans or arrangements under which Stock will be issued to Employees.</w:t>
      </w:r>
    </w:p>
    <w:p>
      <w:pPr>
        <w:spacing w:after="0" w:line="209"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The Board may at any time or times amend the Plan or any outstanding Award for any purpose which may at the time be permitted by law, or may at any time terminate the Plan as to any further grants of Awards, provided that (except to the extent expressly required or permitted by the Plan) no such amendment will, without the approval of the stockholders of the Company, effectuate a change for which stockholder approval is required in order for the Plan to continue to qualify for the award of ISOs under section 422 of the Code, or for the award of performance-based compensation under section 162(m) of the Code, or to continue to qualify under Rule 16b-3 promulgated under Section 16 of the 1934 Act.</w:t>
      </w:r>
    </w:p>
    <w:p>
      <w:pPr>
        <w:spacing w:after="0" w:line="38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-10-</w:t>
      </w:r>
    </w:p>
    <w:sectPr>
      <w:pgSz w:w="11900" w:h="16838" w:orient="portrait"/>
      <w:cols w:equalWidth="0" w:num="1">
        <w:col w:w="10219"/>
      </w:cols>
      <w:pgMar w:left="24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F2DBA31"/>
    <w:multiLevelType w:val="hybridMultilevel"/>
    <w:lvl w:ilvl="0">
      <w:lvlJc w:val="left"/>
      <w:lvlText w:val="(%1)"/>
      <w:numFmt w:val="decimal"/>
      <w:start w:val="1"/>
    </w:lvl>
  </w:abstractNum>
  <w:abstractNum w:abstractNumId="1">
    <w:nsid w:val="7C83E458"/>
    <w:multiLevelType w:val="hybridMultilevel"/>
    <w:lvl w:ilvl="0">
      <w:lvlJc w:val="left"/>
      <w:lvlText w:val="(%1)"/>
      <w:numFmt w:val="lowerRoman"/>
      <w:start w:val="1"/>
    </w:lvl>
  </w:abstractNum>
  <w:abstractNum w:abstractNumId="2">
    <w:nsid w:val="257130A3"/>
    <w:multiLevelType w:val="hybridMultilevel"/>
    <w:lvl w:ilvl="0">
      <w:lvlJc w:val="left"/>
      <w:lvlText w:val="(%1)"/>
      <w:numFmt w:val="lowerRoman"/>
      <w:start w:val="3"/>
    </w:lvl>
  </w:abstractNum>
  <w:abstractNum w:abstractNumId="3">
    <w:nsid w:val="62BBD95A"/>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4">
    <w:nsid w:val="436C6125"/>
    <w:multiLevelType w:val="hybridMultilevel"/>
    <w:lvl w:ilvl="0">
      <w:lvlJc w:val="left"/>
      <w:lvlText w:val="(%1)"/>
      <w:numFmt w:val="lowerRoman"/>
      <w:start w:val="3"/>
    </w:lvl>
  </w:abstractNum>
  <w:abstractNum w:abstractNumId="5">
    <w:nsid w:val="628C895D"/>
    <w:multiLevelType w:val="hybridMultilevel"/>
    <w:lvl w:ilvl="0">
      <w:lvlJc w:val="left"/>
      <w:lvlText w:val="%1"/>
      <w:numFmt w:val="lowerLetter"/>
      <w:start w:val="1"/>
    </w:lvl>
    <w:lvl w:ilvl="1">
      <w:lvlJc w:val="left"/>
      <w:lvlText w:val="(%2)"/>
      <w:numFmt w:val="decimal"/>
      <w:start w:val="2"/>
    </w:lvl>
  </w:abstractNum>
  <w:abstractNum w:abstractNumId="6">
    <w:nsid w:val="333AB105"/>
    <w:multiLevelType w:val="hybridMultilevel"/>
    <w:lvl w:ilvl="0">
      <w:lvlJc w:val="left"/>
      <w:lvlText w:val="(%1)"/>
      <w:numFmt w:val="lowerLetter"/>
      <w:start w:val="2"/>
    </w:lvl>
    <w:lvl w:ilvl="1">
      <w:lvlJc w:val="left"/>
      <w:lvlText w:val="%2"/>
      <w:numFmt w:val="decimal"/>
      <w:start w:val="1"/>
    </w:lvl>
  </w:abstractNum>
  <w:abstractNum w:abstractNumId="7">
    <w:nsid w:val="721DA317"/>
    <w:multiLevelType w:val="hybridMultilevel"/>
    <w:lvl w:ilvl="0">
      <w:lvlJc w:val="left"/>
      <w:lvlText w:val="-"/>
      <w:numFmt w:val="bullet"/>
      <w:start w:val="1"/>
    </w:lvl>
  </w:abstractNum>
  <w:abstractNum w:abstractNumId="8">
    <w:nsid w:val="2443A858"/>
    <w:multiLevelType w:val="hybridMultilevel"/>
    <w:lvl w:ilvl="0">
      <w:lvlJc w:val="left"/>
      <w:lvlText w:val="-"/>
      <w:numFmt w:val="bullet"/>
      <w:start w:val="1"/>
    </w:lvl>
  </w:abstractNum>
  <w:abstractNum w:abstractNumId="9">
    <w:nsid w:val="2D1D5AE9"/>
    <w:multiLevelType w:val="hybridMultilevel"/>
    <w:lvl w:ilvl="0">
      <w:lvlJc w:val="left"/>
      <w:lvlText w:val="-"/>
      <w:numFmt w:val="bullet"/>
      <w:start w:val="1"/>
    </w:lvl>
  </w:abstractNum>
  <w:abstractNum w:abstractNumId="10">
    <w:nsid w:val="6763845E"/>
    <w:multiLevelType w:val="hybridMultilevel"/>
    <w:lvl w:ilvl="0">
      <w:lvlJc w:val="left"/>
      <w:lvlText w:val="-"/>
      <w:numFmt w:val="bullet"/>
      <w:start w:val="1"/>
    </w:lvl>
  </w:abstractNum>
  <w:abstractNum w:abstractNumId="11">
    <w:nsid w:val="75A2A8D4"/>
    <w:multiLevelType w:val="hybridMultilevel"/>
    <w:lvl w:ilvl="0">
      <w:lvlJc w:val="left"/>
      <w:lvlText w:val="-"/>
      <w:numFmt w:val="bullet"/>
      <w:start w:val="1"/>
    </w:lvl>
  </w:abstractNum>
  <w:abstractNum w:abstractNumId="12">
    <w:nsid w:val="8EDBDAB"/>
    <w:multiLevelType w:val="hybridMultilevel"/>
    <w:lvl w:ilvl="0">
      <w:lvlJc w:val="left"/>
      <w:lvlText w:val="%1."/>
      <w:numFmt w:val="decimal"/>
      <w:start w:val="1"/>
    </w:lvl>
  </w:abstractNum>
  <w:abstractNum w:abstractNumId="13">
    <w:nsid w:val="79838CB2"/>
    <w:multiLevelType w:val="hybridMultilevel"/>
    <w:lvl w:ilvl="0">
      <w:lvlJc w:val="left"/>
      <w:lvlText w:val="%1."/>
      <w:numFmt w:val="decimal"/>
      <w:start w:val="2"/>
    </w:lvl>
  </w:abstractNum>
  <w:abstractNum w:abstractNumId="14">
    <w:nsid w:val="4353D0CD"/>
    <w:multiLevelType w:val="hybridMultilevel"/>
    <w:lvl w:ilvl="0">
      <w:lvlJc w:val="left"/>
      <w:lvlText w:val="%1."/>
      <w:numFmt w:val="decimal"/>
      <w:start w:val="4"/>
    </w:lvl>
  </w:abstractNum>
  <w:abstractNum w:abstractNumId="15">
    <w:nsid w:val="B03E0C6"/>
    <w:multiLevelType w:val="hybridMultilevel"/>
    <w:lvl w:ilvl="0">
      <w:lvlJc w:val="left"/>
      <w:lvlText w:val="%1."/>
      <w:numFmt w:val="decimal"/>
      <w:start w:val="5"/>
    </w:lvl>
  </w:abstractNum>
  <w:abstractNum w:abstractNumId="16">
    <w:nsid w:val="189A769B"/>
    <w:multiLevelType w:val="hybridMultilevel"/>
    <w:lvl w:ilvl="0">
      <w:lvlJc w:val="left"/>
      <w:lvlText w:val="%1."/>
      <w:numFmt w:val="decimal"/>
      <w:start w:val="6"/>
    </w:lvl>
  </w:abstractNum>
  <w:abstractNum w:abstractNumId="17">
    <w:nsid w:val="54E49EB4"/>
    <w:multiLevelType w:val="hybridMultilevel"/>
    <w:lvl w:ilvl="0">
      <w:lvlJc w:val="left"/>
      <w:lvlText w:val="(%1)"/>
      <w:numFmt w:val="lowerLetter"/>
      <w:start w:val="1"/>
    </w:lvl>
  </w:abstractNum>
  <w:abstractNum w:abstractNumId="18">
    <w:nsid w:val="71F32454"/>
    <w:multiLevelType w:val="hybridMultilevel"/>
    <w:lvl w:ilvl="0">
      <w:lvlJc w:val="left"/>
      <w:lvlText w:val="(%1)"/>
      <w:numFmt w:val="lowerLetter"/>
      <w:start w:val="2"/>
    </w:lvl>
    <w:lvl w:ilvl="1">
      <w:lvlJc w:val="left"/>
      <w:lvlText w:val="(%2)"/>
      <w:numFmt w:val="decimal"/>
      <w:start w:val="1"/>
    </w:lvl>
  </w:abstractNum>
  <w:abstractNum w:abstractNumId="19">
    <w:nsid w:val="2CA88611"/>
    <w:multiLevelType w:val="hybridMultilevel"/>
    <w:lvl w:ilvl="0">
      <w:lvlJc w:val="left"/>
      <w:lvlText w:val="%1"/>
      <w:numFmt w:val="lowerLetter"/>
      <w:start w:val="1"/>
    </w:lvl>
    <w:lvl w:ilvl="1">
      <w:lvlJc w:val="left"/>
      <w:lvlText w:val="(%2)"/>
      <w:numFmt w:val="decimal"/>
      <w:start w:val="2"/>
    </w:lvl>
  </w:abstractNum>
  <w:abstractNum w:abstractNumId="20">
    <w:nsid w:val="836C40E"/>
    <w:multiLevelType w:val="hybridMultilevel"/>
    <w:lvl w:ilvl="0">
      <w:lvlJc w:val="left"/>
      <w:lvlText w:val="(%1)"/>
      <w:numFmt w:val="lowerLetter"/>
      <w:start w:val="3"/>
    </w:lvl>
    <w:lvl w:ilvl="1">
      <w:lvlJc w:val="left"/>
      <w:lvlText w:val="%2"/>
      <w:numFmt w:val="decimal"/>
      <w:start w:val="1"/>
    </w:lvl>
  </w:abstractNum>
  <w:abstractNum w:abstractNumId="21">
    <w:nsid w:val="2901D82"/>
    <w:multiLevelType w:val="hybridMultilevel"/>
    <w:lvl w:ilvl="0">
      <w:lvlJc w:val="left"/>
      <w:lvlText w:val="(%1)"/>
      <w:numFmt w:val="lowerLetter"/>
      <w:start w:val="5"/>
    </w:lvl>
  </w:abstractNum>
  <w:abstractNum w:abstractNumId="22">
    <w:nsid w:val="3A95F874"/>
    <w:multiLevelType w:val="hybridMultilevel"/>
    <w:lvl w:ilvl="0">
      <w:lvlJc w:val="left"/>
      <w:lvlText w:val="(%1)"/>
      <w:numFmt w:val="lowerLetter"/>
      <w:start w:val="1"/>
    </w:lvl>
  </w:abstractNum>
  <w:abstractNum w:abstractNumId="23">
    <w:nsid w:val="8138641"/>
    <w:multiLevelType w:val="hybridMultilevel"/>
    <w:lvl w:ilvl="0">
      <w:lvlJc w:val="left"/>
      <w:lvlText w:val="(%1)"/>
      <w:numFmt w:val="lowerLetter"/>
      <w:start w:val="2"/>
    </w:lvl>
    <w:lvl w:ilvl="1">
      <w:lvlJc w:val="left"/>
      <w:lvlText w:val="(%2)"/>
      <w:numFmt w:val="decimal"/>
      <w:start w:val="1"/>
    </w:lvl>
  </w:abstractNum>
  <w:abstractNum w:abstractNumId="24">
    <w:nsid w:val="1E7FF521"/>
    <w:multiLevelType w:val="hybridMultilevel"/>
    <w:lvl w:ilvl="0">
      <w:lvlJc w:val="left"/>
      <w:lvlText w:val="(%1)"/>
      <w:numFmt w:val="lowerLetter"/>
      <w:start w:val="1"/>
    </w:lvl>
  </w:abstractNum>
  <w:abstractNum w:abstractNumId="25">
    <w:nsid w:val="7C3DBD3D"/>
    <w:multiLevelType w:val="hybridMultilevel"/>
    <w:lvl w:ilvl="0">
      <w:lvlJc w:val="left"/>
      <w:lvlText w:val="(%1)"/>
      <w:numFmt w:val="lowerLetter"/>
      <w:start w:val="3"/>
    </w:lvl>
  </w:abstractNum>
  <w:abstractNum w:abstractNumId="26">
    <w:nsid w:val="737B8DDC"/>
    <w:multiLevelType w:val="hybridMultilevel"/>
    <w:lvl w:ilvl="0">
      <w:lvlJc w:val="left"/>
      <w:lvlText w:val="(%1)"/>
      <w:numFmt w:val="lowerLetter"/>
      <w:start w:val="1"/>
    </w:lvl>
  </w:abstractNum>
  <w:abstractNum w:abstractNumId="27">
    <w:nsid w:val="6CEAF087"/>
    <w:multiLevelType w:val="hybridMultilevel"/>
    <w:lvl w:ilvl="0">
      <w:lvlJc w:val="left"/>
      <w:lvlText w:val="(%1)"/>
      <w:numFmt w:val="lowerLetter"/>
      <w:start w:val="1"/>
    </w:lvl>
  </w:abstractNum>
  <w:abstractNum w:abstractNumId="28">
    <w:nsid w:val="22221A70"/>
    <w:multiLevelType w:val="hybridMultilevel"/>
    <w:lvl w:ilvl="0">
      <w:lvlJc w:val="left"/>
      <w:lvlText w:val="%1"/>
      <w:numFmt w:val="decimal"/>
      <w:start w:val="1"/>
    </w:lvl>
    <w:lvl w:ilvl="1">
      <w:lvlJc w:val="left"/>
      <w:lvlText w:val="(%2)"/>
      <w:numFmt w:val="lowerLetter"/>
      <w:start w:val="2"/>
    </w:lvl>
  </w:abstractNum>
  <w:abstractNum w:abstractNumId="29">
    <w:nsid w:val="4516DDE9"/>
    <w:multiLevelType w:val="hybridMultilevel"/>
    <w:lvl w:ilvl="0">
      <w:lvlJc w:val="left"/>
      <w:lvlText w:val="%1."/>
      <w:numFmt w:val="decimal"/>
      <w:start w:val="7"/>
    </w:lvl>
    <w:lvl w:ilvl="1">
      <w:lvlJc w:val="left"/>
      <w:lvlText w:val="(%2)"/>
      <w:numFmt w:val="lowerLetter"/>
      <w:start w:val="1"/>
    </w:lvl>
  </w:abstractNum>
  <w:abstractNum w:abstractNumId="30">
    <w:nsid w:val="3006C83E"/>
    <w:multiLevelType w:val="hybridMultilevel"/>
    <w:lvl w:ilvl="0">
      <w:lvlJc w:val="left"/>
      <w:lvlText w:val="(%1)"/>
      <w:numFmt w:val="lowerLetter"/>
      <w:start w:val="1"/>
    </w:lvl>
  </w:abstractNum>
  <w:abstractNum w:abstractNumId="31">
    <w:nsid w:val="614FD4A1"/>
    <w:multiLevelType w:val="hybridMultilevel"/>
    <w:lvl w:ilvl="0">
      <w:lvlJc w:val="left"/>
      <w:lvlText w:val="(%1)"/>
      <w:numFmt w:val="lowerLetter"/>
      <w:start w:val="2"/>
    </w:lvl>
  </w:abstractNum>
  <w:abstractNum w:abstractNumId="32">
    <w:nsid w:val="419AC241"/>
    <w:multiLevelType w:val="hybridMultilevel"/>
    <w:lvl w:ilvl="0">
      <w:lvlJc w:val="left"/>
      <w:lvlText w:val="(%1)"/>
      <w:numFmt w:val="lowerLetter"/>
      <w:start w:val="2"/>
    </w:lvl>
  </w:abstractNum>
  <w:abstractNum w:abstractNumId="33">
    <w:nsid w:val="5577F8E1"/>
    <w:multiLevelType w:val="hybridMultilevel"/>
    <w:lvl w:ilvl="0">
      <w:lvlJc w:val="left"/>
      <w:lvlText w:val="%1."/>
      <w:numFmt w:val="decimal"/>
      <w:start w:val="8"/>
    </w:lvl>
  </w:abstractNum>
  <w:abstractNum w:abstractNumId="34">
    <w:nsid w:val="440BADFC"/>
    <w:multiLevelType w:val="hybridMultilevel"/>
    <w:lvl w:ilvl="0">
      <w:lvlJc w:val="left"/>
      <w:lvlText w:val="(%1)"/>
      <w:numFmt w:val="lowerLetter"/>
      <w:start w:val="1"/>
    </w:lvl>
  </w:abstractNum>
  <w:abstractNum w:abstractNumId="35">
    <w:nsid w:val="5072367"/>
    <w:multiLevelType w:val="hybridMultilevel"/>
    <w:lvl w:ilvl="0">
      <w:lvlJc w:val="left"/>
      <w:lvlText w:val="%1."/>
      <w:numFmt w:val="decimal"/>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2019-12-13T21:53:23Z</dcterms:created>
  <dcterms:modified xsi:type="dcterms:W3CDTF">2019-12-13T21:53:23Z</dcterms:modified>
</cp:coreProperties>
</file>