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6,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6, 2022 (the “Closing Date”), Microbot Medical Inc. (the “Company”), through its wholly-owned subsidiary Microbot Medical Ltd., an Israeli corporation (“Microbot”) entered into an Asset Purchase Agreement (the “Agreement”) with Nitiloop Ltd., an Israeli limited liability company (“Nitiloop”). Pursuant to the Agreement, on the Closing Date, Microbot purchased all of Nitiloop’s rights, title and interest in Nitiloop’s tangible and intangible assets, including intellectual property, devices, components and product related materials (the “Assets”), but excluding certain excluded assets as described in the Agreement.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 not assuming any material liabilities of Nitiloop other than obligations Nitiloop has to the Israel Innovation Authority and relating to certain renewal/maintenance fees for a European patent application.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for the acquisition of the Assets, Microbot shall pay royalties to Nitiloop, which shall not, in the aggregate, exceed $8,000,000,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(as defined in the Agreement) generated as a result of sales, license or other exploitation of the Devices;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 (as defined in the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royalties set forth in the Agreement and the obligations to the Israel Innovation Authority, Microbot is not required to pay any additional fees or other consideration to Nitiloop.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Microbot has the sole discretion in relation to the use, exploitation, management and/or maintenance of the Assets, including whether and/or to what extent to commercialize and/or to maintain the Assets, the Devices or the intellectual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Nitiloop made customary representations and warranties to Microbot, including with respect to authority, title, government financing, licenses and obligations, restrictions on rights, validity and enforceability, conduct, enforcement, patent office proceedings, fees, no breach and legal action, and anti-bribery and anti-corruption.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Nitiloop agreed to indemnify Microbot from and against all losses resulting from the inaccuracy or breach of any representation or warranty, the non-fulfillment or breach of any covenant or agreement of Nitiloop contained in the Agreement or any third-party claims instituted against Microbot in connection with the period pre-Closing Date. Claims for indemnification are subject to a $50,000 basket and may be satisfied solely and exclusively by exercise of set-off rights described in the Agreement, other than for fraud or intentional misrepresentation. Indemnification is further limited by a cap equal to the lesser of (a) royalties actually due to Nitiloop and (b) $1,500,000 or if as a result of certain misrepresentations, $2,400,000.</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Nitiloop and its founding shareholders agreed to a twenty-four month covenant not to compete with Microbot or develop a product, technology or intellectual property in the fields of intraluminal revascularization CTO devices and intraluminal robotics.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brief description of the material terms of the Agreement and is qualified in its entirety by reference to the full text of the Agreement, a copy of which is filed as Exhibit 10.1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7, 2022, the Company issued a press release announcing the Nitiloop acquisition. A copy of the press release is attached as Exhibit 99.1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Asset Purchase Agreement with Nitiloop, Ltd., dated October 6, 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50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w:t>
            </w:r>
          </w:p>
        </w:tc>
        <w:tc>
          <w:tcPr>
            <w:tcW w:w="51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ASSET PURCHASE AGREEMENT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is entered into as of this 6 day of October, 2022 by Nitiloop Ltd., an Israeli limited liability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Microbot Medical Ltd., an Israeli limited liability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developed certain intellectual property and technology (including the Patents) in the field of: Intraluminal revascularization devices with anchoring mechanism and integrated microcatheter (“</w:t>
      </w: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color w:val="auto"/>
        </w:rPr>
        <w:t>”), including the Devices;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informed Purchaser of its voluntary cessation of operations;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wishes to acquire all rights, title and interest in the Assets (as such term is defined below);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wishes to sell to Purchaser, and Purchaser wishes to purchase from Seller, all right, title and interest in and to the Assets, in consideration for the payment by the Purchaser to the Seller of the Royalties (as defined below).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and representations set forth herein, and for other good and valuable consideration, the receipt and sufficiency of which are hereby acknowledged, the parties hereto hereby agree as follows:</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DEFINITIONS</w:t>
      </w:r>
    </w:p>
    <w:p>
      <w:pPr>
        <w:spacing w:after="0" w:line="225" w:lineRule="exact"/>
        <w:rPr>
          <w:rFonts w:ascii="Times New Roman" w:cs="Times New Roman" w:eastAsia="Times New Roman" w:hAnsi="Times New Roman"/>
          <w:sz w:val="18"/>
          <w:szCs w:val="18"/>
          <w:b w:val="1"/>
          <w:bCs w:val="1"/>
          <w:i w:val="1"/>
          <w:iCs w:val="1"/>
          <w:color w:val="auto"/>
        </w:rPr>
      </w:pPr>
    </w:p>
    <w:p>
      <w:pPr>
        <w:jc w:val="both"/>
        <w:ind w:left="640"/>
        <w:spacing w:after="0" w:line="25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Seller’s tangible and intangible assets (other than the Excluded Assets), including as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including but not limited to all Intellectual Property associated thereto (including with respect to the Technology and the Devices (as defined below)), and all devices, components and product related materials (including, any that were work in progress, if any). For clarity purposes, the Assets shall also include all design drawings, engineering files, production files and detailed production and assembly instructions related to the Devices, and all associated regulatory, clinical, Intellectual Property and QA files, in each case, which are in the possession of the Seller and/or under its control (after reasonable inquiry).</w:t>
      </w:r>
    </w:p>
    <w:p>
      <w:pPr>
        <w:spacing w:after="0" w:line="182" w:lineRule="exact"/>
        <w:rPr>
          <w:rFonts w:ascii="Times New Roman" w:cs="Times New Roman" w:eastAsia="Times New Roman" w:hAnsi="Times New Roman"/>
          <w:sz w:val="18"/>
          <w:szCs w:val="18"/>
          <w:b w:val="1"/>
          <w:bCs w:val="1"/>
          <w:i w:val="1"/>
          <w:iCs w:val="1"/>
          <w:color w:val="auto"/>
        </w:rPr>
      </w:pPr>
    </w:p>
    <w:p>
      <w:pPr>
        <w:ind w:left="640" w:right="2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Devices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 to the following products or potential products incorporating the Technology owned by Seller, and designated by Seller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“NovaCross”, “NovaCross Xtreme” and “NovaCross BTK”, and any enhancements, modifications and improvements thereof.</w:t>
      </w:r>
    </w:p>
    <w:p>
      <w:pPr>
        <w:spacing w:after="0" w:line="154" w:lineRule="exact"/>
        <w:rPr>
          <w:rFonts w:ascii="Times New Roman" w:cs="Times New Roman" w:eastAsia="Times New Roman" w:hAnsi="Times New Roman"/>
          <w:sz w:val="18"/>
          <w:szCs w:val="18"/>
          <w:b w:val="1"/>
          <w:bCs w:val="1"/>
          <w:i w:val="1"/>
          <w:iCs w:val="1"/>
          <w:color w:val="auto"/>
        </w:rPr>
      </w:pPr>
    </w:p>
    <w:p>
      <w:pPr>
        <w:ind w:left="640" w:right="2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full and complete list of exceptions related to Seller’s representations and warranties, as set forth in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“Excluded Assets” </w:t>
      </w:r>
      <w:r>
        <w:rPr>
          <w:rFonts w:ascii="Times New Roman" w:cs="Times New Roman" w:eastAsia="Times New Roman" w:hAnsi="Times New Roman"/>
          <w:sz w:val="18"/>
          <w:szCs w:val="18"/>
          <w:color w:val="auto"/>
        </w:rPr>
        <w:t>means (i) all claims for the refund or credit of taxes and other governmental charges of whatever nature arising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for all tax periods or portions thereof ending on or prior to the Closing; (ii) all other claims, causes of action, choses in action, rights of recovery and rights of setoff of any kind, including rights arising under warranties, representations, indemnities and guarantees made by suppliers of products, services, materials or equipment, or components to the extent related to the period prior to Closing; (iii) the corporate charter, taxpayer and other identification numbers, seals, minute books, share transfer books, blank share certificates, and other documents relating to the organization, maintenance, and existence of Seller as a corporation or other legal entity; (iv) any capital share or other equity of the Seller; (v) any equity interests, cash, cash equivalents, bank accounts or securities in any other entity owned by Seller or receivables generated prior to Closing; and (vi) any of the rights which accrue or will accrue to Seller under this Agreement (or under any ancillary agreement between Seller on the one hand and Purchaser on the other hand entered into at or after the Closing).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Executed Assignments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executed Assignment of Patent and Trade/Service Marks Rights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documents Seller may be required to execute and deliver under Section 5.2.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Founding Shareholders</w:t>
      </w:r>
      <w:r>
        <w:rPr>
          <w:rFonts w:ascii="Times New Roman" w:cs="Times New Roman" w:eastAsia="Times New Roman" w:hAnsi="Times New Roman"/>
          <w:sz w:val="18"/>
          <w:szCs w:val="18"/>
          <w:color w:val="auto"/>
        </w:rPr>
        <w:t>” means each of Prof. Ran Koronowski and Dvir Keren.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Integrated Product</w:t>
      </w:r>
      <w:r>
        <w:rPr>
          <w:rFonts w:ascii="Times New Roman" w:cs="Times New Roman" w:eastAsia="Times New Roman" w:hAnsi="Times New Roman"/>
          <w:sz w:val="18"/>
          <w:szCs w:val="18"/>
          <w:color w:val="auto"/>
        </w:rPr>
        <w:t>” means any technology, product or device of Purchaser or an affiliate thereof that incorporates or exploits any of the Technology, other than a Device sold or commercialized on a Standalone Basis.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all intellectual property rights, whether or not patentable, including without limitation, rights in algorithms, source code, binary code, computer programs, computer software, concepts, confidential information, developments, copyright, data, databases, designs (whether registered or unregistered), derivative works, discoveries, documents, goodwill, ideas, improvements, inventions, know-how, object code, original works of authorship, patents, patent applications, processes, proprietary technology, reputation, software, source code, specifications, statistical models, technology, trade secrets, trademarks, trade dress, trade names and technical information.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means liabilities, obligations or commitments of any nature whatsoever, asserted or unasserted, known or unknown, absolute or contingent, accrued or unaccrued, matured or unmatured or otherwise.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means all revenues actually received by Purchaser and/or its affiliates that derive from the use, exploitation or commercialization of the Technology (including without limitation, from the sales or license of Devices on a Standalone Basis or as part of Integrated Products to non-affiliate third parties) after the deduction of the following deductions, to the extent applicable to such transactions: (i) sales and value added taxes (excluding any tax on Purchaser’s net income), to the extent such amounts are included in the original gross receipts or are otherwise paid by Purchaser; (ii) any royalties or other similar fees (if any), that are required to be paid by Purchaser to any third party for the commercialization or sale of the Devices on a Standalone Basis (excluding for avoidance of doubt any amounts payable to the IIA, which shall not be deducted); (ii) freight, shipping and insurance charges in respect of such sales to the extent invoiced separately; and (c) credits or allowances actually granted on account of recalls, rejections or returns of products previously sold as demonstrated by written evidence; provided that with respect to transactions which are not at arm’s length and/or not for cash for such transaction, the term “Net Revenues” shall mean the total amount that would have been paid in arms-length transaction according to the current market conditions for such sale or other transaction or according to market conditions for products similar to the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267335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657" w:right="339" w:bottom="1440" w:gutter="0" w:footer="0" w:header="0"/>
        </w:sectPr>
      </w:pPr>
    </w:p>
    <w:bookmarkStart w:id="6" w:name="page7"/>
    <w:bookmarkEnd w:id="6"/>
    <w:p>
      <w:pPr>
        <w:jc w:val="both"/>
        <w:ind w:left="640"/>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(a) patents and patent applications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 patents or patent applications submitted by or on behalf of Seller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(i) to which any of the patents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expressly claims priority, either directly or indirectly or (ii) for which any of the patents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expressly forms a basis for priority, either directly or indirectly; and (c) reissues, reexaminations, extensions, continuations, continuations in part, continuing prosecution applications, requests for continuing examinations, divisions, and registrations of any item in the preceding subparagraph (a).</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Royalties</w:t>
      </w:r>
      <w:r>
        <w:rPr>
          <w:rFonts w:ascii="Times New Roman" w:cs="Times New Roman" w:eastAsia="Times New Roman" w:hAnsi="Times New Roman"/>
          <w:sz w:val="18"/>
          <w:szCs w:val="18"/>
          <w:color w:val="auto"/>
        </w:rPr>
        <w:t>” shall have the meaning set forth in Section 5.1.</w:t>
      </w:r>
    </w:p>
    <w:p>
      <w:pPr>
        <w:spacing w:after="0" w:line="225"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“Standalone Basis” </w:t>
      </w:r>
      <w:r>
        <w:rPr>
          <w:rFonts w:ascii="Times New Roman" w:cs="Times New Roman" w:eastAsia="Times New Roman" w:hAnsi="Times New Roman"/>
          <w:sz w:val="18"/>
          <w:szCs w:val="18"/>
          <w:color w:val="auto"/>
        </w:rPr>
        <w:t>means commercialization of a Device in a manner that use thereof is not made as part of another product or device sold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commercialized by Buyer or an affiliate.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CLOSING CONDITIONS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The closing of the sale of the Assets will occur concurrently with the signing of this Agreement, or such other date as shall be agreed between the Parties, subject to the satisfaction or waiver (as applicable) of all conditions set forth in paragraphs 3.2 and 3.3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actual time and date when the Closing takes place are herein called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Conditions to Purchaser’s obligation to Close</w:t>
      </w:r>
      <w:r>
        <w:rPr>
          <w:rFonts w:ascii="Times New Roman" w:cs="Times New Roman" w:eastAsia="Times New Roman" w:hAnsi="Times New Roman"/>
          <w:sz w:val="18"/>
          <w:szCs w:val="18"/>
          <w:color w:val="auto"/>
        </w:rPr>
        <w:t>. The following are conditions precedent to Purchaser’s obligation to consummate the Closing, any of which may be waived, in writing, exclusively by Purchaser:</w:t>
      </w:r>
    </w:p>
    <w:p>
      <w:pPr>
        <w:spacing w:after="0" w:line="162" w:lineRule="exact"/>
        <w:rPr>
          <w:sz w:val="20"/>
          <w:szCs w:val="20"/>
          <w:color w:val="auto"/>
        </w:rPr>
      </w:pPr>
    </w:p>
    <w:p>
      <w:pPr>
        <w:jc w:val="both"/>
        <w:ind w:left="580" w:hanging="5"/>
        <w:spacing w:after="0" w:line="266" w:lineRule="auto"/>
        <w:tabs>
          <w:tab w:leader="none" w:pos="8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IIA Approval</w:t>
      </w:r>
      <w:r>
        <w:rPr>
          <w:rFonts w:ascii="Times New Roman" w:cs="Times New Roman" w:eastAsia="Times New Roman" w:hAnsi="Times New Roman"/>
          <w:sz w:val="18"/>
          <w:szCs w:val="18"/>
          <w:color w:val="auto"/>
        </w:rPr>
        <w:t>. The sale and transfer of the Assets, including the Technology by Seller to Purchaser and the assumption of all Seller’s obligations to the Israeli Innovation Authority (“</w:t>
      </w:r>
      <w:r>
        <w:rPr>
          <w:rFonts w:ascii="Times New Roman" w:cs="Times New Roman" w:eastAsia="Times New Roman" w:hAnsi="Times New Roman"/>
          <w:sz w:val="18"/>
          <w:szCs w:val="18"/>
          <w:b w:val="1"/>
          <w:bCs w:val="1"/>
          <w:i w:val="1"/>
          <w:iCs w:val="1"/>
          <w:color w:val="auto"/>
        </w:rPr>
        <w:t>IIA</w:t>
      </w:r>
      <w:r>
        <w:rPr>
          <w:rFonts w:ascii="Times New Roman" w:cs="Times New Roman" w:eastAsia="Times New Roman" w:hAnsi="Times New Roman"/>
          <w:sz w:val="18"/>
          <w:szCs w:val="18"/>
          <w:color w:val="auto"/>
        </w:rPr>
        <w:t>”) by Purchaser, have been approved by IIA in accordance with the terms set forth in the IIA approval dated June 19, 2022 and such approval remains in full force and effect (“</w:t>
      </w:r>
      <w:r>
        <w:rPr>
          <w:rFonts w:ascii="Times New Roman" w:cs="Times New Roman" w:eastAsia="Times New Roman" w:hAnsi="Times New Roman"/>
          <w:sz w:val="18"/>
          <w:szCs w:val="18"/>
          <w:b w:val="1"/>
          <w:bCs w:val="1"/>
          <w:i w:val="1"/>
          <w:iCs w:val="1"/>
          <w:color w:val="auto"/>
        </w:rPr>
        <w:t>IIA Approval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580" w:hanging="5"/>
        <w:spacing w:after="0" w:line="282" w:lineRule="auto"/>
        <w:tabs>
          <w:tab w:leader="none" w:pos="8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w:t>
      </w:r>
      <w:r>
        <w:rPr>
          <w:rFonts w:ascii="Times New Roman" w:cs="Times New Roman" w:eastAsia="Times New Roman" w:hAnsi="Times New Roman"/>
          <w:sz w:val="18"/>
          <w:szCs w:val="18"/>
          <w:color w:val="auto"/>
        </w:rPr>
        <w:t>. Seller shall have performed and complied in all material respects with all of the obligations under this Agreement that are to be performed or complied with by it on or prior to the Closing.</w:t>
      </w:r>
    </w:p>
    <w:p>
      <w:pPr>
        <w:spacing w:after="0" w:line="161" w:lineRule="exact"/>
        <w:rPr>
          <w:rFonts w:ascii="Times New Roman" w:cs="Times New Roman" w:eastAsia="Times New Roman" w:hAnsi="Times New Roman"/>
          <w:sz w:val="18"/>
          <w:szCs w:val="18"/>
          <w:color w:val="auto"/>
        </w:rPr>
      </w:pPr>
    </w:p>
    <w:p>
      <w:pPr>
        <w:ind w:left="580" w:hanging="5"/>
        <w:spacing w:after="0" w:line="282" w:lineRule="auto"/>
        <w:tabs>
          <w:tab w:leader="none" w:pos="8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As of the Closing, the representations and warranties of Seller contained in Section 6 shall be true and correct as at the date hereof and as at the Closing.</w:t>
      </w:r>
    </w:p>
    <w:p>
      <w:pPr>
        <w:spacing w:after="0" w:line="161" w:lineRule="exact"/>
        <w:rPr>
          <w:rFonts w:ascii="Times New Roman" w:cs="Times New Roman" w:eastAsia="Times New Roman" w:hAnsi="Times New Roman"/>
          <w:sz w:val="18"/>
          <w:szCs w:val="18"/>
          <w:color w:val="auto"/>
        </w:rPr>
      </w:pPr>
    </w:p>
    <w:p>
      <w:pPr>
        <w:ind w:left="580" w:hanging="5"/>
        <w:spacing w:after="0" w:line="282" w:lineRule="auto"/>
        <w:tabs>
          <w:tab w:leader="none" w:pos="8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Not Abandoned</w:t>
      </w:r>
      <w:r>
        <w:rPr>
          <w:rFonts w:ascii="Times New Roman" w:cs="Times New Roman" w:eastAsia="Times New Roman" w:hAnsi="Times New Roman"/>
          <w:sz w:val="18"/>
          <w:szCs w:val="18"/>
          <w:color w:val="auto"/>
        </w:rPr>
        <w:t>. As of the Closing, and subject to the second paragraph of Section 5.3 below, none of the Patents shall have expired, lapsed, been abandoned or deemed withdrawn and/or subject to any such proceeding that may cause its expiration or invalidity.</w:t>
      </w:r>
    </w:p>
    <w:p>
      <w:pPr>
        <w:spacing w:after="0" w:line="161" w:lineRule="exact"/>
        <w:rPr>
          <w:rFonts w:ascii="Times New Roman" w:cs="Times New Roman" w:eastAsia="Times New Roman" w:hAnsi="Times New Roman"/>
          <w:sz w:val="18"/>
          <w:szCs w:val="18"/>
          <w:color w:val="auto"/>
        </w:rPr>
      </w:pPr>
    </w:p>
    <w:p>
      <w:pPr>
        <w:jc w:val="both"/>
        <w:ind w:left="580" w:hanging="5"/>
        <w:spacing w:after="0" w:line="261" w:lineRule="auto"/>
        <w:tabs>
          <w:tab w:leader="none" w:pos="8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As of the Closing, the approval provided by the FDA for the marketing, distribution and use of the “NovaCross” and “NovaCross BTK Devices in the United Stated (it being acknowledged by Purchaser that Seller does not possess an FDA approval for the “NovaCross BTK” Device and for the NovaCross Xtreme there is an FDA approval, without CTO application) remains in effect, and, to the extent an assignment or other form of transfer of registration is required, have been duly assigned or transferred to the Purchaser.</w:t>
      </w:r>
    </w:p>
    <w:p>
      <w:pPr>
        <w:spacing w:after="0" w:line="179"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Executed Assignments</w:t>
      </w:r>
      <w:r>
        <w:rPr>
          <w:rFonts w:ascii="Times New Roman" w:cs="Times New Roman" w:eastAsia="Times New Roman" w:hAnsi="Times New Roman"/>
          <w:sz w:val="18"/>
          <w:szCs w:val="18"/>
          <w:color w:val="auto"/>
        </w:rPr>
        <w:t>. Seller shall have caused the Executed Assignments to be duly delivered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left="580" w:hanging="5"/>
        <w:spacing w:after="0" w:line="282" w:lineRule="auto"/>
        <w:tabs>
          <w:tab w:leader="none" w:pos="8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The consummation of the transactions contemplated by this Agreement was duly approved by the Board of Directors and shareholders of Seller, in accordance with Purchaser’s charter documents; a copy of said approvals will be provided to Purchaser.</w:t>
      </w:r>
    </w:p>
    <w:p>
      <w:pPr>
        <w:spacing w:after="0" w:line="161" w:lineRule="exact"/>
        <w:rPr>
          <w:rFonts w:ascii="Times New Roman" w:cs="Times New Roman" w:eastAsia="Times New Roman" w:hAnsi="Times New Roman"/>
          <w:sz w:val="18"/>
          <w:szCs w:val="18"/>
          <w:color w:val="auto"/>
        </w:rPr>
      </w:pPr>
    </w:p>
    <w:p>
      <w:pPr>
        <w:ind w:left="580" w:hanging="5"/>
        <w:spacing w:after="0" w:line="282" w:lineRule="auto"/>
        <w:tabs>
          <w:tab w:leader="none" w:pos="8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customary instruments of transfer, assumption, filings or documents, in form and substance reasonably satisfactory to Purchaser, as may be required to give effect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Conditions to Seller’s obligation to Close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0" w:right="20" w:hanging="21"/>
        <w:spacing w:after="0" w:line="282" w:lineRule="auto"/>
        <w:tabs>
          <w:tab w:leader="none" w:pos="8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w:t>
      </w:r>
      <w:r>
        <w:rPr>
          <w:rFonts w:ascii="Times New Roman" w:cs="Times New Roman" w:eastAsia="Times New Roman" w:hAnsi="Times New Roman"/>
          <w:sz w:val="18"/>
          <w:szCs w:val="18"/>
          <w:color w:val="auto"/>
        </w:rPr>
        <w:t>. Purchaser shall have performed and complied in all material respects with all of the obligations under this Agreement that are to be performed or complied with by it on or prior to the Closing.</w:t>
      </w:r>
    </w:p>
    <w:p>
      <w:pPr>
        <w:spacing w:after="0" w:line="161" w:lineRule="exact"/>
        <w:rPr>
          <w:rFonts w:ascii="Times New Roman" w:cs="Times New Roman" w:eastAsia="Times New Roman" w:hAnsi="Times New Roman"/>
          <w:sz w:val="18"/>
          <w:szCs w:val="18"/>
          <w:color w:val="auto"/>
        </w:rPr>
      </w:pPr>
    </w:p>
    <w:p>
      <w:pPr>
        <w:ind w:left="600" w:hanging="21"/>
        <w:spacing w:after="0" w:line="282" w:lineRule="auto"/>
        <w:tabs>
          <w:tab w:leader="none" w:pos="8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As of the Closing, the representations and warranties of Purchaser contained in Section 7 are true and correct.</w:t>
      </w:r>
    </w:p>
    <w:p>
      <w:pPr>
        <w:spacing w:after="0" w:line="161" w:lineRule="exact"/>
        <w:rPr>
          <w:rFonts w:ascii="Times New Roman" w:cs="Times New Roman" w:eastAsia="Times New Roman" w:hAnsi="Times New Roman"/>
          <w:sz w:val="18"/>
          <w:szCs w:val="18"/>
          <w:color w:val="auto"/>
        </w:rPr>
      </w:pPr>
    </w:p>
    <w:p>
      <w:pPr>
        <w:ind w:left="600" w:hanging="21"/>
        <w:spacing w:after="0" w:line="282" w:lineRule="auto"/>
        <w:tabs>
          <w:tab w:leader="none" w:pos="8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The consummation of the transactions contemplated by this Agreement was duly approved by the Board of Directors of Purchaser, in accordance with Purchaser’s charter documents; a copy of said approval will be provided to Seller.</w:t>
      </w:r>
    </w:p>
    <w:p>
      <w:pPr>
        <w:spacing w:after="0" w:line="161" w:lineRule="exact"/>
        <w:rPr>
          <w:rFonts w:ascii="Times New Roman" w:cs="Times New Roman" w:eastAsia="Times New Roman" w:hAnsi="Times New Roman"/>
          <w:sz w:val="18"/>
          <w:szCs w:val="18"/>
          <w:color w:val="auto"/>
        </w:rPr>
      </w:pPr>
    </w:p>
    <w:p>
      <w:pPr>
        <w:ind w:left="840" w:hanging="261"/>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IIA Approval</w:t>
      </w:r>
      <w:r>
        <w:rPr>
          <w:rFonts w:ascii="Times New Roman" w:cs="Times New Roman" w:eastAsia="Times New Roman" w:hAnsi="Times New Roman"/>
          <w:sz w:val="18"/>
          <w:szCs w:val="18"/>
          <w:color w:val="auto"/>
        </w:rPr>
        <w:t>. The IIA Approval shall have been duly obtained and shall be in full force and effect on the Closing Date.</w:t>
      </w:r>
    </w:p>
    <w:p>
      <w:pPr>
        <w:spacing w:after="0" w:line="225" w:lineRule="exact"/>
        <w:rPr>
          <w:rFonts w:ascii="Times New Roman" w:cs="Times New Roman" w:eastAsia="Times New Roman" w:hAnsi="Times New Roman"/>
          <w:sz w:val="18"/>
          <w:szCs w:val="18"/>
          <w:color w:val="auto"/>
        </w:rPr>
      </w:pPr>
    </w:p>
    <w:p>
      <w:pPr>
        <w:jc w:val="both"/>
        <w:ind w:left="600" w:hanging="21"/>
        <w:spacing w:after="0" w:line="261" w:lineRule="auto"/>
        <w:tabs>
          <w:tab w:leader="none" w:pos="8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temporary restraining order, preliminary or permanent injunction or other order issued by any court of competent jurisdiction or other legal or regulatory restraint or prohibition preventing the consummation of the transactions contemplated hereby shall be in force provided that none of such orders, injunctions, restraints or prohibitions were sought by or requested by or on behalf of the Seller or any affiliate, officer, director, manager, member or shareholder of Seller.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and Survival</w:t>
      </w:r>
      <w:r>
        <w:rPr>
          <w:rFonts w:ascii="Times New Roman" w:cs="Times New Roman" w:eastAsia="Times New Roman" w:hAnsi="Times New Roman"/>
          <w:sz w:val="18"/>
          <w:szCs w:val="18"/>
          <w:color w:val="auto"/>
        </w:rPr>
        <w:t>. The Parties shall work together and use their best efforts to consummate the Closing as soon as possible. If despite that Parties’ good faith efforts, the Closing does not occur by October 31, 2022 (unless extended by mutual consent), each of Purchaser and Seller may terminate this Agreement by written notice to the other party; provided, however, that neither party may terminate this Agreement pursuant to this Section 3.4 if the actions or omissions of such party are the cause for the Closing not having occurred as set forth above. Upon termination, Purchaser will return all documents delivered to Purchaser under this Section 3 to Seller and Seller shall deliver to Purchaser all documents delivered to Seller under this Section 3, and neither party shall have any claim and/or demand against the other party, its shareholders, directors and/or other officers. The provisions of Section 8 will survive any termination.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Conduct of Seller Prior to the Closing</w:t>
      </w:r>
      <w:r>
        <w:rPr>
          <w:rFonts w:ascii="Times New Roman" w:cs="Times New Roman" w:eastAsia="Times New Roman" w:hAnsi="Times New Roman"/>
          <w:sz w:val="18"/>
          <w:szCs w:val="18"/>
          <w:color w:val="auto"/>
        </w:rPr>
        <w:t>. Except as contemplated by this Agreement or with the prior written consent of Purchaser, during the period from the date of this Agreement to the Closing, Seller will not (i) sell, transfer or otherwise dispose of any of its property or assets or (ii) mortgage or otherwise encumber any of its property or assets, in each case that relate in any way, directly or indirectly, with any of the Assets. Seller represents and warrants, and Purchaser acknowledges and confirms, that the Company’s business and activities have been terminated, the Company does not and shall not conduct any business and/or operations and does not have any outstanding employees or consultants nor any commercial activity, and was prepared to undergo voluntary liquidation. Seller will use all reasonable efforts to preserve intact Seller’s assets (including the Assets) and currently existing business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4. TRANSFER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Assignment of Assets</w:t>
      </w:r>
      <w:r>
        <w:rPr>
          <w:rFonts w:ascii="Times New Roman" w:cs="Times New Roman" w:eastAsia="Times New Roman" w:hAnsi="Times New Roman"/>
          <w:sz w:val="18"/>
          <w:szCs w:val="18"/>
          <w:color w:val="auto"/>
        </w:rPr>
        <w:t>. Upon the Closing, Seller hereby sells, assigns, transfers, and conveys to Purchaser all right, title and interest in and to the Assets, free and clear of any third parties’ rights, liabilities and demands (other than the obligations to the IIA, which shall be assumed as of the Closing by Purchaser). At the Closing, the Parties will execute and deliver to other Party the Executed Assignments.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Future Patent Related Submissions</w:t>
      </w:r>
      <w:r>
        <w:rPr>
          <w:rFonts w:ascii="Times New Roman" w:cs="Times New Roman" w:eastAsia="Times New Roman" w:hAnsi="Times New Roman"/>
          <w:sz w:val="18"/>
          <w:szCs w:val="18"/>
          <w:color w:val="auto"/>
        </w:rPr>
        <w:t>. Upon Purchaser’s request, Seller shall reasonably cooperate, and shall use reasonable efforts to cause the inventors of the Assets to cooperate, at the Purchaser’s expense, and execute any future submissions of patents or other registered intellectual property in connection with the Assets, if and to the extent required for their perfection, maintenance and further developments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Transfer of Equipment and Other Tangible Assets</w:t>
      </w:r>
      <w:r>
        <w:rPr>
          <w:rFonts w:ascii="Times New Roman" w:cs="Times New Roman" w:eastAsia="Times New Roman" w:hAnsi="Times New Roman"/>
          <w:sz w:val="18"/>
          <w:szCs w:val="18"/>
          <w:color w:val="auto"/>
        </w:rPr>
        <w:t>. Upon the Closing, Seller shall transfer all rights, title and interests and deliver to Purchaser of any and all equipment and tangible Assets (if any) in the possession of the Seller and/or under its control.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Liabilities</w:t>
      </w:r>
      <w:r>
        <w:rPr>
          <w:rFonts w:ascii="Times New Roman" w:cs="Times New Roman" w:eastAsia="Times New Roman" w:hAnsi="Times New Roman"/>
          <w:sz w:val="18"/>
          <w:szCs w:val="18"/>
          <w:color w:val="auto"/>
        </w:rPr>
        <w:t>. For the avoidance of doubt, except as may be specifically set forth in this Agreement, Purchaser is not assuming or acquiring, and shall not be responsible to pay, perform or discharge and Seller is not transferring or assigning, any of Seller’s Liabilities (other than the obligations to the IIA, which shall be assumed as of the Closing by Purchaser). For the avoidance of doubt, it is clarified and agreed that Purchaser shall be exclusively responsible to pay, perform or discharge any and all Liabilities of any nature arising out of the Assets relating to the period from and after the Closing (except for matters which are the subject of indemnification pursuant to Section 6.B) and Seller shall not have any responsibility or liability in connection therewith.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ROYALTIES PAYABLE TO SELLER AND ADDITIONAL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In consideration of the purchase of the Assets, including the Technology, the Devices and associated Intellectual Property rights, Purchaser shall pay the Seller, royalties as set forth in this Section below, provided that the aggregated royalties payable by Purchaser shall not exceed US$8,000,000 (eight million US Dollars)(“</w:t>
      </w:r>
      <w:r>
        <w:rPr>
          <w:rFonts w:ascii="Times New Roman" w:cs="Times New Roman" w:eastAsia="Times New Roman" w:hAnsi="Times New Roman"/>
          <w:sz w:val="18"/>
          <w:szCs w:val="18"/>
          <w:b w:val="1"/>
          <w:bCs w:val="1"/>
          <w:i w:val="1"/>
          <w:iCs w:val="1"/>
          <w:color w:val="auto"/>
        </w:rPr>
        <w:t>Royalties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i w:val="1"/>
          <w:iCs w:val="1"/>
          <w:color w:val="auto"/>
        </w:rPr>
        <w:t>Purchase Price Cap</w:t>
      </w:r>
      <w:r>
        <w:rPr>
          <w:rFonts w:ascii="Times New Roman" w:cs="Times New Roman" w:eastAsia="Times New Roman" w:hAnsi="Times New Roman"/>
          <w:sz w:val="18"/>
          <w:szCs w:val="18"/>
          <w:color w:val="auto"/>
        </w:rPr>
        <w:t>”, respectively):</w:t>
      </w:r>
    </w:p>
    <w:p>
      <w:pPr>
        <w:spacing w:after="0" w:line="176"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(three percent) of Net Revenue generated as a result of sales, license, or other exploitation or commercialization of the Devices (i.e., on a Standalone Basis and not as part of an Integrated Product);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sale, license or other exportation or commercialization of any of Seller’s Technology as part of an Integrated Product, royalties at a rate of 1.5% of the Net Revenue generated from such Integrated Product.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71" w:lineRule="auto"/>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shall pay the Royalties on a semi-annual basis within sixty (60) days following each calendar semiannual period for Net Sales in the previous semiannual period. Each Royalties payment shall be accompanied by a detailed statement, signed by an officer of the Purchaser, of the amount of Net Revenues during the applicable period and such other information as is necessary to determine and verify the amount of payments to be made to Seller hereunder. If no Royalties payments are due and payable to Seller in a certain calendar year, the Purchaser shall notify Seller in writing to that effect (such notification to be signed by an officer of the Purchaser), within 60 days following the end of such calendar year. The foregoing report will, subject to confidentiality restrictions, include, inter alia, the sales of the Devices and/or Integrated Devices made by Purchaser (or any of its affiliates) with a breakdown of the Net Revenues according to country, identity of customers, currency of sales, number and type of Devices sold and applicable deductions. All Royalty payments payable to Seller shall be paid in the currency paid to Purchaser. VAT shall be added to the Royalties payable hereunder by Purchaser, as and if required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ind w:left="324" w:hanging="324"/>
        <w:spacing w:after="0" w:line="25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keep full and accurate books and records of all items necessary to correctly calculate the payments due to Seller hereunder for the latest four (4) calendar years. Within 6 months after the end of each fiscal year, Purchaser shall provide Seller with a report, certified by its independent auditor stating all amounts due to Seller hereunder in the reported year. Purchaser shall have audit rights with respect to the calculation of any Royalties payments that are made under this Agreement. Accordingly, upon the request of Seller, and not more than once in any twelve (12) month period, Purchaser shall permit (and shall ensure that its affiliates permit) an independent public accounting firm reasonably acceptable to Purchaser engaged by Seller to examine such books and records (insofar as they relate to such payments) during normal business hours, on reasonable prior written notice, to audit Purchaser’s (and its Affiliates’) Net Revenues as utilized to calculate the Royalty payments due to Seller hereunder; provided, however, that such independent accountants shall not disclose Purchaser’s (or its affiliates’) confidential information to Seller, except to the extent such disclosure is necessary to verify the amount of payments due hereunder. If such accounting firm concludes that Royalty payments have been underpaid, then, unless Purchaser’s independent accounting firm disagrees with such conclusion, Purchaser shall pay, within thirty (30) days of the date that Seller advises Purchaser in writing of such unpaid Royalty payments, all such unpaid Royalty payments, plus interest at a rate of the U.S. Prime Rate, as reported in The Wall Street Journal, Eastern Edition, for the period between such unpaid Royalty payments should have been paid until such amounts are actually paid. All expenses relating to such audit shall be borne by Seller, unless such audit discloses an underpayment is equal to or exceeds five percent (5%) with respect to a Royalties payment calculation, in which case such expenses shall be paid by Purchaser.</w:t>
      </w:r>
    </w:p>
    <w:p>
      <w:pPr>
        <w:spacing w:after="0" w:line="19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Royalties specified in this Section 5.1 above, no additional fees or other consideration shall be payable to Seller and no consideration is payable to any shareholders of Seller.</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hereby agree that Purchaser shall have the sole discretion in relation to the use, exploitation, management and/or maintenance of the Assets, including whether and/or to what extent to commercialize and/or to maintain the Assets, the Devices or the Intellectual Property; provided, however, that Purchaser confirms that to its good faith estimation as at the date of this Agreement and as of the Closing, Purchaser has good faith intention to commercialize the Assets, subject to, among other things, the performance of further examination of the Technology, the Devices, the Intellectual Property and the market opportunities, as well as availability of funds to do so. In furtherance of the foregoing, (i) Purchaser will not have any claim and/or demand against Seller and/or any of its shareholders and/or directors and/or officers in relation to Purchaser’s management and/or maintenance of the Assets, including any action and/or omission of Purchaser in relation thereto,</w:t>
      </w:r>
    </w:p>
    <w:p>
      <w:pPr>
        <w:spacing w:after="0" w:line="2" w:lineRule="exact"/>
        <w:rPr>
          <w:rFonts w:ascii="Times New Roman" w:cs="Times New Roman" w:eastAsia="Times New Roman" w:hAnsi="Times New Roman"/>
          <w:sz w:val="18"/>
          <w:szCs w:val="18"/>
          <w:color w:val="auto"/>
        </w:rPr>
      </w:pPr>
    </w:p>
    <w:p>
      <w:pPr>
        <w:jc w:val="both"/>
        <w:ind w:left="324"/>
        <w:spacing w:after="0" w:line="253" w:lineRule="auto"/>
        <w:tabs>
          <w:tab w:leader="none" w:pos="61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not have any liability or obligation for the payment of Royalties or any other monetary obligation to Seller and/or its shareholders if it does not or cannot so commercialize the Technology, the Devices and/or the Intellectual Property, whether as a Standalone Basis or as part of an Integrated Product; and (iii) without derogating from the aforesaid, it is agreed that Purchaser shall have the sole discretion in respect of the management of the Patents or other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Further Cooperation</w:t>
      </w:r>
      <w:r>
        <w:rPr>
          <w:rFonts w:ascii="Times New Roman" w:cs="Times New Roman" w:eastAsia="Times New Roman" w:hAnsi="Times New Roman"/>
          <w:sz w:val="18"/>
          <w:szCs w:val="18"/>
          <w:color w:val="auto"/>
        </w:rPr>
        <w:t>. Following the Closing, Seller and Purchaser will execute and deliver such other instruments and do and perform such other acts and things that are reasonably necessary for effecting the consummation of the transactions contemplated hereby, including, without limitation, execution, acknowledgment, and recordation of such other papers, and using commercially reasonable efforts to obtain the same from the respective inventors, as necessary for perfecting and conveying unto Purchaser the benefit of the transactions contemplated hereby.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Except as provided in the second paragraph below, Seller will pay any maintenance fees, annuities, and the like due or payable on the Patents (if any) until the Closing and Purchaser shall pay all such fees due only following Closing, to the extent Purchaser would like to continue their maintenance (at Purchaser’s sole discretion). Notwithstanding anything to the contrary herein, it is acknowledged by the parties that European Patent Application No. 12735054.4 of the Seller has expired due to the non-payment of the renewal/maintenance fees, but may be restored if such renewal/maintenance fees in the amount of approximately NIS12,000 are paid not later than November 23, 2022. Purchaser shall bear and pay such renewal/maintenance fees and Seller shall have no liability in connection therewith.</w:t>
      </w:r>
    </w:p>
    <w:p>
      <w:pPr>
        <w:spacing w:after="0" w:line="18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Foreign Assignments</w:t>
      </w:r>
      <w:r>
        <w:rPr>
          <w:rFonts w:ascii="Times New Roman" w:cs="Times New Roman" w:eastAsia="Times New Roman" w:hAnsi="Times New Roman"/>
          <w:sz w:val="17"/>
          <w:szCs w:val="17"/>
          <w:color w:val="auto"/>
        </w:rPr>
        <w:t>. To the extent the Patents include non-United States patents, Seller will deliver to Purchaser’s representatives executed documents in a form as may be required in the non-U.S jurisdiction in order to perfect the assignment to Purchaser of the non-U.S. patents and patent applications.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During a period of twenty four (24) months as of the Closing, Seller and/or its Founding Shareholders shall not (directly or indirectly) compete with Purchaser or develop another product, technology or Intellectual Property, in each case, in the fields of intraluminal revascularization CTO devices and intraluminal robotics.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Case of Disposition</w:t>
      </w:r>
      <w:r>
        <w:rPr>
          <w:rFonts w:ascii="Times New Roman" w:cs="Times New Roman" w:eastAsia="Times New Roman" w:hAnsi="Times New Roman"/>
          <w:sz w:val="18"/>
          <w:szCs w:val="18"/>
          <w:color w:val="auto"/>
        </w:rPr>
        <w:t>. Purchaser shall not, and undertakes to ensure that any of its affiliates shall not directly sell, assign or transfer, any of the Assets, as a standalone transaction (i.e, not as part of the sale of all material part of Purchaser’s assets or stock), unless: (i) a prior written notice of such sale, assignment, or transfer is rendered by Purchaser to Seller, including details regarding the identity of such prospective purchaser, (ii) such purchaser undertakes in writing towards the Seller to assume and be bound by all of Seller’s obligations under this Agreement and (iii) Seller shall be eligible to receive 50% of any and all consideration (if any) actually paid or provided by the prospective purchaser to the Purchaser for the Assets, but in any case, not to exceed (together with any previous paid Royalties) the Purchase Cap Price. It is clarified that that nothing in the foregoing shall be deemed to prevent or limit the Purchaser, in any way, from (and shall not require the consent of Seller to): (i) selling, assigning or transferring the Assets as part of a transaction for a sale of the Purchaser (whether by way of a merger, consolidation, sale of all or substantially all of Purchaser’s assets, change of control, or similar transaction) (“</w:t>
      </w:r>
      <w:r>
        <w:rPr>
          <w:rFonts w:ascii="Times New Roman" w:cs="Times New Roman" w:eastAsia="Times New Roman" w:hAnsi="Times New Roman"/>
          <w:sz w:val="18"/>
          <w:szCs w:val="18"/>
          <w:b w:val="1"/>
          <w:bCs w:val="1"/>
          <w:color w:val="auto"/>
        </w:rPr>
        <w:t>Purchaser’s Deemed Liquidation Event</w:t>
      </w:r>
      <w:r>
        <w:rPr>
          <w:rFonts w:ascii="Times New Roman" w:cs="Times New Roman" w:eastAsia="Times New Roman" w:hAnsi="Times New Roman"/>
          <w:sz w:val="18"/>
          <w:szCs w:val="18"/>
          <w:color w:val="auto"/>
        </w:rPr>
        <w:t>”), provided that in such case the prospective purchaser undertakes in writing for the benefit of Seller to assume and be bound by all of Purchaser’s obligations under this agreement; or (ii) selling and/or issuing securities of Purchaser, including the sale of all or substantially all of Purchaser’s shares, in which case this Agreement shall remain in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6. REPRESENTATIONS AND WARRANTIES OF SELLER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Seller hereby represents and warrants to Purchaser as follows;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representations and warranties made as of the date hereof shall be deemed to be qualified by the disclosure schedule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Seller is a limited liability company duly formed and validly existing under the laws of State of Israel. Seller has the full power and authority and has obtained all corporate and third party consents, approvals, and/or other authorizations required to enter into this Agreement and to carry out its obligations hereunder, including, without limitation, the assignment and sale of the Assets to Purchaser. This Agreement, including all exhibits, annexes and schedules, when executed and delivered by Seller, will constitute the valid, binding and enforceable obligations of Seller.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Title and Contest</w:t>
      </w:r>
      <w:r>
        <w:rPr>
          <w:rFonts w:ascii="Times New Roman" w:cs="Times New Roman" w:eastAsia="Times New Roman" w:hAnsi="Times New Roman"/>
          <w:sz w:val="18"/>
          <w:szCs w:val="18"/>
          <w:color w:val="auto"/>
        </w:rPr>
        <w:t>. Seller owns all right, title and interest to the Assets, including, without limitation, all right, title and interest to sue for infringement of the Patents. The Patents are free and clear of all liens, claims, mortgages, pledges, security interests or other encumbrances and restrictions of any kind whatsoever (other than such deriving from the IIA funding pursuant to applicable law). The Seller and the Founding Shareholders are not aware of any written notice or other written evidence pursuant to which the Patents or the Devices breach any third party intellectual property rights. The Seller is not party to any contract, agreement, option, commitment, proposal, bid, offer, or right with, to, or in any person to commercialize and/or manufacture and/or market and/or distribute products based on the Assets. To Seller’s knowledge, without conducting a freedom to operate search, the Assets do not infringe any third parties’ rights, including, but not limited to, patents.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 Financing</w:t>
      </w:r>
      <w:r>
        <w:rPr>
          <w:rFonts w:ascii="Times New Roman" w:cs="Times New Roman" w:eastAsia="Times New Roman" w:hAnsi="Times New Roman"/>
          <w:sz w:val="18"/>
          <w:szCs w:val="18"/>
          <w:color w:val="auto"/>
        </w:rPr>
        <w:t xml:space="preserve">. Other than as set forth in </w:t>
      </w:r>
      <w:r>
        <w:rPr>
          <w:rFonts w:ascii="Times New Roman" w:cs="Times New Roman" w:eastAsia="Times New Roman" w:hAnsi="Times New Roman"/>
          <w:sz w:val="18"/>
          <w:szCs w:val="18"/>
          <w:u w:val="single" w:color="auto"/>
          <w:color w:val="auto"/>
        </w:rPr>
        <w:t>Schedule 6.3</w:t>
      </w:r>
      <w:r>
        <w:rPr>
          <w:rFonts w:ascii="Times New Roman" w:cs="Times New Roman" w:eastAsia="Times New Roman" w:hAnsi="Times New Roman"/>
          <w:sz w:val="18"/>
          <w:szCs w:val="18"/>
          <w:color w:val="auto"/>
        </w:rPr>
        <w:t xml:space="preserve"> of the Disclosure Schedule, none of the Seller, its predecessors, affiliates, founders or inventors of any of the Patents, has obtained or received any funding, benefits or grants from the IIA or any other governmental authority and/or other quasi-governmental institution.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Existing Licenses, Agreements and Obligations</w:t>
      </w:r>
      <w:r>
        <w:rPr>
          <w:rFonts w:ascii="Times New Roman" w:cs="Times New Roman" w:eastAsia="Times New Roman" w:hAnsi="Times New Roman"/>
          <w:sz w:val="18"/>
          <w:szCs w:val="18"/>
          <w:color w:val="auto"/>
        </w:rPr>
        <w:t>. No licenses or other rights under the Assets, including, but not limited to, the Assets, have been granted to or retained by Seller and after Closing, Seller and/or any of its shareholders will not retain any rights or interest in the Assets (other than to receive Royalties according to the provisions of this Agreement). The Seller is not engaged in or a party to any outstanding agreements currently in effect relating to the Assets, including with any customers, suppliers, employees or consultants.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Restrictions on Rights</w:t>
      </w:r>
      <w:r>
        <w:rPr>
          <w:rFonts w:ascii="Times New Roman" w:cs="Times New Roman" w:eastAsia="Times New Roman" w:hAnsi="Times New Roman"/>
          <w:sz w:val="18"/>
          <w:szCs w:val="18"/>
          <w:color w:val="auto"/>
        </w:rPr>
        <w:t>. Purchaser will not be subject to any covenant not to sue or similar restrictions on its enforcement or enjoyment of the Assets as a result of any prior transaction related to the Assets to which Seller, Seller’s affiliates, or any inventor is a party. To Seller’s best knowledge, Purchaser will not be subject to any covenant not to sue or similar restrictions on its enforcement or enjoyment of the Assets as a result of any prior transaction related to the Assets to which any non-inventor assignor to Seller or Seller’s affiliates is a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Validity and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include all Intellectual Property of Seller (including all outstanding patents and patent applications registered in the name of or submitted by Seller).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never been notified that any of the Patents has been found invalid, unpatentable, or unenforceable for any reason in any inter parties administrative, arbitration, judicial, or other proceeding, with the exception of rejections, objections, or other deficiencies identified by a patent authority or patent office which were overcome to result in the allowance, grant, or patenting of such claimed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firstLine="8"/>
        <w:spacing w:after="0" w:line="261"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not received any written notice from any source suggesting the invalidity and/or possible invalidity, unpatentability, or unenforceability of any claimed subject matter within the Patents that has ultimately been allowed, granted, or otherwise deemed patentable by a respective patent authority or patent office, with the exception of rejections, objections, or other deficiencies identified by such patent authority or patent office which were overcome to result in the allowance, grant, or patenting of such claimed subject matter.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Conduct</w:t>
      </w:r>
      <w:r>
        <w:rPr>
          <w:rFonts w:ascii="Times New Roman" w:cs="Times New Roman" w:eastAsia="Times New Roman" w:hAnsi="Times New Roman"/>
          <w:sz w:val="18"/>
          <w:szCs w:val="18"/>
          <w:color w:val="auto"/>
        </w:rPr>
        <w:t xml:space="preserve">. Other than as expressly set forth in </w:t>
      </w:r>
      <w:r>
        <w:rPr>
          <w:rFonts w:ascii="Times New Roman" w:cs="Times New Roman" w:eastAsia="Times New Roman" w:hAnsi="Times New Roman"/>
          <w:sz w:val="18"/>
          <w:szCs w:val="18"/>
          <w:u w:val="single" w:color="auto"/>
          <w:color w:val="auto"/>
        </w:rPr>
        <w:t>Schedule 6.7 of the Disclosure Schedule,</w:t>
      </w:r>
      <w:r>
        <w:rPr>
          <w:rFonts w:ascii="Times New Roman" w:cs="Times New Roman" w:eastAsia="Times New Roman" w:hAnsi="Times New Roman"/>
          <w:sz w:val="18"/>
          <w:szCs w:val="18"/>
          <w:color w:val="auto"/>
        </w:rPr>
        <w:t xml:space="preserve"> Seller has not engaged in any conduct, or omitted to perform any necessary act, the result of which would be reasonably expected to invalidate any of the Patents or hinder their enforcement.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Seller has not initiated any enforcement action with respect to any of the Patents.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Patent Office Proceedings</w:t>
      </w:r>
      <w:r>
        <w:rPr>
          <w:rFonts w:ascii="Times New Roman" w:cs="Times New Roman" w:eastAsia="Times New Roman" w:hAnsi="Times New Roman"/>
          <w:sz w:val="18"/>
          <w:szCs w:val="18"/>
          <w:color w:val="auto"/>
        </w:rPr>
        <w:t>. To Seller’s knowledge, (a) none of the Patents have been or are currently involved in any reexamination, reissue, interference proceeding or any similar proceeding and (b) no such proceedings are pending or threatened.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Other than as expressly set forth in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xml:space="preserve"> of the Disclosure Schedule, all maintenance fees, annuities, and the like due or payable on the Patents have been timely paid.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No Breach and No Legal Action</w:t>
      </w:r>
      <w:r>
        <w:rPr>
          <w:rFonts w:ascii="Times New Roman" w:cs="Times New Roman" w:eastAsia="Times New Roman" w:hAnsi="Times New Roman"/>
          <w:sz w:val="18"/>
          <w:szCs w:val="18"/>
          <w:color w:val="auto"/>
        </w:rPr>
        <w:t>. Neither the execution and delivery of this Agreement nor compliance by the Seller with the terms and provisions hereof will conflict with, or result in a breach or violation of, any of the terms, conditions and provisions of: (i) the Seller’s articles of association, (ii) any judgment, order, injunction, writ, decree, or ruling of any court or governmental department, commission, board, bureau, agency, or authority, domestic or foreign to which Seller and/or to its knowledge, its shareholders and/or officers are subject, (iii) any material agreement, contract, lease, license or commitment to which the Seller is a party or to which it is subject, or (iv) applicable law, statute, ordinance or regulation. Such execution, delivery and compliance will not (a) give to others any rights, including rights of termination, cancellation or acceleration, in or with respect to any material agreement, contract, lease, license or commitment referred to in this paragraph, or to any of the Assets, or (b) otherwise require the consent or approval of any person, which consent or approval has not heretofore been obtained.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of date of signing of this Agreement, there is no pending or threatened action by or against the Seller and/or, to Seller’s knowledge, by or against its shareholders and/or directors and/or officers that relate to the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Waiver and Release</w:t>
      </w:r>
      <w:r>
        <w:rPr>
          <w:rFonts w:ascii="Times New Roman" w:cs="Times New Roman" w:eastAsia="Times New Roman" w:hAnsi="Times New Roman"/>
          <w:sz w:val="18"/>
          <w:szCs w:val="18"/>
          <w:color w:val="auto"/>
        </w:rPr>
        <w:t>. If and to the extent requested by Purchaser, at Purchaser’s sole discretion, Seller hereby irrevocably provides Purchaser with the consent to engage former employees and/or service providers of Seller (the “</w:t>
      </w:r>
      <w:r>
        <w:rPr>
          <w:rFonts w:ascii="Times New Roman" w:cs="Times New Roman" w:eastAsia="Times New Roman" w:hAnsi="Times New Roman"/>
          <w:sz w:val="18"/>
          <w:szCs w:val="18"/>
          <w:u w:val="single" w:color="auto"/>
          <w:color w:val="auto"/>
        </w:rPr>
        <w:t>Engagement</w:t>
      </w:r>
      <w:r>
        <w:rPr>
          <w:rFonts w:ascii="Times New Roman" w:cs="Times New Roman" w:eastAsia="Times New Roman" w:hAnsi="Times New Roman"/>
          <w:sz w:val="18"/>
          <w:szCs w:val="18"/>
          <w:color w:val="auto"/>
        </w:rPr>
        <w:t>”); and Seller and/or its affiliates, directors, officers and shareholders have and/or will have no claims and/or demands against Purchaser, its shareholders, directors, officers and employees in connection with the Engagement, directly or indirectly. The Seller is not aware of any limitation and/or restriction that prohibits and/or may otherwise restrict Purchaser from entering into an Engagement. For the avoidance of doubt, it is clarified that Seller assumes no responsibility or liability in connection with any Engagement or the success thereof, and any such Engagement shall be subject to its acceptance by any such former employees and/or service providers of Seller that Purchaser wishes to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Executed Assignments</w:t>
      </w:r>
      <w:r>
        <w:rPr>
          <w:rFonts w:ascii="Times New Roman" w:cs="Times New Roman" w:eastAsia="Times New Roman" w:hAnsi="Times New Roman"/>
          <w:sz w:val="18"/>
          <w:szCs w:val="18"/>
          <w:color w:val="auto"/>
        </w:rPr>
        <w:t>. The Executed Assignments, upon the execution thereof, are binding, unconditional and irrevocable, other than as expressly stated therein, and enforceable by Purchaser. Seller, after making all required inquiries, is not aware of any claim, demand and/or liability that might be imposed on Purchaser in connection with the assignment of the Executed Assignments.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Anti-Bribery and Anti-Corruption</w:t>
      </w:r>
      <w:r>
        <w:rPr>
          <w:rFonts w:ascii="Times New Roman" w:cs="Times New Roman" w:eastAsia="Times New Roman" w:hAnsi="Times New Roman"/>
          <w:sz w:val="18"/>
          <w:szCs w:val="18"/>
          <w:color w:val="auto"/>
        </w:rPr>
        <w:t>. Seller, including any of its officers, directors, employees, agents, and representatives, have not, to Seller’s best knowledge: (i) taken any action, directly or indirectly, that violated any applicable anti-corruption laws and regulations; (ii) made any offer, payment, or promise, or authorized the offer, payment or promise, of any money or other property, gift, or anything of value, regardless of form, directly or indirectly, to any government official for purposes of influencing any act or decision of such government official in his or her official capacity to secure an improper advantage, obtain or retain business or direct business to any person or away from any person, in each case, in violation of applicable law; (iii) accepted or received any unlawful contributions, payments, gifts, or expenditures in connection with the Assets; or (iv) been under administrative, regulatory, civil or criminal investigation, indictment, audit or internal investigation with respect to any suspected, alleged or actual violation of any anti-corruption law, and Seller is not aware of any circumstances reasonably likely to give rise to such action or investigation.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Seller does not have any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6.A. REPRESENTATIONS AND WARRANTIES OF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hereby represents and warrants to Seller as follows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6.A.1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Purchaser is a limited liability company duly formed and validly existing under the laws of State of Israel. Purchaser has the full power and authority and except for the IIA Approval or as contemplated in this Agreement, has obtained all corporate and third party consents, approvals, and/or other authorizations required to enter into this Agreement and to carry out its obligations hereunder, including, without limitation, the purchase of the Assets from Seller. This Agreement, including all exhibits, annexes and schedules, when executed and delivered by Purchaser, will constitute the valid, binding and enforceable obligations of Purchaser, except as may be limited by bankruptcy, insolvency, reorganization, moratorium, or similar laws affecting creditors’ rights generally.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6.A.2 </w:t>
      </w:r>
      <w:r>
        <w:rPr>
          <w:rFonts w:ascii="Times New Roman" w:cs="Times New Roman" w:eastAsia="Times New Roman" w:hAnsi="Times New Roman"/>
          <w:sz w:val="18"/>
          <w:szCs w:val="18"/>
          <w:u w:val="single" w:color="auto"/>
          <w:color w:val="auto"/>
        </w:rPr>
        <w:t>No Breach and No Legal Action</w:t>
      </w:r>
      <w:r>
        <w:rPr>
          <w:rFonts w:ascii="Times New Roman" w:cs="Times New Roman" w:eastAsia="Times New Roman" w:hAnsi="Times New Roman"/>
          <w:sz w:val="18"/>
          <w:szCs w:val="18"/>
          <w:color w:val="auto"/>
        </w:rPr>
        <w:t>. Neither the execution and delivery of this Agreement nor compliance by the Purchaser with the terms and provisions hereof will conflict with, or result in a breach or violation of, any of the terms, conditions and provisions of: (i) the Purchaser’s articles of association, (ii) any judgment, order, injunction, writ, decree, or ruling of any court or governmental department, commission, board, bureau, agency, or authority, domestic or foreign to which Purchaser is subject, (iii) any material agreement, contract, lease, license or commitment to which the Purchaser is a party or to which it is subject, or (iv) applicable law, statute, ordinance or regulation.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6.A.3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No approval by any individual or entity, including without limitation any governmental authority or other third party, is required in connection with the execution, delivery or performance of this Agreement or the transaction documents or the consummation by the Purchaser of the transactions contemplated herein and therein.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6.A.4 </w:t>
      </w:r>
      <w:r>
        <w:rPr>
          <w:rFonts w:ascii="Times New Roman" w:cs="Times New Roman" w:eastAsia="Times New Roman" w:hAnsi="Times New Roman"/>
          <w:sz w:val="18"/>
          <w:szCs w:val="18"/>
          <w:u w:val="single" w:color="auto"/>
          <w:color w:val="auto"/>
        </w:rPr>
        <w:t>Receipt of Information</w:t>
      </w:r>
      <w:r>
        <w:rPr>
          <w:rFonts w:ascii="Times New Roman" w:cs="Times New Roman" w:eastAsia="Times New Roman" w:hAnsi="Times New Roman"/>
          <w:sz w:val="18"/>
          <w:szCs w:val="18"/>
          <w:color w:val="auto"/>
        </w:rPr>
        <w:t>. Purchaser acknowledges that it has been furnished by Seller with information regarding the Seller, the business of the Seller and the Assets which it has requested, and has been afforded the opportunity to ask questions of, and receive answers from, duly authorized officers or other representatives of Seller concerning various matters relating to the Seller, the business of the Seller and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xml:space="preserve">6.B. </w:t>
      </w:r>
      <w:r>
        <w:rPr>
          <w:rFonts w:ascii="Times New Roman" w:cs="Times New Roman" w:eastAsia="Times New Roman" w:hAnsi="Times New Roman"/>
          <w:sz w:val="18"/>
          <w:szCs w:val="18"/>
          <w:b w:val="1"/>
          <w:bCs w:val="1"/>
          <w:i w:val="1"/>
          <w:iCs w:val="1"/>
          <w:color w:val="auto"/>
        </w:rPr>
        <w:t>INDEMNIFICATION BY SELLER</w:t>
      </w:r>
    </w:p>
    <w:p>
      <w:pPr>
        <w:spacing w:after="0" w:line="229" w:lineRule="exact"/>
        <w:rPr>
          <w:sz w:val="20"/>
          <w:szCs w:val="20"/>
          <w:color w:val="auto"/>
        </w:rPr>
      </w:pPr>
    </w:p>
    <w:p>
      <w:pPr>
        <w:jc w:val="both"/>
        <w:ind w:firstLine="656"/>
        <w:spacing w:after="0" w:line="266" w:lineRule="auto"/>
        <w:tabs>
          <w:tab w:leader="none" w:pos="9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6.B., Purchaser and its representatives and successors shall be indemnified, defended and held harmless by Seller from and against all Losses (as such term is defined below) suffered or incurred by Purchaser, its successors, officers and/or stockholders (collectively: “</w:t>
      </w:r>
      <w:r>
        <w:rPr>
          <w:rFonts w:ascii="Times New Roman" w:cs="Times New Roman" w:eastAsia="Times New Roman" w:hAnsi="Times New Roman"/>
          <w:sz w:val="18"/>
          <w:szCs w:val="18"/>
          <w:b w:val="1"/>
          <w:bCs w:val="1"/>
          <w:i w:val="1"/>
          <w:iCs w:val="1"/>
          <w:color w:val="auto"/>
        </w:rPr>
        <w:t>Purchaser Affiliates</w:t>
      </w:r>
      <w:r>
        <w:rPr>
          <w:rFonts w:ascii="Times New Roman" w:cs="Times New Roman" w:eastAsia="Times New Roman" w:hAnsi="Times New Roman"/>
          <w:sz w:val="18"/>
          <w:szCs w:val="18"/>
          <w:color w:val="auto"/>
        </w:rPr>
        <w:t>”) by reason of, arising out of or resulting from:</w:t>
      </w:r>
    </w:p>
    <w:p>
      <w:pPr>
        <w:spacing w:after="0" w:line="176" w:lineRule="exact"/>
        <w:rPr>
          <w:sz w:val="20"/>
          <w:szCs w:val="20"/>
          <w:color w:val="auto"/>
        </w:rPr>
      </w:pPr>
    </w:p>
    <w:p>
      <w:pPr>
        <w:ind w:firstLine="656"/>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or breach of any representation or warranty of Seller contained in or made pursuant to this Agreement, any Schedule or any certificate delivered by the Seller pursuant to this Agreement with respect hereto or thereto in connection with the Closing;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non-fulfillment or breach of any covenant or agreement of the Seller contained in this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parties’ claim instituted against Purchaser in connection with the conduct of Seller’s business and/or use of the Assets, in each case, to the extent relating to the period prior to the Closing.</w:t>
      </w:r>
    </w:p>
    <w:p>
      <w:pPr>
        <w:spacing w:after="0" w:line="158" w:lineRule="exact"/>
        <w:rPr>
          <w:sz w:val="20"/>
          <w:szCs w:val="20"/>
          <w:color w:val="auto"/>
        </w:rPr>
      </w:pPr>
    </w:p>
    <w:p>
      <w:pPr>
        <w:jc w:val="both"/>
        <w:ind w:firstLine="656"/>
        <w:spacing w:after="0" w:line="25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6.B., the term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shall include all losses, liabilities, damages, judgments, awards, orders, penalties, settlements, costs and expenses (including, without limitation, interest, penalties, court costs and reasonable legal fees and expenses) including those arising from any demands, claims, suits, actions, costs of investigation, notices of violation or noncompliance, causes of action, proceedings and assessments whether or not made by third parties or whether or not ultimately determined to be valid. Notwithstanding anything else contained in this Agreement, under no circumstances shall an indemnified party be entitled to indemnification in connection with Losses that are indirect, consequential or punitive unless Losses that are indirect, consequential punitive are actually awarded to a third party by a court of competent jurisdiction and are paid by an Indemnified Person (as defined below).</w:t>
      </w:r>
    </w:p>
    <w:p>
      <w:pPr>
        <w:spacing w:after="0" w:line="182" w:lineRule="exact"/>
        <w:rPr>
          <w:rFonts w:ascii="Times New Roman" w:cs="Times New Roman" w:eastAsia="Times New Roman" w:hAnsi="Times New Roman"/>
          <w:sz w:val="18"/>
          <w:szCs w:val="18"/>
          <w:color w:val="auto"/>
        </w:rPr>
      </w:pPr>
    </w:p>
    <w:p>
      <w:pPr>
        <w:jc w:val="both"/>
        <w:ind w:firstLine="656"/>
        <w:spacing w:after="0" w:line="256"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and provisions set forth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upon receipt by Seller (the “</w:t>
      </w:r>
      <w:r>
        <w:rPr>
          <w:rFonts w:ascii="Times New Roman" w:cs="Times New Roman" w:eastAsia="Times New Roman" w:hAnsi="Times New Roman"/>
          <w:sz w:val="18"/>
          <w:szCs w:val="18"/>
          <w:b w:val="1"/>
          <w:bCs w:val="1"/>
          <w:i w:val="1"/>
          <w:iCs w:val="1"/>
          <w:u w:val="single" w:color="auto"/>
          <w:color w:val="auto"/>
        </w:rPr>
        <w:t>Indemnifying 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a certificate signed by any officer (an “</w:t>
      </w:r>
      <w:r>
        <w:rPr>
          <w:rFonts w:ascii="Times New Roman" w:cs="Times New Roman" w:eastAsia="Times New Roman" w:hAnsi="Times New Roman"/>
          <w:sz w:val="18"/>
          <w:szCs w:val="18"/>
          <w:b w:val="1"/>
          <w:bCs w:val="1"/>
          <w:i w:val="1"/>
          <w:iCs w:val="1"/>
          <w:u w:val="single" w:color="auto"/>
          <w:color w:val="auto"/>
        </w:rPr>
        <w:t>Officer’s Certificate</w:t>
      </w:r>
      <w:r>
        <w:rPr>
          <w:rFonts w:ascii="Times New Roman" w:cs="Times New Roman" w:eastAsia="Times New Roman" w:hAnsi="Times New Roman"/>
          <w:sz w:val="18"/>
          <w:szCs w:val="18"/>
          <w:color w:val="auto"/>
        </w:rPr>
        <w:t>”) of Purchaser Affiliate (an “</w:t>
      </w:r>
      <w:r>
        <w:rPr>
          <w:rFonts w:ascii="Times New Roman" w:cs="Times New Roman" w:eastAsia="Times New Roman" w:hAnsi="Times New Roman"/>
          <w:sz w:val="18"/>
          <w:szCs w:val="18"/>
          <w:b w:val="1"/>
          <w:bCs w:val="1"/>
          <w:i w:val="1"/>
          <w:iCs w:val="1"/>
          <w:u w:val="single" w:color="auto"/>
          <w:color w:val="auto"/>
        </w:rPr>
        <w:t>Indemnified Person</w:t>
      </w:r>
      <w:r>
        <w:rPr>
          <w:rFonts w:ascii="Times New Roman" w:cs="Times New Roman" w:eastAsia="Times New Roman" w:hAnsi="Times New Roman"/>
          <w:sz w:val="18"/>
          <w:szCs w:val="18"/>
          <w:color w:val="auto"/>
        </w:rPr>
        <w:t xml:space="preserve">”) stating that Losses exist with respect to the indemnification obligations set forth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and specifying in reasonable detail the Losses so stated (the “</w:t>
      </w:r>
      <w:r>
        <w:rPr>
          <w:rFonts w:ascii="Times New Roman" w:cs="Times New Roman" w:eastAsia="Times New Roman" w:hAnsi="Times New Roman"/>
          <w:sz w:val="18"/>
          <w:szCs w:val="18"/>
          <w:b w:val="1"/>
          <w:bCs w:val="1"/>
          <w:i w:val="1"/>
          <w:iCs w:val="1"/>
          <w:u w:val="single" w:color="auto"/>
          <w:color w:val="auto"/>
        </w:rPr>
        <w:t>Claimed Amount</w:t>
      </w:r>
      <w:r>
        <w:rPr>
          <w:rFonts w:ascii="Times New Roman" w:cs="Times New Roman" w:eastAsia="Times New Roman" w:hAnsi="Times New Roman"/>
          <w:sz w:val="18"/>
          <w:szCs w:val="18"/>
          <w:color w:val="auto"/>
        </w:rPr>
        <w:t xml:space="preserve">”) and the underlying circumstances, the Indemnified Person shall, subject to the provisions of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be entitled to be indemnified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The Indemnifying Person shall have a period of thirty (30) days from and after delivery of any Officer’s Certificate to deliver to the Indemnified Person a response, in which the Indemnifying Person shall: (i) agree that the Indemnified Person is entitled to receive payment for all of the requested Losses or (ii) dispute that the Indemnified Person is entitled to receive payment for all the requested Losses.</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any third party claim that is subject of a claim by an Indemnified Person for indemnification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Claim</w:t>
      </w:r>
      <w:r>
        <w:rPr>
          <w:rFonts w:ascii="Times New Roman" w:cs="Times New Roman" w:eastAsia="Times New Roman" w:hAnsi="Times New Roman"/>
          <w:sz w:val="18"/>
          <w:szCs w:val="18"/>
          <w:color w:val="auto"/>
        </w:rPr>
        <w:t>”), the Indemnified Person shall, without qualification of the right to the Indemnified Person to be indemnified for indemnifiable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in connection with such Third Party Claim, control the defense of the Third Party Claim and shall be entitled to appoint counsel for such defense (such counsel to be reasonably acceptable to the Indemnifying Person) and shall promptly inform the Indemnifying Person upon receipt of a Third Party Claim; provided, however, that no delay in providing such notice shall affect an Indemnified Person’s rights hereunder, unless (and then only to the extent that) the Indemnifying Person is materially prejudiced thereby. No Indemnified Person shall consent to the entry of any judgment or enter into any settlement or resolution of such Third Party Claim without the consent of the Indemnifying Person, such consent not to be unreasonably withheld, conditioned or delayed. The Indemnifying Person shall have the right to participate at its own expense in the defense of the liability asserted therein. The Indemnified Person shall furnish or cause to be furnished to the Indemnifying Person copies of all material correspondence exchanged between the Indemnified Person and the applicable third party, as well as copies of all pleadings, responsive pleadings, motions and other similar legal documents and papers received or filed in connection the Third Party Claim. The Parties hereto agree to reasonably cooperate with each other in connection with the defense, negotiation or settlement of any Third Party Claim, including by attending such conferences, discovery proceedings, hearings, trials or appeals as may be reasonably requested in connection therewith and providing reasonable access to each other’s relevant business records and other documents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left="244" w:hanging="244"/>
        <w:spacing w:after="0"/>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Indemnity.</w:t>
      </w:r>
    </w:p>
    <w:p>
      <w:pPr>
        <w:spacing w:after="0" w:line="225" w:lineRule="exact"/>
        <w:rPr>
          <w:sz w:val="20"/>
          <w:szCs w:val="20"/>
          <w:color w:val="auto"/>
        </w:rPr>
      </w:pPr>
    </w:p>
    <w:p>
      <w:pPr>
        <w:jc w:val="both"/>
        <w:ind w:left="-656" w:firstLine="656"/>
        <w:spacing w:after="0" w:line="255" w:lineRule="auto"/>
        <w:tabs>
          <w:tab w:leader="none" w:pos="2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 and Covenants</w:t>
      </w:r>
      <w:r>
        <w:rPr>
          <w:rFonts w:ascii="Times New Roman" w:cs="Times New Roman" w:eastAsia="Times New Roman" w:hAnsi="Times New Roman"/>
          <w:sz w:val="18"/>
          <w:szCs w:val="18"/>
          <w:color w:val="auto"/>
        </w:rPr>
        <w:t xml:space="preserve">. Other than in case of fraud or intentional misrepresentation, all the representations and warranties of Seller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Closing hereunder and shall continue in full force and effect after such Closing for a period of twenty four (24) months after the Closing, after which they shall automatically expire, provided that any representation or warranty in respect of which indemnity may be sought hereunder, and the right of indemnity with respect thereto, shall survive the time at which it would otherwise terminate pursuant to this Section 6B if notice of the inaccuracy or breach or potential inaccuracy or breach thereof giving rise to such right or potential right of indemnity shall have been given to the Seller prior to such time; All covenants and agreements set forth herein shall survive the Closing for the period specified for their respective terms or, if no such period is specified therein, for the maximum time period permitted under applicable law.</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Recovery by Purchaser Affiliates. Recovery by the Purchaser Affiliates with respect to claims for indemnification pursuant to Section 6.B shall be subject to the caps set forth in Section 6.B(e)(v) below and may be satisfied solely and exclusively by exercise of the Setoff Rights set forth in Section 6.B(e)(iv)other than in case of fraud or intentional misrepresentation. Purchaser shall not have any rights to set off or deduct amounts due under this Agreement, except in accordance with the Setoff Rights.</w:t>
      </w:r>
      <w:r>
        <w:rPr>
          <w:rFonts w:ascii="Times New Roman" w:cs="Times New Roman" w:eastAsia="Times New Roman" w:hAnsi="Times New Roman"/>
          <w:sz w:val="18"/>
          <w:szCs w:val="18"/>
          <w:b w:val="1"/>
          <w:bCs w:val="1"/>
          <w:i w:val="1"/>
          <w:iCs w:val="1"/>
          <w:u w:val="single" w:color="auto"/>
          <w:color w:val="auto"/>
        </w:rPr>
        <w: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the Indemnifying Person shall not be required to indemnify the Indemnified Person for Losses until and unless the aggregate amount of all such Losses exceeds US$50,000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Indemnification Threshold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if the aggregate of all Losses exceeds the Indemnification Threshold, then the Indemnified Person shall, to the extent that it is otherwise entitled to be indemnified pursuant to this Section 6.B, be entitled to indemnification for all Losses, subject to the other limitations set forth in this Section 6.B.</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Purchaser Affiliates sole and exclusive source of recovery of Losses from Seller for the purpose of any indemnification rights provided herein shall be through set off from any Royalties actually due and payable to Seller, to the extent due (including through restitution of any Royalties previously received (if any) by Seller, other than in case of willful misrepresentation or fraud (the “</w:t>
      </w:r>
      <w:r>
        <w:rPr>
          <w:rFonts w:ascii="Times New Roman" w:cs="Times New Roman" w:eastAsia="Times New Roman" w:hAnsi="Times New Roman"/>
          <w:sz w:val="18"/>
          <w:szCs w:val="18"/>
          <w:b w:val="1"/>
          <w:bCs w:val="1"/>
          <w:color w:val="auto"/>
        </w:rPr>
        <w:t>Setoff Rights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 on Indemnification by Seller</w:t>
      </w:r>
      <w:r>
        <w:rPr>
          <w:rFonts w:ascii="Times New Roman" w:cs="Times New Roman" w:eastAsia="Times New Roman" w:hAnsi="Times New Roman"/>
          <w:sz w:val="18"/>
          <w:szCs w:val="18"/>
          <w:color w:val="auto"/>
        </w:rPr>
        <w:t xml:space="preserve">. Without derogating from Section 6.B(iv), and other than in case of fraud or willful misrepresentation, in no event shall the Purchaser Affiliates be entitled to recover Losses for claims for indemnification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in excess of the lesser of: (a) the amount of Royalties actually due to the Seller according to this Agreement, and (b) an aggregate amount of US$1,500,000, unless and to the extent that the Losses derive from IP misrepresentation, in which case, the limitation under this clause (b) shall be an aggregate amount of US$2,400,000.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6" w:name="page17"/>
    <w:bookmarkEnd w:id="16"/>
    <w:p>
      <w:pPr>
        <w:jc w:val="both"/>
        <w:ind w:firstLine="656"/>
        <w:spacing w:after="0" w:line="261" w:lineRule="auto"/>
        <w:tabs>
          <w:tab w:leader="none" w:pos="9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The provisions contained in this Article 6.B are intended to provide the sole and exclusive remedy for the Buyer Affiliates and Seller Affiliates following the Closing as to all Losses based on, arising out of or relating to this Agreement (it being understood that nothing in this Section 6.B or elsewhere in this Agreement shall affect the parties’ rights to specific performance or other equitable remedies to enforce the parties’ obligations under this Agreement).</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Required Disclosure and Confidentiality</w:t>
      </w:r>
      <w:r>
        <w:rPr>
          <w:rFonts w:ascii="Times New Roman" w:cs="Times New Roman" w:eastAsia="Times New Roman" w:hAnsi="Times New Roman"/>
          <w:sz w:val="18"/>
          <w:szCs w:val="18"/>
          <w:color w:val="auto"/>
        </w:rPr>
        <w:t>. The Seller acknowledges and agrees that the Purchaser has disclosure obligations under (a) the United States Securities Act of 1933, as amended and the United States Securities Exchange Act of 1934, as amended, and the rules and regulations promulgated thereunder and (b) the listing requirements of the Nasdaq Capital Market; and accordingly, the Purchaser shall (x) publicly disclose the terms and existence of this Agreement and the identities of the parties hereto, (y) publicly file a true and correct copy of this Agreement with the United States Securities and Exchange Commission and (z) otherwise divulge any or all of the terms and conditions of this Agreement to any third party to comply with securities and/or listing laws, rules and regulations applicable to it. Seller confirms and undertakes to keep confidential and not to disclose or make available to any third party any information related to the Parties’ discussions and/or in connection with the Assets, other than disclosures required to obtain approvals for the transactions contemplated hereby, disclosures to shareholders of the Seller (who are bound by confidentiality no less strict than as set in this Agreement) and those professionals and advisors who have a reasonable need to know, disclosures of information already available to the public or any other disclosures required by applicable law.</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Governing Law; Venue/Jurisdiction</w:t>
      </w:r>
      <w:r>
        <w:rPr>
          <w:rFonts w:ascii="Times New Roman" w:cs="Times New Roman" w:eastAsia="Times New Roman" w:hAnsi="Times New Roman"/>
          <w:sz w:val="18"/>
          <w:szCs w:val="18"/>
          <w:color w:val="auto"/>
        </w:rPr>
        <w:t>. This Agreement will be interpreted, construed, and enforced in all respects in accordance with the laws of the State of Israel, without reference to its choice of law principles to the contrary. Each party irrevocably consents to the exclusive jurisdiction and venue of the courts located in Tel Aviv, Israel in connection with any action, suit, proceeding, or claim arising under or by reason of this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required or permitted hereunder to be given to a party to this Agreement shall be in writing and shall be telecopied, emailed or sent by courier, or otherwise delivered by hand, addressed to such party’s address as set forth below or at such other address as the party shall have furnished to each other party in writing. Notices to Seller are to be sent to: If to Seller,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Nitiloop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Carmeli Street, Ramat 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Irit Yaniv,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irit@almedaventures.com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Amit, Pollak, Matalon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Ian Rostowsky, Adv.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APM House, 18 Raoul Wallenberg St.,Tel Aviv 6971915,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Ianr@apm.law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and if to Purchaser,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Hayozma 6, Yokneam Illit,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Harel Gadot,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 harel@microbotmedical.com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Rachel Vaknin, CFO</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Email : rachel@microbotmedical.comAny notice sent in accordance with this Section 7.3 shall be effective (i) if sent by courier - two (2) business days after delivery to the courier service, (ii) if sent by messenger, upon delivery to the addressee, and (iii) if sent via facsimile or email- upon transmission and confirmation of receipt, or, if transmitted and received on a non-business day, on the first business day following transmission and confirmation of receipt (provided, however, that any notice of change of address shall only be valid upon receipt). Irit Yaniv (the “</w:t>
      </w:r>
      <w:r>
        <w:rPr>
          <w:rFonts w:ascii="Times New Roman" w:cs="Times New Roman" w:eastAsia="Times New Roman" w:hAnsi="Times New Roman"/>
          <w:sz w:val="18"/>
          <w:szCs w:val="18"/>
          <w:b w:val="1"/>
          <w:bCs w:val="1"/>
          <w:color w:val="auto"/>
        </w:rPr>
        <w:t>Seller Representative</w:t>
      </w:r>
      <w:r>
        <w:rPr>
          <w:rFonts w:ascii="Times New Roman" w:cs="Times New Roman" w:eastAsia="Times New Roman" w:hAnsi="Times New Roman"/>
          <w:sz w:val="18"/>
          <w:szCs w:val="18"/>
          <w:color w:val="auto"/>
        </w:rPr>
        <w:t>”) shall serve as the sole representative and focal point on behalf of Seller vis-à-vis the Purchaser for any purpose or matter under this Agreement, and any notice, action or resolution required to be taken by the Seller under this Agreement shall be addressed to Irit Yaniv.</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The parties hereto are independent contractors. Nothing in this Agreement will be construed to create a partnership, joint venture, franchise, fiduciary, employment or agency relationship between the parties. Neither party has any express or implied authority to assume or create any obligations on behalf of the other or to bind the other to any contract, agreement or undertaking with any third party.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found to be invalid or unenforceable, then the remainder of this Agreement will have full force and effect, and the invalid provision will be modified, or partially enforced, to the maximum extent permitted to effectuate the original objective.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Failure by either party to enforce any term of this Agreement will not be deemed a waiver of future enforcement of that or any other term in this Agreement or any other agreement that may be in place between the parties.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party shall be solely responsible of and bear any and all taxes applicable to such party. To the extent required under applicable law, Purchaser shall be entitled to deduct and withhold from any amounts payable pursuant to this Agreement such amounts as may be required to be deducted or withheld therefrom under applicable law and to remit such amounts to the applicable governmental authority. Purchaser shall duly honor any valid tax reduction or exemption certificate provided by Seller. To the extent that such amounts are so deducted or withheld, such amounts shall be treated for all purposes under this Agreement as having been paid to the person to whom such amounts would otherwise have been paid and Purchaser shall provide the Seller with reasonable evidence of the withholding and remittance of such tax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Each Party shall bear its own legal and other professional fees and expenses incurred regarding the execution, delivery and closing of this Agreement and the transactions contemplated hereby. This Agreement, including its exhibits and any other written instruments contemplated herein or hereby, constitutes the entire agreement between the parties with respect to the subject matter hereof and thereof and supersedes all prior agreements, understandings, negotiations, and discussions solely with respect to the subject matter hereof. Neither of the parties will be bound by any conditions, definitions, warranties, understandings, or representations with respect to the subject matter hereof other than as expressly provided herein except as set forth in any written agreements or side letters executed by the parties concurrently with the execution of this Agreement. The section headings contained in this Agreement are for reference purposes only and will not affect in any way the meaning or interpretation of this Agreement. This Agreement is not intended to confer any right or benefit on any third party (including, but not limited to, any employee or beneficiary of any party), and no action may be commenced or prosecuted against a party by any third party claiming as a third-party beneficiary of this Agreement or any of the transactions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oral explanation or oral information by either party hereto will alter the meaning or interpretation of this Agreement. No amendments or modifications will be effective unless in writing signed by an authorized representative of each of the parties. None of the rights, privileges, or obligations set forth in, arising under, or created by this Agreement may be assigned or transferred by either party without the prior consent in writing of the other party to this Agreement. Notwithstanding the aforesaid, (a) the Seller shall have the right to assign any of its right to receive Royalties to any of its shareholders and/or to a trustee appointed by the Seller or its shareholders for such purpose, by the delivery of a written notice to the Purchaser and further that any and all payments are paid by the Purchaser to a trustee appointed for such purpose by Seller (the identity of which shall be as notified by the Seller Representative) who shall be solely responsible for such payments’ disbursal (it being clarified, however, that any such assignment shall not relieve the Seller from its indemnification obligations hereunder through Purchaser’s Setoff Rights which shall remain in full force and effect, and accordingly Purchaser may withhold payments to any such appointed trustee pursuant and subject to the terms of this Agreement and the Setoff Rights); and (b) Purchaser shall be entitled to assign and/or transfer this Agreement and/or any of the Assets to (i) its affiliates, provided that the Purchaser informs Seller in advance and writing regarding such assignment, such affiliate undertakes in writing for the benefit of Seller to assume and be bound by the obligations of this agreement, and Seller shall remain liable for the performance of such obligations by affiliate, and/or (ii) an acquirer in case of a Purchaser’s Deemed Liquidation Event upon the terms set forth in section 5.6.</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and all of which together constitute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intending to be legally bound, the parties have executed this Asset Purchase Agreement as of the Effective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w:t>
            </w:r>
          </w:p>
        </w:tc>
        <w:tc>
          <w:tcPr>
            <w:tcW w:w="5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PURCHASER:</w:t>
            </w: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5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NITILOOP LTD.</w:t>
            </w:r>
          </w:p>
        </w:tc>
        <w:tc>
          <w:tcPr>
            <w:tcW w:w="57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MICROBOT MEDICAL LTD.</w:t>
            </w:r>
          </w:p>
        </w:tc>
      </w:tr>
      <w:tr>
        <w:trPr>
          <w:trHeight w:val="4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Irit Yaniv</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r>
      <w:tr>
        <w:trPr>
          <w:trHeight w:val="223"/>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Irit Yaniv</w:t>
            </w:r>
          </w:p>
        </w:tc>
        <w:tc>
          <w:tcPr>
            <w:tcW w:w="7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Harel Gadot</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Chairperson</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 CEO and Chairman</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the Founding Shareholders, each severally, in our personal capacity (and not in the name of the Company) hereby provide our consent to be bound by and comply with Section 4.2, the non-compete undertakings set forth in Section 5.5 of this Agreement and the representation made under the third sentence of Section 6.2: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 KORONOWSKI:</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DVIR KEREN:</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Ran Kornowski</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Dvir Keren</w:t>
            </w:r>
          </w:p>
        </w:tc>
      </w:tr>
      <w:tr>
        <w:trPr>
          <w:trHeight w:val="223"/>
        </w:trPr>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Ran Kornowski</w:t>
            </w:r>
          </w:p>
        </w:tc>
        <w:tc>
          <w:tcPr>
            <w:tcW w:w="7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Dvir Keren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 Cadiology</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Co-Founder-Nitiloop</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6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Microbot Medical Strengthens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 Portfolio with Acquisition of Novel FDA-Cleared Devices</w:t>
      </w:r>
    </w:p>
    <w:p>
      <w:pPr>
        <w:spacing w:after="0" w:line="141" w:lineRule="exact"/>
        <w:rPr>
          <w:sz w:val="20"/>
          <w:szCs w:val="20"/>
          <w:color w:val="auto"/>
        </w:rPr>
      </w:pPr>
    </w:p>
    <w:p>
      <w:pPr>
        <w:jc w:val="center"/>
        <w:ind w:left="340" w:right="120"/>
        <w:spacing w:after="0" w:line="204" w:lineRule="auto"/>
        <w:rPr>
          <w:sz w:val="20"/>
          <w:szCs w:val="20"/>
          <w:color w:val="auto"/>
        </w:rPr>
      </w:pPr>
      <w:r>
        <w:rPr>
          <w:rFonts w:ascii="Times New Roman" w:cs="Times New Roman" w:eastAsia="Times New Roman" w:hAnsi="Times New Roman"/>
          <w:sz w:val="18"/>
          <w:szCs w:val="18"/>
          <w:i w:val="1"/>
          <w:iCs w:val="1"/>
          <w:color w:val="auto"/>
        </w:rPr>
        <w:t>Integration with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Robotic System &amp; One &amp; Done™ Technology May Enable Future Acceleration of Robotic Adoption; Represents an Additional Growth Opportunity by Accessing the $500 Million Chronic Total Occlusion (CTO) Market</w:t>
      </w: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through the Expansion of Robotic Ecosystem for Endovascular Procedures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October 7, 2022 </w:t>
      </w:r>
      <w:r>
        <w:rPr>
          <w:rFonts w:ascii="Times New Roman" w:cs="Times New Roman" w:eastAsia="Times New Roman" w:hAnsi="Times New Roman"/>
          <w:sz w:val="18"/>
          <w:szCs w:val="18"/>
          <w:color w:val="auto"/>
        </w:rPr>
        <w:t>– Microbot Medical Inc. (Nasdaq: MBOT) announced today, as a continuation of its recent regulatory and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activities, together with its strategic mission to enable accessibility to multiple endovascular procedures globally, that it has acquired the assets of privately-held Nitiloop Ltd. The acquisition includes the NovaCross™ family of Microcatheters (NovaCross CTO, NovaCross Xtreme and NovaCross BTK), a U.S. Food and Drug Administration (FDA) cleared family of medical devices intended to facilitate the intraluminal placement of conventional and steerable guidewires beyond stenotic lesions, including chronic total occlusions (CTO), prior to PTCA or stent intervention.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NovaCross™ Microcatheter family, as a standalone device or when potentially integrated with the Company’s One &amp; Done™ technology, is expected to create a collection of procedure related kits that are customized for the LIBERTY™ Robotic System.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is the first-ever disposable endovascular robotic system with remote operation capabilities and small footprint designed to reduce the requirement of capital investment and Cath Lab space. The Company expects this integration to help revolutionize and standardize the way endovascular procedures are conducted, while eliminating barriers to access and increasing the adoption rate of robotics in the endovascular space.</w:t>
      </w:r>
    </w:p>
    <w:p>
      <w:pPr>
        <w:spacing w:after="0" w:line="19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integration of technologies, such as the NovaCross™ Microcatheter family, fits well with the ecosystem strategy of the Company by allowing it to be competitive in the robotic as well as the instruments market for endovascular procedures, with the aim to integrate imaging and big data capabilities in the future. The Company believes the achievement of the LIBERTY Robotic System ecosystem will allow Microbot Medical to advance the adoption of robotics in the endovascular space, globally.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addition of Nitiloop’s innovative, FDA cleared microcatheter family complements the unique robotic ecosystem we are establishing for endovascular procedures. This is expected to further assist us in executing our strategic plan of becoming a complete procedure-based company, allowing Microbot Medical to be competitive across the entire endovascular robotic space,” commented Harel Gadot, Chairman, President and CEO. “We believe the NovaCross™ family of products, once integrated into our existing technology platforms with the LIBERTY Robotic System and our future One &amp; Done technology, will potentially standardize endovascular procedures globally and may finally allow accessibility to robotic technology for the millions that are in dire need of life-saving treatment.”</w:t>
      </w:r>
    </w:p>
    <w:p>
      <w:pPr>
        <w:spacing w:after="0" w:line="117" w:lineRule="exact"/>
        <w:rPr>
          <w:sz w:val="20"/>
          <w:szCs w:val="20"/>
          <w:color w:val="auto"/>
        </w:rPr>
      </w:pPr>
    </w:p>
    <w:p>
      <w:pPr>
        <w:ind w:left="120" w:hanging="112"/>
        <w:spacing w:after="0"/>
        <w:tabs>
          <w:tab w:leader="none" w:pos="12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Insight Partners market research study titled ‘Chronic total occlusion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NovaCross™ Microcatheter family, the outcome of its studies to evaluate the Company’s other existing and future technologies, any failure or inability to recruit physicians and clinicians to serve as primary investigators to conduct the Company’s Self-Cleaning Shunt’s early feasibility study which could adversely affect or delay such study, uncertainty in the results of pre-clinical and clinical trials or regulatory pathways and regulatory approvals, the failure or inability to integrate the NovaCross™ Microcatheter family,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7"/>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4"/>
    </w:lvl>
    <w:lvl w:ilvl="1">
      <w:lvlJc w:val="left"/>
      <w:lvlText w:val="(%2)"/>
      <w:numFmt w:val="lowerRoman"/>
      <w:start w:val="2"/>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5"/>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decimal"/>
      <w:start w:val="1"/>
    </w:lvl>
    <w:lvl w:ilvl="1">
      <w:lvlJc w:val="left"/>
      <w:lvlText w:val="(%2)"/>
      <w:numFmt w:val="lowerRoman"/>
      <w:start w:val="6"/>
    </w:lvl>
  </w:abstractNum>
  <w:abstractNum w:abstractNumId="17">
    <w:nsid w:val="3F2DBA31"/>
    <w:multiLevelType w:val="hybridMultilevel"/>
    <w:lvl w:ilvl="0">
      <w:lvlJc w:val="left"/>
      <w:lvlText w:val="%1."/>
      <w:numFmt w:val="decimal"/>
      <w:start w:val="7"/>
    </w:lvl>
    <w:lvl w:ilvl="1">
      <w:lvlJc w:val="left"/>
      <w:lvlText w:val="%2"/>
      <w:numFmt w:val="lowerRoman"/>
      <w:start w:val="1"/>
    </w:lvl>
  </w:abstractNum>
  <w:abstractNum w:abstractNumId="18">
    <w:nsid w:val="7C83E45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2022-10-07T08:02:31Z</dcterms:created>
  <dcterms:modified xsi:type="dcterms:W3CDTF">2022-10-07T08:02:31Z</dcterms:modified>
</cp:coreProperties>
</file>