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MICROBOT MEDICAL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Hingham, MA 02043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2,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gridSpan w:val="2"/>
          </w:tcPr>
          <w:p>
            <w:pPr>
              <w:spacing w:after="0"/>
              <w:rPr>
                <w:sz w:val="20"/>
                <w:szCs w:val="20"/>
                <w:color w:val="auto"/>
              </w:rPr>
            </w:pPr>
            <w:r>
              <w:rPr>
                <w:rFonts w:ascii="Arial" w:cs="Arial" w:eastAsia="Arial" w:hAnsi="Arial"/>
                <w:sz w:val="18"/>
                <w:szCs w:val="18"/>
                <w:color w:val="auto"/>
              </w:rPr>
              <w:t>Microbot Medical Inc.</w:t>
            </w:r>
          </w:p>
        </w:tc>
      </w:tr>
      <w:tr>
        <w:trPr>
          <w:trHeight w:val="216"/>
        </w:trPr>
        <w:tc>
          <w:tcPr>
            <w:tcW w:w="64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S-3</w:t>
            </w:r>
          </w:p>
        </w:tc>
      </w:tr>
      <w:tr>
        <w:trPr>
          <w:trHeight w:val="216"/>
        </w:trPr>
        <w:tc>
          <w:tcPr>
            <w:tcW w:w="64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Filed November 25, 2020</w:t>
            </w:r>
          </w:p>
        </w:tc>
      </w:tr>
      <w:tr>
        <w:trPr>
          <w:trHeight w:val="216"/>
        </w:trPr>
        <w:tc>
          <w:tcPr>
            <w:tcW w:w="64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 No. 333-250966</w:t>
            </w:r>
          </w:p>
        </w:tc>
      </w:tr>
      <w:tr>
        <w:trPr>
          <w:trHeight w:val="190"/>
        </w:trPr>
        <w:tc>
          <w:tcPr>
            <w:tcW w:w="640" w:type="dxa"/>
            <w:vAlign w:val="bottom"/>
          </w:tcPr>
          <w:p>
            <w:pPr>
              <w:spacing w:after="0"/>
              <w:rPr>
                <w:sz w:val="16"/>
                <w:szCs w:val="16"/>
                <w:color w:val="auto"/>
              </w:rPr>
            </w:pPr>
          </w:p>
        </w:tc>
        <w:tc>
          <w:tcPr>
            <w:tcW w:w="2600" w:type="dxa"/>
            <w:vAlign w:val="bottom"/>
            <w:gridSpan w:val="2"/>
          </w:tcPr>
          <w:p>
            <w:pPr>
              <w:spacing w:after="0" w:line="190" w:lineRule="exact"/>
              <w:rPr>
                <w:sz w:val="20"/>
                <w:szCs w:val="20"/>
                <w:color w:val="auto"/>
              </w:rPr>
            </w:pPr>
            <w:r>
              <w:rPr>
                <w:rFonts w:ascii="Arial" w:cs="Arial" w:eastAsia="Arial" w:hAnsi="Arial"/>
                <w:sz w:val="18"/>
                <w:szCs w:val="18"/>
                <w:color w:val="auto"/>
              </w:rPr>
              <w:t>Request for Acceleration</w:t>
            </w:r>
          </w:p>
        </w:tc>
      </w:tr>
      <w:tr>
        <w:trPr>
          <w:trHeight w:val="20"/>
        </w:trPr>
        <w:tc>
          <w:tcPr>
            <w:tcW w:w="6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the above-referenced Registration Statement on Form S-3 (the “Registration Statement”), and pursuant to Rule 461 of Regulation C promulgated under the Securities Act of 1933, as amended, the undersigned hereby respectfully requests, on behalf of Microbot Medical Inc. (the “Company”), that the Securities and Exchange Commission accelerate the effective date of its Registration Statement to Friday, December 4, 2020, at 4:00 p.m. Eastern Time, or as soon thereafter as practicable.</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cooperation of the staff in meeting the timetable described above is very much appreciated.</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call Marc Mantell of Mintz, Levin, Cohn, Ferris, Glovsky and Popeo, P.C., counsel to the Company, at (617) 348-3058, with any comments or questions regarding the Registration Statement.</w:t>
      </w:r>
    </w:p>
    <w:p>
      <w:pPr>
        <w:spacing w:after="0" w:line="17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Microbot Medical Inc.</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Tim Buchmiller, </w:t>
      </w:r>
      <w:r>
        <w:rPr>
          <w:rFonts w:ascii="Arial" w:cs="Arial" w:eastAsia="Arial" w:hAnsi="Arial"/>
          <w:sz w:val="18"/>
          <w:szCs w:val="18"/>
          <w:i w:val="1"/>
          <w:iCs w:val="1"/>
          <w:color w:val="auto"/>
        </w:rPr>
        <w:t>Securities and Exchange Commission</w:t>
      </w:r>
    </w:p>
    <w:p>
      <w:pPr>
        <w:spacing w:after="0" w:line="23" w:lineRule="exact"/>
        <w:rPr>
          <w:rFonts w:ascii="Arial" w:cs="Arial" w:eastAsia="Arial" w:hAnsi="Arial"/>
          <w:sz w:val="18"/>
          <w:szCs w:val="18"/>
          <w:color w:val="auto"/>
        </w:rPr>
      </w:pPr>
    </w:p>
    <w:p>
      <w:pPr>
        <w:ind w:left="660" w:right="510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Marc D. Mantell, Esq., </w:t>
      </w:r>
      <w:r>
        <w:rPr>
          <w:rFonts w:ascii="Arial" w:cs="Arial" w:eastAsia="Arial" w:hAnsi="Arial"/>
          <w:sz w:val="18"/>
          <w:szCs w:val="18"/>
          <w:i w:val="1"/>
          <w:iCs w:val="1"/>
          <w:color w:val="auto"/>
        </w:rPr>
        <w:t>Mintz, Levin, Cohn, Ferris, Glovsky and Popeo, P.C.</w:t>
      </w:r>
      <w:r>
        <w:rPr>
          <w:rFonts w:ascii="Arial" w:cs="Arial" w:eastAsia="Arial" w:hAnsi="Arial"/>
          <w:sz w:val="18"/>
          <w:szCs w:val="18"/>
          <w:color w:val="auto"/>
        </w:rPr>
        <w:t xml:space="preserve"> Stephen E. Fox, Esq., </w:t>
      </w:r>
      <w:r>
        <w:rPr>
          <w:rFonts w:ascii="Arial" w:cs="Arial" w:eastAsia="Arial" w:hAnsi="Arial"/>
          <w:sz w:val="18"/>
          <w:szCs w:val="18"/>
          <w:i w:val="1"/>
          <w:iCs w:val="1"/>
          <w:color w:val="auto"/>
        </w:rPr>
        <w:t>Ruskin Moscou Faltischek,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2021-08-15T20:27:57Z</dcterms:created>
  <dcterms:modified xsi:type="dcterms:W3CDTF">2021-08-15T20:27:57Z</dcterms:modified>
</cp:coreProperties>
</file>