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840" w:hanging="508"/>
        <w:spacing w:after="0"/>
        <w:tabs>
          <w:tab w:leader="none" w:pos="8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ind w:left="3920" w:right="1200" w:hanging="3588"/>
        <w:spacing w:after="0" w:line="500" w:lineRule="auto"/>
        <w:tabs>
          <w:tab w:leader="none" w:pos="85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6"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firstLine="189"/>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18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760" w:type="dxa"/>
            <w:vAlign w:val="bottom"/>
            <w:vMerge w:val="restart"/>
          </w:tcPr>
          <w:p>
            <w:pPr>
              <w:ind w:left="600"/>
              <w:spacing w:after="0" w:line="207" w:lineRule="exact"/>
              <w:rPr>
                <w:sz w:val="20"/>
                <w:szCs w:val="20"/>
                <w:color w:val="auto"/>
              </w:rPr>
            </w:pPr>
            <w:r>
              <w:rPr>
                <w:rFonts w:ascii="Arial" w:cs="Arial" w:eastAsia="Arial" w:hAnsi="Arial"/>
                <w:sz w:val="18"/>
                <w:szCs w:val="18"/>
                <w:color w:val="auto"/>
                <w:w w:val="90"/>
              </w:rPr>
              <w:t xml:space="preserve">Emerging growth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83"/>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2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18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7,108,133 shares of Common Stock, $0.01 par value at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560" w:type="dxa"/>
            <w:vAlign w:val="bottom"/>
            <w:gridSpan w:val="8"/>
          </w:tcPr>
          <w:p>
            <w:pPr>
              <w:jc w:val="center"/>
              <w:ind w:right="2180"/>
              <w:spacing w:after="0"/>
              <w:rPr>
                <w:sz w:val="20"/>
                <w:szCs w:val="20"/>
                <w:color w:val="auto"/>
              </w:rPr>
            </w:pPr>
            <w:r>
              <w:rPr>
                <w:rFonts w:ascii="Arial" w:cs="Arial" w:eastAsia="Arial" w:hAnsi="Arial"/>
                <w:sz w:val="18"/>
                <w:szCs w:val="18"/>
                <w:b w:val="1"/>
                <w:bCs w:val="1"/>
                <w:color w:val="auto"/>
              </w:rPr>
              <w:t>MICROBOT MEDICAL INC. AND SUBSIDIARIES</w:t>
            </w:r>
          </w:p>
        </w:tc>
        <w:tc>
          <w:tcPr>
            <w:tcW w:w="7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5"/>
          </w:tcPr>
          <w:p>
            <w:pPr>
              <w:jc w:val="center"/>
              <w:ind w:right="4240"/>
              <w:spacing w:after="0"/>
              <w:rPr>
                <w:sz w:val="20"/>
                <w:szCs w:val="20"/>
                <w:color w:val="auto"/>
              </w:rPr>
            </w:pPr>
            <w:r>
              <w:rPr>
                <w:rFonts w:ascii="Arial" w:cs="Arial" w:eastAsia="Arial" w:hAnsi="Arial"/>
                <w:sz w:val="18"/>
                <w:szCs w:val="18"/>
                <w:color w:val="auto"/>
                <w:w w:val="90"/>
              </w:rPr>
              <w:t>Index</w:t>
            </w:r>
          </w:p>
        </w:tc>
        <w:tc>
          <w:tcPr>
            <w:tcW w:w="74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50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740" w:type="dxa"/>
            <w:vAlign w:val="bottom"/>
            <w:shd w:val="clear" w:color="auto" w:fill="CCEEFF"/>
          </w:tcPr>
          <w:p>
            <w:pPr>
              <w:spacing w:after="0"/>
              <w:rPr>
                <w:sz w:val="18"/>
                <w:szCs w:val="18"/>
                <w:color w:val="auto"/>
              </w:rPr>
            </w:pPr>
          </w:p>
        </w:tc>
      </w:tr>
      <w:tr>
        <w:trPr>
          <w:trHeight w:val="216"/>
        </w:trPr>
        <w:tc>
          <w:tcPr>
            <w:tcW w:w="10500" w:type="dxa"/>
            <w:vAlign w:val="bottom"/>
            <w:gridSpan w:val="17"/>
          </w:tcPr>
          <w:p>
            <w:pPr>
              <w:spacing w:after="0"/>
              <w:rPr>
                <w:sz w:val="20"/>
                <w:szCs w:val="20"/>
                <w:color w:val="auto"/>
              </w:rPr>
            </w:pPr>
            <w:r>
              <w:rPr>
                <w:rFonts w:ascii="Arial" w:cs="Arial" w:eastAsia="Arial" w:hAnsi="Arial"/>
                <w:sz w:val="18"/>
                <w:szCs w:val="18"/>
                <w:color w:val="auto"/>
              </w:rPr>
              <w:t>Item 1 - Financial Statements</w:t>
            </w:r>
          </w:p>
        </w:tc>
        <w:tc>
          <w:tcPr>
            <w:tcW w:w="740" w:type="dxa"/>
            <w:vAlign w:val="bottom"/>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103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Balance Sheets as of September 30, 2021 (unaudited) and December 31, 2020 (audited)</w:t>
              </w:r>
            </w:hyperlink>
          </w:p>
        </w:tc>
        <w:tc>
          <w:tcPr>
            <w:tcW w:w="74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320" w:type="dxa"/>
            <w:vAlign w:val="bottom"/>
            <w:gridSpan w:val="16"/>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Interim Consolidated Statements of Comprehensive Loss for the Three and Nine Months Ended September 30, 2021 and 2020 (unaudited)</w:t>
              </w:r>
            </w:hyperlink>
          </w:p>
        </w:tc>
        <w:tc>
          <w:tcPr>
            <w:tcW w:w="740" w:type="dxa"/>
            <w:vAlign w:val="bottom"/>
          </w:tcPr>
          <w:p>
            <w:pPr>
              <w:jc w:val="center"/>
              <w:ind w:left="10"/>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320" w:type="dxa"/>
            <w:vAlign w:val="bottom"/>
            <w:gridSpan w:val="16"/>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Interim Consolidated Statements of Shareholders’ Equity for the Three and Nine Months Ended September 30, 2021 and 2020 (unaudited)</w:t>
              </w:r>
            </w:hyperlink>
          </w:p>
        </w:tc>
        <w:tc>
          <w:tcPr>
            <w:tcW w:w="74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79"/>
              </w:rPr>
              <w:t>3</w:t>
            </w:r>
          </w:p>
        </w:tc>
      </w:tr>
      <w:tr>
        <w:trPr>
          <w:trHeight w:val="176"/>
        </w:trPr>
        <w:tc>
          <w:tcPr>
            <w:tcW w:w="180" w:type="dxa"/>
            <w:vAlign w:val="bottom"/>
            <w:tcBorders>
              <w:top w:val="single" w:sz="8" w:color="CCEEFF"/>
            </w:tcBorders>
          </w:tcPr>
          <w:p>
            <w:pPr>
              <w:spacing w:after="0"/>
              <w:rPr>
                <w:sz w:val="15"/>
                <w:szCs w:val="15"/>
                <w:color w:val="auto"/>
              </w:rPr>
            </w:pPr>
          </w:p>
        </w:tc>
        <w:tc>
          <w:tcPr>
            <w:tcW w:w="998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Cash Flows for the Nine Months Ended September 30, 2021 and 2020 (unaudited)</w:t>
              </w:r>
            </w:hyperlink>
          </w:p>
        </w:tc>
        <w:tc>
          <w:tcPr>
            <w:tcW w:w="34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jc w:val="center"/>
              <w:ind w:left="10"/>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6580" w:type="dxa"/>
            <w:vAlign w:val="bottom"/>
            <w:tcBorders>
              <w:bottom w:val="single" w:sz="8" w:color="CCEEFF"/>
            </w:tcBorders>
            <w:gridSpan w:val="7"/>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10500" w:type="dxa"/>
            <w:vAlign w:val="bottom"/>
            <w:gridSpan w:val="1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2 - Management’s Discussion and Analysis of Financial Condition and Results of Operations</w:t>
              </w:r>
            </w:hyperlink>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3 - Quantitative and Qualitative Disclosures About Market Risk</w:t>
              </w:r>
            </w:hyperlink>
          </w:p>
        </w:tc>
        <w:tc>
          <w:tcPr>
            <w:tcW w:w="5520" w:type="dxa"/>
            <w:vAlign w:val="bottom"/>
            <w:tcBorders>
              <w:bottom w:val="single" w:sz="8" w:color="CCEEFF"/>
            </w:tcBorders>
            <w:gridSpan w:val="5"/>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176"/>
        </w:trPr>
        <w:tc>
          <w:tcPr>
            <w:tcW w:w="10500" w:type="dxa"/>
            <w:vAlign w:val="bottom"/>
            <w:gridSpan w:val="17"/>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4 - Controls and Procedures</w:t>
              </w:r>
            </w:hyperlink>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50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74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7"/>
          </w:tcPr>
          <w:p>
            <w:pPr>
              <w:spacing w:after="0" w:line="17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Item 1 - Legal Proceedings</w:t>
              </w:r>
            </w:hyperlink>
          </w:p>
        </w:tc>
        <w:tc>
          <w:tcPr>
            <w:tcW w:w="8380" w:type="dxa"/>
            <w:vAlign w:val="bottom"/>
            <w:tcBorders>
              <w:top w:val="single" w:sz="8" w:color="CCEEFF"/>
            </w:tcBorders>
            <w:gridSpan w:val="10"/>
          </w:tcPr>
          <w:p>
            <w:pPr>
              <w:spacing w:after="0"/>
              <w:rPr>
                <w:sz w:val="15"/>
                <w:szCs w:val="15"/>
                <w:color w:val="auto"/>
              </w:rPr>
            </w:pPr>
          </w:p>
        </w:tc>
        <w:tc>
          <w:tcPr>
            <w:tcW w:w="7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1A - Risk Factors</w:t>
              </w:r>
            </w:hyperlink>
          </w:p>
        </w:tc>
        <w:tc>
          <w:tcPr>
            <w:tcW w:w="8840" w:type="dxa"/>
            <w:vAlign w:val="bottom"/>
            <w:tcBorders>
              <w:bottom w:val="single" w:sz="8" w:color="CCEEFF"/>
            </w:tcBorders>
            <w:gridSpan w:val="13"/>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175"/>
        </w:trPr>
        <w:tc>
          <w:tcPr>
            <w:tcW w:w="10500" w:type="dxa"/>
            <w:vAlign w:val="bottom"/>
            <w:gridSpan w:val="17"/>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2 - Unregistered Sales of Equity Securities and Use of Proceeds</w:t>
              </w:r>
            </w:hyperlink>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500" w:type="dxa"/>
            <w:vAlign w:val="bottom"/>
            <w:gridSpan w:val="1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3 - Defaults Upon Senior Securities</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176"/>
        </w:trPr>
        <w:tc>
          <w:tcPr>
            <w:tcW w:w="29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4 - Mine Safety Disclosures</w:t>
              </w:r>
            </w:hyperlink>
          </w:p>
        </w:tc>
        <w:tc>
          <w:tcPr>
            <w:tcW w:w="7560" w:type="dxa"/>
            <w:vAlign w:val="bottom"/>
            <w:tcBorders>
              <w:top w:val="single" w:sz="8" w:color="CCEEFF"/>
            </w:tcBorders>
            <w:gridSpan w:val="8"/>
          </w:tcPr>
          <w:p>
            <w:pPr>
              <w:spacing w:after="0"/>
              <w:rPr>
                <w:sz w:val="15"/>
                <w:szCs w:val="15"/>
                <w:color w:val="auto"/>
              </w:rPr>
            </w:pPr>
          </w:p>
        </w:tc>
        <w:tc>
          <w:tcPr>
            <w:tcW w:w="7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Item 5 - Other Information</w:t>
              </w:r>
            </w:hyperlink>
          </w:p>
        </w:tc>
        <w:tc>
          <w:tcPr>
            <w:tcW w:w="8560" w:type="dxa"/>
            <w:vAlign w:val="bottom"/>
            <w:tcBorders>
              <w:bottom w:val="single" w:sz="8" w:color="CCEEFF"/>
            </w:tcBorders>
            <w:gridSpan w:val="12"/>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175"/>
        </w:trPr>
        <w:tc>
          <w:tcPr>
            <w:tcW w:w="10500" w:type="dxa"/>
            <w:vAlign w:val="bottom"/>
            <w:gridSpan w:val="17"/>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6 - Exhibits</w:t>
              </w:r>
            </w:hyperlink>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5"/>
        </w:trPr>
        <w:tc>
          <w:tcPr>
            <w:tcW w:w="1050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Signatures</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As of 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As of December 31,</w:t>
            </w:r>
          </w:p>
        </w:tc>
      </w:tr>
      <w:tr>
        <w:trPr>
          <w:trHeight w:val="229"/>
        </w:trPr>
        <w:tc>
          <w:tcPr>
            <w:tcW w:w="5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center"/>
              <w:ind w:right="50"/>
              <w:spacing w:after="0"/>
              <w:rPr>
                <w:sz w:val="20"/>
                <w:szCs w:val="20"/>
                <w:color w:val="auto"/>
              </w:rPr>
            </w:pPr>
            <w:r>
              <w:rPr>
                <w:rFonts w:ascii="Arial" w:cs="Arial" w:eastAsia="Arial" w:hAnsi="Arial"/>
                <w:sz w:val="18"/>
                <w:szCs w:val="18"/>
                <w:color w:val="auto"/>
                <w:w w:val="89"/>
              </w:rPr>
              <w:t>2021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300" w:type="dxa"/>
            <w:vAlign w:val="bottom"/>
          </w:tcPr>
          <w:p>
            <w:pPr>
              <w:spacing w:after="0"/>
              <w:rPr>
                <w:sz w:val="20"/>
                <w:szCs w:val="20"/>
                <w:color w:val="auto"/>
              </w:rPr>
            </w:pPr>
          </w:p>
        </w:tc>
        <w:tc>
          <w:tcPr>
            <w:tcW w:w="1860" w:type="dxa"/>
            <w:vAlign w:val="bottom"/>
            <w:gridSpan w:val="3"/>
          </w:tcPr>
          <w:p>
            <w:pPr>
              <w:jc w:val="center"/>
              <w:ind w:right="310"/>
              <w:spacing w:after="0"/>
              <w:rPr>
                <w:sz w:val="20"/>
                <w:szCs w:val="20"/>
                <w:color w:val="auto"/>
              </w:rPr>
            </w:pPr>
            <w:r>
              <w:rPr>
                <w:rFonts w:ascii="Arial" w:cs="Arial" w:eastAsia="Arial" w:hAnsi="Arial"/>
                <w:sz w:val="18"/>
                <w:szCs w:val="18"/>
                <w:color w:val="auto"/>
                <w:w w:val="89"/>
              </w:rPr>
              <w:t>Notes</w:t>
            </w:r>
          </w:p>
        </w:tc>
        <w:tc>
          <w:tcPr>
            <w:tcW w:w="20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Audited</w:t>
            </w:r>
          </w:p>
        </w:tc>
      </w:tr>
      <w:tr>
        <w:trPr>
          <w:trHeight w:val="216"/>
        </w:trPr>
        <w:tc>
          <w:tcPr>
            <w:tcW w:w="5300" w:type="dxa"/>
            <w:vAlign w:val="bottom"/>
            <w:tcBorders>
              <w:top w:val="single" w:sz="8" w:color="CCEEFF"/>
            </w:tcBorders>
            <w:shd w:val="clear" w:color="auto" w:fill="CCEEFF"/>
          </w:tcPr>
          <w:p>
            <w:pPr>
              <w:ind w:left="2220"/>
              <w:spacing w:after="0"/>
              <w:rPr>
                <w:sz w:val="20"/>
                <w:szCs w:val="20"/>
                <w:color w:val="auto"/>
              </w:rPr>
            </w:pPr>
            <w:r>
              <w:rPr>
                <w:rFonts w:ascii="Arial" w:cs="Arial" w:eastAsia="Arial" w:hAnsi="Arial"/>
                <w:sz w:val="18"/>
                <w:szCs w:val="18"/>
                <w:color w:val="auto"/>
              </w:rPr>
              <w:t>ASSETS</w:t>
            </w: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19,650</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4,999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4,998</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r>
      <w:tr>
        <w:trPr>
          <w:trHeight w:val="236"/>
        </w:trPr>
        <w:tc>
          <w:tcPr>
            <w:tcW w:w="53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0"/>
                <w:szCs w:val="20"/>
                <w:color w:val="auto"/>
              </w:rPr>
            </w:pPr>
          </w:p>
        </w:tc>
      </w:tr>
      <w:tr>
        <w:trPr>
          <w:trHeight w:val="216"/>
        </w:trPr>
        <w:tc>
          <w:tcPr>
            <w:tcW w:w="5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0"/>
                <w:szCs w:val="20"/>
                <w:color w:val="auto"/>
              </w:rPr>
            </w:pPr>
          </w:p>
        </w:tc>
      </w:tr>
      <w:tr>
        <w:trPr>
          <w:trHeight w:val="229"/>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AND STOCKHOLDERS’ EQUITY</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r>
      <w:tr>
        <w:trPr>
          <w:trHeight w:val="249"/>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21"/>
                <w:szCs w:val="21"/>
                <w:color w:val="auto"/>
              </w:rPr>
            </w:pPr>
          </w:p>
        </w:tc>
      </w:tr>
      <w:tr>
        <w:trPr>
          <w:trHeight w:val="203"/>
        </w:trPr>
        <w:tc>
          <w:tcPr>
            <w:tcW w:w="53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4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1,395</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1,345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liabilities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21"/>
                <w:szCs w:val="21"/>
                <w:color w:val="auto"/>
              </w:rPr>
            </w:pPr>
          </w:p>
        </w:tc>
      </w:tr>
      <w:tr>
        <w:trPr>
          <w:trHeight w:val="210"/>
        </w:trPr>
        <w:tc>
          <w:tcPr>
            <w:tcW w:w="53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4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1,831</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w w:val="96"/>
              </w:rPr>
              <w:t>Common stock; $0.01 par value; 60,000,000 shares authorized as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w w:val="96"/>
              </w:rPr>
              <w:t>of September 30, 2021 and December 31, 2020, 7,108,133 shares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w w:val="92"/>
              </w:rPr>
              <w:t>issued and outstanding as of September 30, 2021 and December 31,</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2020</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68,516</w:t>
            </w:r>
          </w:p>
        </w:tc>
        <w:tc>
          <w:tcPr>
            <w:tcW w:w="80" w:type="dxa"/>
            <w:vAlign w:val="bottom"/>
            <w:shd w:val="clear" w:color="auto" w:fill="CCEEFF"/>
          </w:tcPr>
          <w:p>
            <w:pPr>
              <w:spacing w:after="0"/>
              <w:rPr>
                <w:sz w:val="18"/>
                <w:szCs w:val="18"/>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(51,734)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(44,280)</w:t>
            </w:r>
          </w:p>
        </w:tc>
      </w:tr>
      <w:tr>
        <w:trPr>
          <w:trHeight w:val="236"/>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30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19,701</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center"/>
              <w:ind w:right="581"/>
              <w:spacing w:after="0"/>
              <w:rPr>
                <w:sz w:val="20"/>
                <w:szCs w:val="20"/>
                <w:color w:val="auto"/>
              </w:rPr>
            </w:pPr>
            <w:r>
              <w:rPr>
                <w:rFonts w:ascii="Arial" w:cs="Arial" w:eastAsia="Arial" w:hAnsi="Arial"/>
                <w:sz w:val="18"/>
                <w:szCs w:val="18"/>
                <w:color w:val="auto"/>
                <w:w w:val="89"/>
              </w:rPr>
              <w:t>For the Three Months Ended</w:t>
            </w:r>
          </w:p>
        </w:tc>
        <w:tc>
          <w:tcPr>
            <w:tcW w:w="280" w:type="dxa"/>
            <w:vAlign w:val="bottom"/>
          </w:tcPr>
          <w:p>
            <w:pPr>
              <w:spacing w:after="0"/>
              <w:rPr>
                <w:sz w:val="18"/>
                <w:szCs w:val="18"/>
                <w:color w:val="auto"/>
              </w:rPr>
            </w:pPr>
          </w:p>
        </w:tc>
        <w:tc>
          <w:tcPr>
            <w:tcW w:w="2820" w:type="dxa"/>
            <w:vAlign w:val="bottom"/>
            <w:gridSpan w:val="6"/>
          </w:tcPr>
          <w:p>
            <w:pPr>
              <w:jc w:val="right"/>
              <w:ind w:right="541"/>
              <w:spacing w:after="0"/>
              <w:rPr>
                <w:sz w:val="20"/>
                <w:szCs w:val="20"/>
                <w:color w:val="auto"/>
              </w:rPr>
            </w:pPr>
            <w:r>
              <w:rPr>
                <w:rFonts w:ascii="Arial" w:cs="Arial" w:eastAsia="Arial" w:hAnsi="Arial"/>
                <w:sz w:val="18"/>
                <w:szCs w:val="18"/>
                <w:color w:val="auto"/>
                <w:w w:val="99"/>
              </w:rPr>
              <w:t>For the Nine Months Ended</w:t>
            </w:r>
          </w:p>
        </w:tc>
      </w:tr>
      <w:tr>
        <w:trPr>
          <w:trHeight w:val="237"/>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88"/>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2020</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center"/>
              <w:ind w:left="550"/>
              <w:spacing w:after="0"/>
              <w:rPr>
                <w:sz w:val="20"/>
                <w:szCs w:val="20"/>
                <w:color w:val="auto"/>
              </w:rPr>
            </w:pPr>
            <w:r>
              <w:rPr>
                <w:rFonts w:ascii="Arial" w:cs="Arial" w:eastAsia="Arial" w:hAnsi="Arial"/>
                <w:sz w:val="18"/>
                <w:szCs w:val="18"/>
                <w:color w:val="auto"/>
                <w:w w:val="90"/>
              </w:rPr>
              <w:t>Unaudited</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4"/>
          </w:tcPr>
          <w:p>
            <w:pPr>
              <w:jc w:val="right"/>
              <w:ind w:right="147"/>
              <w:spacing w:after="0"/>
              <w:rPr>
                <w:sz w:val="20"/>
                <w:szCs w:val="20"/>
                <w:color w:val="auto"/>
              </w:rPr>
            </w:pPr>
            <w:r>
              <w:rPr>
                <w:rFonts w:ascii="Arial" w:cs="Arial" w:eastAsia="Arial" w:hAnsi="Arial"/>
                <w:sz w:val="18"/>
                <w:szCs w:val="18"/>
                <w:color w:val="auto"/>
              </w:rPr>
              <w:t>Unaudited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1,389</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1,037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3,897</w:t>
            </w:r>
          </w:p>
        </w:tc>
        <w:tc>
          <w:tcPr>
            <w:tcW w:w="5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2,397</w:t>
            </w: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1,378</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3,523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4,065</w:t>
            </w:r>
          </w:p>
        </w:tc>
      </w:tr>
      <w:tr>
        <w:trPr>
          <w:trHeight w:val="216"/>
        </w:trPr>
        <w:tc>
          <w:tcPr>
            <w:tcW w:w="4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expenses, net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47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4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(0.36)</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(0.35)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(1.05)</w:t>
            </w:r>
          </w:p>
        </w:tc>
        <w:tc>
          <w:tcPr>
            <w:tcW w:w="56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(0.92)</w:t>
            </w:r>
          </w:p>
        </w:tc>
      </w:tr>
      <w:tr>
        <w:trPr>
          <w:trHeight w:val="155"/>
        </w:trPr>
        <w:tc>
          <w:tcPr>
            <w:tcW w:w="47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and diluted weighted average common shares</w:t>
            </w: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5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7,108,133</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7,105,591</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7,108,133</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7,120,795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33"/>
        </w:trPr>
        <w:tc>
          <w:tcPr>
            <w:tcW w:w="4700" w:type="dxa"/>
            <w:vAlign w:val="bottom"/>
          </w:tcPr>
          <w:p>
            <w:pPr>
              <w:spacing w:after="0"/>
              <w:rPr>
                <w:sz w:val="20"/>
                <w:szCs w:val="20"/>
                <w:color w:val="auto"/>
              </w:rPr>
            </w:pPr>
          </w:p>
        </w:tc>
        <w:tc>
          <w:tcPr>
            <w:tcW w:w="18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color w:val="auto"/>
                <w:w w:val="94"/>
              </w:rPr>
              <w:t>Paid-In</w:t>
            </w:r>
          </w:p>
        </w:tc>
        <w:tc>
          <w:tcPr>
            <w:tcW w:w="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w w:val="88"/>
              </w:rPr>
              <w:t>Treasury</w:t>
            </w:r>
          </w:p>
        </w:tc>
        <w:tc>
          <w:tcPr>
            <w:tcW w:w="1300" w:type="dxa"/>
            <w:vAlign w:val="bottom"/>
            <w:gridSpan w:val="4"/>
          </w:tcPr>
          <w:p>
            <w:pPr>
              <w:ind w:left="120"/>
              <w:spacing w:after="0"/>
              <w:rPr>
                <w:sz w:val="20"/>
                <w:szCs w:val="20"/>
                <w:color w:val="auto"/>
              </w:rPr>
            </w:pPr>
            <w:r>
              <w:rPr>
                <w:rFonts w:ascii="Arial" w:cs="Arial" w:eastAsia="Arial" w:hAnsi="Arial"/>
                <w:sz w:val="16"/>
                <w:szCs w:val="16"/>
                <w:color w:val="auto"/>
              </w:rPr>
              <w:t>Accumulated</w:t>
            </w:r>
          </w:p>
        </w:tc>
        <w:tc>
          <w:tcPr>
            <w:tcW w:w="1000" w:type="dxa"/>
            <w:vAlign w:val="bottom"/>
            <w:gridSpan w:val="3"/>
          </w:tcPr>
          <w:p>
            <w:pPr>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Amount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color w:val="auto"/>
                <w:w w:val="96"/>
              </w:rPr>
              <w:t>Capital</w:t>
            </w:r>
          </w:p>
        </w:tc>
        <w:tc>
          <w:tcPr>
            <w:tcW w:w="8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w w:val="98"/>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39"/>
              <w:spacing w:after="0"/>
              <w:rPr>
                <w:sz w:val="20"/>
                <w:szCs w:val="20"/>
                <w:color w:val="auto"/>
              </w:rPr>
            </w:pPr>
            <w:r>
              <w:rPr>
                <w:rFonts w:ascii="Arial" w:cs="Arial" w:eastAsia="Arial" w:hAnsi="Arial"/>
                <w:sz w:val="16"/>
                <w:szCs w:val="16"/>
                <w:color w:val="auto"/>
              </w:rPr>
              <w:t>Deficit</w:t>
            </w:r>
          </w:p>
        </w:tc>
        <w:tc>
          <w:tcPr>
            <w:tcW w:w="16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Balances, December 31, 2020 (Audited)</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7,108,133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68,516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(44,280)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1,016</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(7,454)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(7,454)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Balances, September 30, 2021 (Unaudited)</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17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vMerge w:val="continue"/>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7,108,133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69,532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(51,734</w:t>
            </w:r>
          </w:p>
        </w:tc>
        <w:tc>
          <w:tcPr>
            <w:tcW w:w="320" w:type="dxa"/>
            <w:vAlign w:val="bottom"/>
            <w:vMerge w:val="continue"/>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17,870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7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Balances, June 30, 2021 (Unaudited)</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7,108,133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69,225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(49,179)</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20,118</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307</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(2,555)</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(2,555)</w:t>
            </w:r>
          </w:p>
        </w:tc>
        <w:tc>
          <w:tcPr>
            <w:tcW w:w="0" w:type="dxa"/>
            <w:vAlign w:val="bottom"/>
          </w:tcPr>
          <w:p>
            <w:pPr>
              <w:spacing w:after="0"/>
              <w:rPr>
                <w:sz w:val="1"/>
                <w:szCs w:val="1"/>
                <w:color w:val="auto"/>
              </w:rPr>
            </w:pPr>
          </w:p>
        </w:tc>
      </w:tr>
      <w:tr>
        <w:trPr>
          <w:trHeight w:val="30"/>
        </w:trPr>
        <w:tc>
          <w:tcPr>
            <w:tcW w:w="4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Balances, September 30, 2021 (Unaudited)</w:t>
            </w:r>
          </w:p>
        </w:tc>
        <w:tc>
          <w:tcPr>
            <w:tcW w:w="7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70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7,108,133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69,532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(51,734</w:t>
            </w: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Balances, December 31, 2019 (Audited)</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7,185,628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69,954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(3,375)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(35,111)</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6"/>
                <w:szCs w:val="16"/>
                <w:color w:val="auto"/>
              </w:rPr>
              <w:t>Exercise of options</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5,838</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Cancellation of treasury Common Stock</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(83,333)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(3,374)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1,468</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(6,532)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Balances, September 30, 2020 (Unaudited)</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17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vMerge w:val="continue"/>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7,108,133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68,047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(41,643</w:t>
            </w:r>
          </w:p>
        </w:tc>
        <w:tc>
          <w:tcPr>
            <w:tcW w:w="320" w:type="dxa"/>
            <w:vAlign w:val="bottom"/>
            <w:vMerge w:val="continue"/>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26,476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7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Balances, June 30, 2020 (Unaudited)</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7,103,260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67,489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(39,171)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559</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6"/>
                <w:szCs w:val="16"/>
                <w:color w:val="auto"/>
              </w:rPr>
              <w:t>Exercise of options</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4,873</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(2,472)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Balances, September 30, 2020 (Unaudited)</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179"/>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7,108,133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68,047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(41,643</w:t>
            </w:r>
          </w:p>
        </w:tc>
        <w:tc>
          <w:tcPr>
            <w:tcW w:w="320" w:type="dxa"/>
            <w:vAlign w:val="bottom"/>
            <w:vMerge w:val="continue"/>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8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8"/>
                <w:szCs w:val="18"/>
                <w:color w:val="auto"/>
              </w:rPr>
              <w:t>For the Nine Months Ended September 30,</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20" w:type="dxa"/>
            <w:vAlign w:val="bottom"/>
            <w:gridSpan w:val="4"/>
          </w:tcPr>
          <w:p>
            <w:pPr>
              <w:jc w:val="right"/>
              <w:ind w:right="1249"/>
              <w:spacing w:after="0"/>
              <w:rPr>
                <w:sz w:val="20"/>
                <w:szCs w:val="20"/>
                <w:color w:val="auto"/>
              </w:rPr>
            </w:pPr>
            <w:r>
              <w:rPr>
                <w:rFonts w:ascii="Arial" w:cs="Arial" w:eastAsia="Arial" w:hAnsi="Arial"/>
                <w:sz w:val="18"/>
                <w:szCs w:val="18"/>
                <w:color w:val="auto"/>
              </w:rPr>
              <w:t>Unaudited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loss</w:t>
            </w:r>
          </w:p>
        </w:tc>
        <w:tc>
          <w:tcPr>
            <w:tcW w:w="1960" w:type="dxa"/>
            <w:vAlign w:val="bottom"/>
            <w:gridSpan w:val="2"/>
          </w:tcPr>
          <w:p>
            <w:pPr>
              <w:jc w:val="right"/>
              <w:ind w:right="12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1"/>
              <w:spacing w:after="0"/>
              <w:rPr>
                <w:sz w:val="20"/>
                <w:szCs w:val="20"/>
                <w:color w:val="auto"/>
              </w:rPr>
            </w:pPr>
            <w:r>
              <w:rPr>
                <w:rFonts w:ascii="Arial" w:cs="Arial" w:eastAsia="Arial" w:hAnsi="Arial"/>
                <w:sz w:val="18"/>
                <w:szCs w:val="18"/>
                <w:color w:val="auto"/>
              </w:rPr>
              <w:t>(7,454)</w:t>
            </w:r>
          </w:p>
        </w:tc>
        <w:tc>
          <w:tcPr>
            <w:tcW w:w="1480" w:type="dxa"/>
            <w:vAlign w:val="bottom"/>
            <w:gridSpan w:val="2"/>
          </w:tcPr>
          <w:p>
            <w:pPr>
              <w:jc w:val="right"/>
              <w:ind w:right="1349"/>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to net cash flows from operating activities:</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and accrued interest</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5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flows from operating activities</w:t>
            </w:r>
          </w:p>
        </w:tc>
        <w:tc>
          <w:tcPr>
            <w:tcW w:w="50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(6,467</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gridSpan w:val="2"/>
          </w:tcPr>
          <w:p>
            <w:pPr>
              <w:jc w:val="right"/>
              <w:ind w:right="201"/>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convertible loan</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Proceeds from sales of investment</w:t>
            </w: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marketable security</w:t>
            </w:r>
          </w:p>
        </w:tc>
        <w:tc>
          <w:tcPr>
            <w:tcW w:w="5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investing activities</w:t>
            </w:r>
          </w:p>
        </w:tc>
        <w:tc>
          <w:tcPr>
            <w:tcW w:w="50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360"/>
              <w:spacing w:after="0"/>
              <w:rPr>
                <w:sz w:val="20"/>
                <w:szCs w:val="20"/>
                <w:color w:val="auto"/>
              </w:rPr>
            </w:pPr>
            <w:r>
              <w:rPr>
                <w:rFonts w:ascii="Arial" w:cs="Arial" w:eastAsia="Arial" w:hAnsi="Arial"/>
                <w:sz w:val="18"/>
                <w:szCs w:val="18"/>
                <w:color w:val="auto"/>
              </w:rPr>
              <w:t>Repayment of shareholders investment</w:t>
            </w:r>
          </w:p>
        </w:tc>
        <w:tc>
          <w:tcPr>
            <w:tcW w:w="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flows from financing activities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(6,222)</w:t>
            </w: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19,734</w:t>
            </w: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33,129</w:t>
            </w:r>
          </w:p>
        </w:tc>
        <w:tc>
          <w:tcPr>
            <w:tcW w:w="0" w:type="dxa"/>
            <w:vAlign w:val="bottom"/>
          </w:tcPr>
          <w:p>
            <w:pPr>
              <w:spacing w:after="0"/>
              <w:rPr>
                <w:sz w:val="1"/>
                <w:szCs w:val="1"/>
                <w:color w:val="auto"/>
              </w:rPr>
            </w:pPr>
          </w:p>
        </w:tc>
      </w:tr>
      <w:tr>
        <w:trPr>
          <w:trHeight w:val="23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end of period</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13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20" w:type="dxa"/>
            <w:vAlign w:val="bottom"/>
          </w:tcPr>
          <w:p>
            <w:pPr>
              <w:ind w:left="360"/>
              <w:spacing w:after="0"/>
              <w:rPr>
                <w:sz w:val="20"/>
                <w:szCs w:val="20"/>
                <w:color w:val="auto"/>
              </w:rPr>
            </w:pPr>
            <w:r>
              <w:rPr>
                <w:rFonts w:ascii="Arial" w:cs="Arial" w:eastAsia="Arial" w:hAnsi="Arial"/>
                <w:sz w:val="18"/>
                <w:szCs w:val="18"/>
                <w:color w:val="auto"/>
              </w:rPr>
              <w:t>Interest paid from litigation</w:t>
            </w:r>
          </w:p>
        </w:tc>
        <w:tc>
          <w:tcPr>
            <w:tcW w:w="1960" w:type="dxa"/>
            <w:vAlign w:val="bottom"/>
            <w:gridSpan w:val="2"/>
          </w:tcPr>
          <w:p>
            <w:pPr>
              <w:jc w:val="right"/>
              <w:ind w:right="12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349"/>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 received from interest</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ind w:right="127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ind w:right="13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360"/>
              <w:spacing w:after="0"/>
              <w:rPr>
                <w:sz w:val="20"/>
                <w:szCs w:val="20"/>
                <w:color w:val="auto"/>
              </w:rPr>
            </w:pPr>
            <w:r>
              <w:rPr>
                <w:rFonts w:ascii="Arial" w:cs="Arial" w:eastAsia="Arial" w:hAnsi="Arial"/>
                <w:sz w:val="18"/>
                <w:szCs w:val="18"/>
                <w:color w:val="auto"/>
              </w:rPr>
              <w:t>Right-of-use asset and lease liability</w:t>
            </w:r>
          </w:p>
        </w:tc>
        <w:tc>
          <w:tcPr>
            <w:tcW w:w="5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ind w:right="127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right"/>
              <w:ind w:right="13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subsidiaries are collectively referred to as the “Company”.</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Unaudited Interim Financial Statements: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Operating results for the three and nine-month periods ended September 30, 2021, are not necessarily indicative of the results that may be expected for the year ended December 31, 2021.</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September 30, 2021, the Company had unrestricted cash, cash equivalents and marketable securities balances of $18,427, which management believes are sufficient to fund its operations for more than 12 months from the date of issuance of these financial statements and sufficient to fund its operations necessary to continue development activities of its current proposed products.</w:t>
      </w:r>
    </w:p>
    <w:p>
      <w:pPr>
        <w:spacing w:after="0" w:line="187"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Due to continuing research and development activities, the Company expects to continue to incur additional losses for the foreseeable future. While management of the Company believes that it has sufficient funds for more than 12 months, the Company may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ind w:left="980"/>
        <w:spacing w:after="0" w:line="263" w:lineRule="auto"/>
        <w:rPr>
          <w:sz w:val="20"/>
          <w:szCs w:val="20"/>
          <w:color w:val="auto"/>
        </w:rPr>
      </w:pPr>
      <w:r>
        <w:rPr>
          <w:rFonts w:ascii="Arial" w:cs="Arial" w:eastAsia="Arial" w:hAnsi="Arial"/>
          <w:sz w:val="18"/>
          <w:szCs w:val="18"/>
          <w:color w:val="auto"/>
        </w:rPr>
        <w:t>An epidemic of the coronavirus disease (“COVID-19”) is ongoing throughout the world. As the outbreak is still evolving, much of its impact remains unknown. As of this filing, it is impossible to predict the effect and potential spread of the coronavirus disease globally. The coronavirus disease may cause significant delays and disruptions to our pre-clinical studies.</w:t>
      </w:r>
    </w:p>
    <w:p>
      <w:pPr>
        <w:spacing w:after="0" w:line="184"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Additionally, travel restrictions have been implemented with respect to certain countries in an effort to contain the coronavirus disease, and several countries have expanded screenings of travelers. As travel restrictions are increasingly implemented and extended to other countries,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our products.</w:t>
      </w:r>
    </w:p>
    <w:p>
      <w:pPr>
        <w:spacing w:after="0" w:line="164"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ultimate impact of the COVID-19 outbreaks or similar health epidemics are highly uncertain and subject to changes, and the Company cannot presently predict the scope and severity of any potential business shutdowns or disruptions. However, if the Company or any of the third parties with whom the Company’s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70"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9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in such measurements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7"/>
              </w:rPr>
              <w:t>As of September 30, 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Level 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8,587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Other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1,999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Bond</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4"/>
              </w:rPr>
              <w:t>4,999</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8" w:name="page9"/>
    <w:bookmarkEnd w:id="8"/>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8"/>
              </w:rPr>
              <w:t>As of December 31, 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Level 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Other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Bond</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loan investment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with early adoption permitted. The Company is currently evaluating the impact this guidance may have on its consolidated financial statements and related disclosures.</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December 2019, the FASB issued ASU 2019-12, “Simplifying the Accounting for Income Taxes” which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The ASU also is designed to improve financial statement preparers’ application of income tax-related guidance and simplify GAAP for (1) franchise taxes that are partially based on income,</w:t>
      </w:r>
    </w:p>
    <w:p>
      <w:pPr>
        <w:spacing w:after="0" w:line="2" w:lineRule="exact"/>
        <w:rPr>
          <w:sz w:val="20"/>
          <w:szCs w:val="20"/>
          <w:color w:val="auto"/>
        </w:rPr>
      </w:pPr>
    </w:p>
    <w:p>
      <w:pPr>
        <w:jc w:val="both"/>
        <w:spacing w:after="0" w:line="253"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a government that result in a step-up in the tax basis of goodwill, (3) separate financial statements of legal entities that are not subject to tax, and (4) enacted changes in tax laws in interim periods. The standard is effective for the Company on January 1, 2021 with early adoption permitted. The adoption of ASU 2019-12 on January 1, 2021 did not have a material impact on the Company’s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lease agreements with lease and non-lease components, which we account for as a single lease component. Variable lease payments based on an index or rate are initially measured using the index or rate in effect at the lease commencement and included in the measurement of the lease liability; thereafter, changes to lease payments due to rate or index updates are recorded as rent expense in the period incurred. The effect of short-term leases on our ROU assets and lease liabilities was not material. Our lease agreements do not contain any material residual value guarantees or material restrictive covenants. In addition, we do not have any related party leases and our sublease transactions are de minimis.</w:t>
      </w:r>
    </w:p>
    <w:p>
      <w:pPr>
        <w:spacing w:after="0" w:line="19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75" w:right="339" w:bottom="1440" w:gutter="0" w:footer="0" w:header="0"/>
        </w:sectPr>
      </w:pPr>
    </w:p>
    <w:bookmarkStart w:id="9" w:name="page10"/>
    <w:bookmarkEnd w:id="9"/>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39"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0999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17145"/>
                    </a:xfrm>
                    <a:prstGeom prst="rect">
                      <a:avLst/>
                    </a:prstGeom>
                    <a:noFill/>
                  </pic:spPr>
                </pic:pic>
              </a:graphicData>
            </a:graphic>
          </wp:anchor>
        </w:drawing>
      </w:r>
    </w:p>
    <w:p>
      <w:pPr>
        <w:spacing w:after="0" w:line="30" w:lineRule="exact"/>
        <w:rPr>
          <w:sz w:val="20"/>
          <w:szCs w:val="20"/>
          <w:color w:val="auto"/>
        </w:rPr>
      </w:pPr>
    </w:p>
    <w:p>
      <w:pPr>
        <w:ind w:left="7300"/>
        <w:spacing w:after="0"/>
        <w:tabs>
          <w:tab w:leader="none" w:pos="90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0999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99945" cy="17145"/>
                    </a:xfrm>
                    <a:prstGeom prst="rect">
                      <a:avLst/>
                    </a:prstGeom>
                    <a:noFill/>
                  </pic:spPr>
                </pic:pic>
              </a:graphicData>
            </a:graphic>
          </wp:anchor>
        </w:drawing>
      </w:r>
    </w:p>
    <w:p>
      <w:pPr>
        <w:spacing w:after="0" w:line="232" w:lineRule="exact"/>
        <w:rPr>
          <w:sz w:val="20"/>
          <w:szCs w:val="20"/>
          <w:color w:val="auto"/>
        </w:rPr>
      </w:pPr>
    </w:p>
    <w:p>
      <w:pPr>
        <w:ind w:left="1140"/>
        <w:spacing w:after="0"/>
        <w:tabs>
          <w:tab w:leader="none" w:pos="6700" w:val="left"/>
          <w:tab w:leader="none" w:pos="7960" w:val="left"/>
          <w:tab w:leader="none" w:pos="8480" w:val="left"/>
          <w:tab w:leader="none" w:pos="9740" w:val="left"/>
        </w:tabs>
        <w:rPr>
          <w:sz w:val="20"/>
          <w:szCs w:val="20"/>
          <w:color w:val="auto"/>
        </w:rPr>
      </w:pPr>
      <w:r>
        <w:rPr>
          <w:rFonts w:ascii="Arial" w:cs="Arial" w:eastAsia="Arial" w:hAnsi="Arial"/>
          <w:sz w:val="18"/>
          <w:szCs w:val="18"/>
          <w:color w:val="auto"/>
        </w:rPr>
        <w:t>Cash payments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233</w:t>
        <w:tab/>
        <w:t>$</w:t>
      </w:r>
      <w:r>
        <w:rPr>
          <w:sz w:val="20"/>
          <w:szCs w:val="20"/>
          <w:color w:val="auto"/>
        </w:rPr>
        <w:tab/>
      </w: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Undiscounted maturities of operating lease payments as of September 30, 2021 are summarized as follows:</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2021(Remainder of the year)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liability balance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Leases recorded on the balance sheet consist of the following:</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ind w:right="47"/>
              <w:spacing w:after="0"/>
              <w:rPr>
                <w:sz w:val="20"/>
                <w:szCs w:val="20"/>
                <w:color w:val="auto"/>
              </w:rPr>
            </w:pPr>
            <w:r>
              <w:rPr>
                <w:rFonts w:ascii="Arial" w:cs="Arial" w:eastAsia="Arial" w:hAnsi="Arial"/>
                <w:sz w:val="18"/>
                <w:szCs w:val="18"/>
                <w:color w:val="auto"/>
                <w:w w:val="97"/>
              </w:rPr>
              <w:t>As of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47"/>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2020</w:t>
            </w: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5460" w:type="dxa"/>
            <w:vAlign w:val="bottom"/>
            <w:gridSpan w:val="2"/>
          </w:tcPr>
          <w:p>
            <w:pPr>
              <w:ind w:left="180"/>
              <w:spacing w:after="0"/>
              <w:rPr>
                <w:sz w:val="20"/>
                <w:szCs w:val="20"/>
                <w:color w:val="auto"/>
              </w:rPr>
            </w:pPr>
            <w:r>
              <w:rPr>
                <w:rFonts w:ascii="Arial" w:cs="Arial" w:eastAsia="Arial" w:hAnsi="Arial"/>
                <w:sz w:val="18"/>
                <w:szCs w:val="18"/>
                <w:color w:val="auto"/>
              </w:rPr>
              <w:t>Operating lease right of use asset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685</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60" w:type="dxa"/>
            <w:vAlign w:val="bottom"/>
            <w:vMerge w:val="restart"/>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 current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54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Operating lease - non-current</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626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ind w:right="307"/>
              <w:spacing w:after="0"/>
              <w:rPr>
                <w:sz w:val="20"/>
                <w:szCs w:val="20"/>
                <w:color w:val="auto"/>
              </w:rPr>
            </w:pPr>
            <w:r>
              <w:rPr>
                <w:rFonts w:ascii="Arial" w:cs="Arial" w:eastAsia="Arial" w:hAnsi="Arial"/>
                <w:sz w:val="18"/>
                <w:szCs w:val="18"/>
                <w:color w:val="auto"/>
                <w:w w:val="92"/>
              </w:rPr>
              <w:t>As of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5"/>
          </w:tcPr>
          <w:p>
            <w:pPr>
              <w:jc w:val="center"/>
              <w:ind w:right="36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287"/>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8"/>
                <w:szCs w:val="18"/>
                <w:color w:val="auto"/>
                <w:w w:val="89"/>
              </w:rPr>
              <w:t>2020</w:t>
            </w: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weighted average remaining lease term (in years)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Operating leases weighted average discount 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5"/>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Microbot Israel has received grants from the Israeli Innovation Authority (“IIA”) for participation in research and development since 2013 through September 30, 2021 totaling approximately $1,500. In return, the Company is obligated to pay royalties amounting to 3.0%-3.5% of its future sales from commercialization of the funded research and development, up to the amount of the grants received.</w:t>
      </w:r>
    </w:p>
    <w:p>
      <w:pPr>
        <w:spacing w:after="0" w:line="165"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payment of royalties with respect to 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1.5%-3.0%) and on sublicense income as detailed in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25, 2018, Microbot delivered an Exercise Notice to CardioSert Ltd., notifying it that Microbot elected to exercise the option to acquire the Technology owned by CardioSert and therefore made an additional cash payment of $250 and 6,738 shares of common stock estimated at $74.</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(or approximately US$ 12.4, based on an exchange rate of NIS 3.229 to the dollar) covering up to 60 consulting hours per month.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par value $0.01 per share,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and sale of the shares pursuant to the ATM Agreement will terminate upon the earlier of (a) the issuance and sale of all of the shares of common stock subject to the ATM Agreement or (b) the termination of the ATM Agreement by Wainwright or the Company pursuant to the terms thereof. The Company has no obligation to sell any of the shares and may at any time suspend offers under the ATM Agreement or terminate the ATM Agreement.</w:t>
      </w:r>
    </w:p>
    <w:p>
      <w:pPr>
        <w:spacing w:after="0" w:line="18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11" w:name="page12"/>
    <w:bookmarkEnd w:id="11"/>
    <w:p>
      <w:pPr>
        <w:ind w:left="980"/>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ind w:left="980"/>
        <w:spacing w:after="0" w:line="287" w:lineRule="auto"/>
        <w:rPr>
          <w:sz w:val="20"/>
          <w:szCs w:val="20"/>
          <w:color w:val="auto"/>
        </w:rPr>
      </w:pPr>
      <w:r>
        <w:rPr>
          <w:rFonts w:ascii="Arial" w:cs="Arial" w:eastAsia="Arial" w:hAnsi="Arial"/>
          <w:sz w:val="16"/>
          <w:szCs w:val="16"/>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 The complaint seeks rescission of the SPA and return of the Plaintiffs’ $6,750 purchase price with respect to the Financing. The Company filed a Motion to Dismiss on March 16, 2020, which was denied by decision and order entered on February 17, 2021. At this time no estimation of the potential outcome of the litigation can be made.</w:t>
      </w:r>
    </w:p>
    <w:p>
      <w:pPr>
        <w:spacing w:after="0" w:line="168"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Company’s management is unable to assess the likelihood that it would be successful in any trial with respect to the SPA or the Financing, having previously lost the Sabby lawsuit. Accordingly, no assurance can be given that if the Company goes to trial and ultimately loses, or if the Company decides to settle at any time, such an adverse outcome would not be material to the Company’s consolidated financial position.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amount of profits was estimated in the complaint to be approximately $468.</w:t>
      </w:r>
    </w:p>
    <w:p>
      <w:pPr>
        <w:spacing w:after="0" w:line="171"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Several motions were filed during 2019 and 2020. On December 18, 2020, the Magistrate Judge issued a Report &amp; Recommendation, which recommended that: (i) judgment of $485 be entered in the Company’s favor on its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71"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March 30, 2021, the Court issued an Order adopting the Magistrate Judge’s Report &amp; Recommendation; and on March 31, 2021, the Clerk entered Judgement against Joseph Mona and in favor of the Company in the amount of $484. On April 27, 2021, Mona filed an appeal of the Court’s Judgment, which is pending before the U.S. Court of Appeals for the Second Circuit.</w:t>
      </w:r>
    </w:p>
    <w:p>
      <w:pPr>
        <w:spacing w:after="0" w:line="184" w:lineRule="exact"/>
        <w:rPr>
          <w:sz w:val="20"/>
          <w:szCs w:val="20"/>
          <w:color w:val="auto"/>
        </w:rPr>
      </w:pPr>
    </w:p>
    <w:p>
      <w:pPr>
        <w:jc w:val="both"/>
        <w:ind w:left="980" w:right="20"/>
        <w:spacing w:after="0" w:line="308" w:lineRule="auto"/>
        <w:rPr>
          <w:sz w:val="20"/>
          <w:szCs w:val="20"/>
          <w:color w:val="auto"/>
        </w:rPr>
      </w:pPr>
      <w:r>
        <w:rPr>
          <w:rFonts w:ascii="Arial" w:cs="Arial" w:eastAsia="Arial" w:hAnsi="Arial"/>
          <w:sz w:val="17"/>
          <w:szCs w:val="17"/>
          <w:color w:val="auto"/>
        </w:rPr>
        <w:t>On May 3, 2021, the Company obtained a writ of execution to enforce the Judgment against Mona, given Mona’s failure to post a bond or other security in the full amount of the Judgment pending the appeal as required by the Federal Rules of Civil Procedure.</w:t>
      </w:r>
    </w:p>
    <w:p>
      <w:pPr>
        <w:spacing w:after="0" w:line="146"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On May 7, 2021, the Company filed a motion to permit the registration of the Judgment in districts outside the Southern District of New York in which Mona may have assets available to satisfy he Judgment. In June 2021, the Magistrate issued an order permitting Mona to file an Amended Counterclaim Complaint, and rejected the Company’s request to execute on the Judgment. The Company filed a response to Mona’s amended counterclaim on July 21, 2021, and is pursuing a renewed motion to execute on the Judgment and dismiss the counterclaim in view of case deficiencies revealed during discovery.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As of September 30, 2021 and December 31, 2020, the Company had 7,108,133 shares of common stock issued and outstanding.</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1020"/>
        <w:spacing w:after="0" w:line="255" w:lineRule="auto"/>
        <w:rPr>
          <w:sz w:val="20"/>
          <w:szCs w:val="20"/>
          <w:color w:val="auto"/>
        </w:rPr>
      </w:pPr>
      <w:r>
        <w:rPr>
          <w:rFonts w:ascii="Arial" w:cs="Arial" w:eastAsia="Arial" w:hAnsi="Arial"/>
          <w:sz w:val="18"/>
          <w:szCs w:val="18"/>
          <w:color w:val="auto"/>
        </w:rPr>
        <w:t>During the nine months ended September 30, 2021, the Company granted to Mr. Harel Gadot, the Company’s Chairman of the Board, President and CEO, and certain employees and consultants and directors, options to purchase an aggregate of 396,426 shares of the Company’s common stock, at an exercise price per share of $6.72 - $8.48. The stock options vest over a period of 2 – 3 years as outlined in the option agreements evidencing such grants. As a result, the Company recognized compensation expenses for the nine months ended September 30, 2021 in the total amount of $503 included in general and administrative expenses and $59 included in research and development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2020.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2020.</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(including certain CardioSert assets), are comprised of proprietary innovative technologies. Using the ViRob platform, Microbot is currently developing the Self Cleaning Shunt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when used with its “One &amp; Done” capabilities, which would be based in part on the CardioSert platform or possibly other guidewire/microcatheter technologies.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CardioSert technology or possibly other guidewire/microcatheter technologies,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when integrated into the LIBERTY device, may drastically reduce procedure time and costs while enhancing the operator experience.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continuing our feasibility animal trials with respect to the LIBERTY device, and have updated our timeline so that we are expecting a design freeze in the fourth quarter of 2021, pre-submission to the FDA in the first quarter of 2022, clinical trials to commence in the second half of 2022, and submission to the FDA in the first half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and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Significant Judgments and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2021 and 2020</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nine-month periods ended September 30, 2021 and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w w:val="99"/>
              </w:rPr>
              <w:t>Three months ended</w:t>
            </w: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4"/>
              </w:rPr>
              <w:t>Increase/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18"/>
                <w:szCs w:val="18"/>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2"/>
              </w:rPr>
              <w:t>Increase/</w:t>
            </w: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(Decrease)</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0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2,397</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1,163</w:t>
            </w: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1,378</w:t>
            </w: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Microbot’s research and development expenses were approximately $1,389,000 and $3,897,000 for the three and</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2021, compared to approximately $1,037,000 and $2,397,000 for the same periods in 2020. The increase in research and development expenses for all periods presented was primarily due to increases in payroll due to new hires, as well as increases relating to professional services, materials and intellectual property with respect to the LIBERTY device. Microbot expects its research and development expenses to continue to increase over time as Microbot advances its development programs and begins pre-clinical and clinical trials for its product candidates.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were approximately $1,163,000 and $3,523,000 for the three and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compared to approximately $1,378,000 and $4,065,000 for the same periods in 2020. The decrease in general and administrative expenses for all periods presented was primarily due to decrease in bonuses paid to our chief executive officer and share based compensation expense offset by increases in salaries and related expenses, insurance costs and professional services. Microbot believes its general and administrative expenses may increase over time as it advances its programs, increases its headcount and operating activities and incurs expenses associated with being a public company.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Financing Expenses</w:t>
      </w:r>
      <w:r>
        <w:rPr>
          <w:rFonts w:ascii="Arial" w:cs="Arial" w:eastAsia="Arial" w:hAnsi="Arial"/>
          <w:sz w:val="18"/>
          <w:szCs w:val="18"/>
          <w:color w:val="auto"/>
        </w:rPr>
        <w:t>. Financing expenses were approximately $3,000 and $34,000 for the three and nine months ended September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$57,000 and $70,000 for the same periods in 2020. The decrease in financial expenses for all periods presented was primarily due to reduced interest expense that was incurred in 2020 as a result of the adverse outcome in our Sabby litigation, but is no longer being incurred in 2021 as the related liability was settled during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incurred losses since inception and negative cash flows from operating activities for all periods presented. As of September 30, 2021, Microbot had a net working capital of approximately $17,393,000, consisting primarily of cash and cash equivalents and marketable securities. This compares to net working capital of approximately $23,908,000 as of December 31, 2020. Microbot anticipates that it will continue to incur net losses for the foreseeable future as it continues research and development efforts of its product candidates, hires additional staff, including clinical, scientific, operational, financial and management personnel, and continues to incur costs associated with being a public company.</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Microbot has funded its operations through the issuance of capital stock, grants from the Israeli Innovation Authority, and convertible debt. Since inception (November 2010) through September 30, 2021, Microbot has raised net cash proceeds of approximately $54,770,000, and incurred a total cumulative loss of approximately $51,734,000. Microbot returned $3,375,000 (before interest) of such proceeds as a result of an adverse outcome in a litigation that concluded in the first quarter of 2020, and is now subject to an additional lawsuit seeking the return of an additional $6,750,000 of such proceeds.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September 30, 2021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believes that its net cash will be sufficient to fund its operations for at least 24 months and fund operations necessary to continue development activities of LIBERTY, the SCS and perhaps other product candidates. However, in the event we are unsuccessful in our current litigation with Empery and Hudson Bay, pursuant to which they are seeking the return of $6,750,000 in proceeds we received from them in a 2017 stock offering, we would have funds for less than 24 months.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its existing cash and possibly additional grants from the Israeli Innovation Authority. Microbot intends to also raise capital through future issuances of debt and/or equity securities, including its existing $10 million registered At-The-Market offering and other registered offerings under its existing Registration Statement on Form S-3 for up to $75 million of securities, which it may draw down from time to time. These issuances may be opportunistic and even if the Company has enough funds at such time for operations for more than 12-24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8"/>
                <w:szCs w:val="18"/>
                <w:b w:val="1"/>
                <w:bCs w:val="1"/>
                <w:color w:val="auto"/>
              </w:rPr>
              <w:t>Nine months ended September 30,</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2,238</w:t>
            </w:r>
          </w:p>
        </w:tc>
        <w:tc>
          <w:tcPr>
            <w:tcW w:w="80" w:type="dxa"/>
            <w:vAlign w:val="bottom"/>
          </w:tcPr>
          <w:p>
            <w:pPr>
              <w:spacing w:after="0"/>
              <w:rPr>
                <w:sz w:val="18"/>
                <w:szCs w:val="18"/>
                <w:color w:val="auto"/>
              </w:rPr>
            </w:pPr>
          </w:p>
        </w:tc>
      </w:tr>
      <w:tr>
        <w:trPr>
          <w:trHeight w:val="25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r>
      <w:tr>
        <w:trPr>
          <w:trHeight w:val="217"/>
        </w:trPr>
        <w:tc>
          <w:tcPr>
            <w:tcW w:w="5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Decrease in cash and cash equivalents and restricted cash</w:t>
            </w:r>
          </w:p>
        </w:tc>
        <w:tc>
          <w:tcPr>
            <w:tcW w:w="14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(6,222</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Months Ended September 30, 2021 and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from operating activities for the nine months ended September 30, 2021 were approximately $6,467,000, calculated by adjusting net loss from operations by approximately $987,000 to eliminate non-cash and expense items not involving cash flows such as depreciation and share based compensation expense, as well as other changes in current assets and liabilities resulting in non-cash adjustments in the consolidated statements of operations. Cash used in operating activities for the nine months ended September 30, 2020 was approximately $5,382,000, similarly adjusted by approximately $1,150,000.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flows from investing activities for the nine months ended September 30, 2021 was approximately $245,000 compared to approximately $2,238,000 for the nine months ended September 30, 2020, which consisted of proceeds from marketable securities of $2,521,000 offset by investing in a convertible loan in the amount of $200,000.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from financing activities for the nine months ended September 30, 2021 was $0 compared to approximately $3,375,000 for the nine months ended September 30, 2020, which consisted of the repayment of shareholders investments relating to the Sabby litigation.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September 30, 2021 and December 31, 2020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2021. Based on that review and evaluation, the Chief Executive Officer and Chief Financial Officer, along with the management of the Company, have determined that as of September 30, 2021,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filed a Motion to Dismiss on March 16, 2020, which Motion was denied in February 2021. At this time no estimation of the potential outcome of the litigation can be made, and management is unable to assess the likelihood that we will succeed at trial with respect to the SPA or the Financing, having previously lost another lawsuit with respect to the Financing.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6, 2020, we filed a motion for judgment on the pleadings with respect to our 16(b) claim against Mona, together with a motion to dismiss Mona’s 10(b) counterclaim.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17, 2020, the Court issued a Memorandum Decision &amp; Order that, among other things, granted Alliance’s summary judgment motion. Our Section 16(b) claim against Mona remained pending following the Court’s dismissal of the 16(b) claim against Alliance.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2020, the Magistrate Judge issued a Report &amp; Recommendation, which recommended that: (i) judgment of $484,614.30 be entered in our favor on our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30, 2021, the Court issued an Order adopting the Magistrate Judge’s Report &amp; Recommendation; and on March 31, 2021, the Clerk entered Judgement against Joseph Mona and in favor of Microbot in the amount of $484,614.30. On April 27, 2021, Mona filed an appeal of the Court’s Judgment, which is pending before the U.S. Court of Appeals for the Second Circuit.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3, 2021, Microbot obtained a writ of execution to enforce the Judgment against Mona, given Mona’s failure to post a bond or other security in the full amount of the Judgment pending the appeal as required by the Federal Rules of Civil Procedure. On May 7, 2021, Microbot filed a motion to permit the registration of the Judgment in districts outside the Southern District of New York in which Mona may have assets available to satisfy the Judgment.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2021, the Magistrate issued an order permitting Mona to file an Amended Counterclaim Complaint, and rejected our request to execute on the Judgment. We filed a response to Mona’s amended counterclaim on July 21, 2021, and are pursuing a renewed motion to execute on the Judgment and dismiss the counterclaim in view of case deficiencies revealed during discovery.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5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Certification of Harel Gadot, Chairman, President and Chief Executive Officer</w:t>
              </w:r>
            </w:hyperlink>
          </w:p>
        </w:tc>
        <w:tc>
          <w:tcPr>
            <w:tcW w:w="4660" w:type="dxa"/>
            <w:vAlign w:val="bottom"/>
            <w:gridSpan w:val="2"/>
          </w:tcPr>
          <w:p>
            <w:pPr>
              <w:spacing w:after="0"/>
              <w:rPr>
                <w:sz w:val="18"/>
                <w:szCs w:val="18"/>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320" w:type="dxa"/>
            <w:vAlign w:val="bottom"/>
            <w:gridSpan w:val="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Certification of David Ben Naim, Chief Financial Officer</w:t>
              </w:r>
            </w:hyperlink>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3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Certification of Harel Gadot, Chairman, President and Chief Executive Officer, pursuant to 18 U.S.C. Section 1350, as adopted pursuant to</w:t>
              </w:r>
            </w:hyperlink>
          </w:p>
        </w:tc>
      </w:tr>
      <w:tr>
        <w:trPr>
          <w:trHeight w:val="196"/>
        </w:trPr>
        <w:tc>
          <w:tcPr>
            <w:tcW w:w="920" w:type="dxa"/>
            <w:vAlign w:val="bottom"/>
          </w:tcPr>
          <w:p>
            <w:pPr>
              <w:spacing w:after="0"/>
              <w:rPr>
                <w:sz w:val="17"/>
                <w:szCs w:val="17"/>
                <w:color w:val="auto"/>
              </w:rPr>
            </w:pPr>
          </w:p>
        </w:tc>
        <w:tc>
          <w:tcPr>
            <w:tcW w:w="10320" w:type="dxa"/>
            <w:vAlign w:val="bottom"/>
            <w:gridSpan w:val="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Section 906 of the Sarbanes-Oxley Act of 2002</w:t>
              </w:r>
            </w:hyperlink>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320" w:type="dxa"/>
            <w:vAlign w:val="bottom"/>
            <w:gridSpan w:val="6"/>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Certification of David Ben Naim, Chief Financial Officer, pursuant to 18 U.S.C. Section 1350, as adopted pursuant to Section 906 of the</w:t>
              </w:r>
            </w:hyperlink>
          </w:p>
        </w:tc>
      </w:tr>
      <w:tr>
        <w:trPr>
          <w:trHeight w:val="196"/>
        </w:trPr>
        <w:tc>
          <w:tcPr>
            <w:tcW w:w="920" w:type="dxa"/>
            <w:vAlign w:val="bottom"/>
          </w:tcPr>
          <w:p>
            <w:pPr>
              <w:spacing w:after="0"/>
              <w:rPr>
                <w:sz w:val="17"/>
                <w:szCs w:val="17"/>
                <w:color w:val="auto"/>
              </w:rPr>
            </w:pPr>
          </w:p>
        </w:tc>
        <w:tc>
          <w:tcPr>
            <w:tcW w:w="10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Sarbanes-Oxley Act of 2002</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280" w:type="dxa"/>
            <w:vAlign w:val="bottom"/>
            <w:gridSpan w:val="5"/>
          </w:tcPr>
          <w:p>
            <w:pPr>
              <w:spacing w:after="0" w:line="20" w:lineRule="exact"/>
              <w:rPr>
                <w:sz w:val="1"/>
                <w:szCs w:val="1"/>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320" w:type="dxa"/>
            <w:vAlign w:val="bottom"/>
            <w:gridSpan w:val="6"/>
          </w:tcPr>
          <w:p>
            <w:pPr>
              <w:spacing w:after="0"/>
              <w:rPr>
                <w:sz w:val="20"/>
                <w:szCs w:val="20"/>
                <w:color w:val="auto"/>
              </w:rPr>
            </w:pPr>
            <w:r>
              <w:rPr>
                <w:rFonts w:ascii="Arial" w:cs="Arial" w:eastAsia="Arial" w:hAnsi="Arial"/>
                <w:sz w:val="18"/>
                <w:szCs w:val="18"/>
                <w:color w:val="auto"/>
                <w:w w:val="92"/>
              </w:rPr>
              <w:t>Inline XBRL Instance - The instance document does not appear in the Interactive Data File because its XBRL tags are embedded within the</w:t>
            </w:r>
          </w:p>
        </w:tc>
      </w:tr>
      <w:tr>
        <w:trPr>
          <w:trHeight w:val="216"/>
        </w:trPr>
        <w:tc>
          <w:tcPr>
            <w:tcW w:w="920" w:type="dxa"/>
            <w:vAlign w:val="bottom"/>
          </w:tcPr>
          <w:p>
            <w:pPr>
              <w:spacing w:after="0"/>
              <w:rPr>
                <w:sz w:val="18"/>
                <w:szCs w:val="18"/>
                <w:color w:val="auto"/>
              </w:rPr>
            </w:pPr>
          </w:p>
        </w:tc>
        <w:tc>
          <w:tcPr>
            <w:tcW w:w="10320" w:type="dxa"/>
            <w:vAlign w:val="bottom"/>
            <w:gridSpan w:val="6"/>
          </w:tcPr>
          <w:p>
            <w:pPr>
              <w:spacing w:after="0"/>
              <w:rPr>
                <w:sz w:val="20"/>
                <w:szCs w:val="20"/>
                <w:color w:val="auto"/>
              </w:rPr>
            </w:pPr>
            <w:r>
              <w:rPr>
                <w:rFonts w:ascii="Arial" w:cs="Arial" w:eastAsia="Arial" w:hAnsi="Arial"/>
                <w:sz w:val="18"/>
                <w:szCs w:val="18"/>
                <w:color w:val="auto"/>
              </w:rPr>
              <w:t>Inline XBRL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Labels.</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w:t>
            </w:r>
          </w:p>
        </w:tc>
      </w:tr>
    </w:tbl>
    <w:p>
      <w:pPr>
        <w:ind w:left="5540" w:right="3800" w:hanging="5532"/>
        <w:spacing w:after="0" w:line="511" w:lineRule="auto"/>
        <w:tabs>
          <w:tab w:leader="none" w:pos="91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2021.</w:t>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Ben Naim</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82"/>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88"/>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82"/>
        <w:spacing w:after="0" w:line="28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88"/>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82"/>
        <w:spacing w:after="0" w:line="274"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88"/>
        <w:spacing w:after="0" w:line="26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82"/>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88"/>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82"/>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88"/>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82"/>
        <w:spacing w:after="0" w:line="274"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88"/>
        <w:spacing w:after="0" w:line="26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2021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15, 2021</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September 30, 2021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15, 2021</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2021-11-15T07:49:05Z</dcterms:created>
  <dcterms:modified xsi:type="dcterms:W3CDTF">2021-11-15T07:49:05Z</dcterms:modified>
</cp:coreProperties>
</file>