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21,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21, 2025, Microbot Medical Inc. (the “Company”) issued an aggregate of 1,533,336 shares of its common stock, par value $0.01 per share (the “Shares”), upon the exercise of 783,336 outstanding Series F preferred investment options and 750,000 Series E preferred investment options (collectively, the “Options”), by the holders of the Options. The exercise price per share of the Options was $1.50, generating gross proceeds to the Company, before deducting placement agent fees and expenses, of approximately $2.3 million.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Shares were issued pursuant to the exemption provided in Section 4(a)(2) under the Securities Act of 1933, as amended, as transactions by an issuer not involving any public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23, 2025, the Company issued a press release announcing the addition of a Vice President of Marketing and of a Director, Human Resources.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Bolsters Commercial Leadership Team with the Addition of Experienced Healthcare Officers</w:t>
      </w:r>
    </w:p>
    <w:p>
      <w:pPr>
        <w:spacing w:after="0" w:line="13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The addition of a seasoned VP of Marketing compliments the recent hiring of the Company’s VP of Sales to establish its commercialization readiness infrastructure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Positive data from the recently published pivotal study raises confidence that LIBERTY</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will be well received in the market</w:t>
      </w:r>
    </w:p>
    <w:p>
      <w:pPr>
        <w:spacing w:after="0" w:line="14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Hingham, Mass., April 23, 2025 </w:t>
      </w:r>
      <w:r>
        <w:rPr>
          <w:rFonts w:ascii="Times New Roman" w:cs="Times New Roman" w:eastAsia="Times New Roman" w:hAnsi="Times New Roman"/>
          <w:sz w:val="18"/>
          <w:szCs w:val="18"/>
          <w:color w:val="auto"/>
        </w:rPr>
        <w:t>— Microbot Medical Inc. (Nasdaq: MBOT), developer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 System,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announced the addition of two senior officers that round out the Company’s U.S. commercial leadership team. Combined with the recent addition of Paul Mullen as Vice President of Sales, the Company is preparing for U.S. commercial launch in advance of the expected U.S. Food and Drug Administration’s (FDA) decision in the second quarter of 2025.</w:t>
      </w:r>
    </w:p>
    <w:p>
      <w:pPr>
        <w:spacing w:after="0" w:line="19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Allison Rosefort, a MedTech and healthcare marketing leader with a track record of successfully launching and managing product lifecycles, has joined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 Vice President of Marketing. In this newly created role, Mrs. Rosefort will report to Harel Gadot, CEO, President and Chairman, and is expected to work on the Company’s downstream marketing and brand management strategies.</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Ms. Rosefort is a results-oriented healthcare executive with over 15 years of marketing experience, and a successful track record of driving double-digit revenue growth. Her expertise leading cross-functional teams, developing data-driven strategies, and executing marketing plans is expected to be</w:t>
      </w:r>
    </w:p>
    <w:p>
      <w:pPr>
        <w:jc w:val="both"/>
        <w:spacing w:after="0" w:line="231" w:lineRule="auto"/>
        <w:rPr>
          <w:sz w:val="20"/>
          <w:szCs w:val="20"/>
          <w:color w:val="auto"/>
        </w:rPr>
      </w:pPr>
      <w:r>
        <w:rPr>
          <w:rFonts w:ascii="Times New Roman" w:cs="Times New Roman" w:eastAsia="Times New Roman" w:hAnsi="Times New Roman"/>
          <w:sz w:val="18"/>
          <w:szCs w:val="18"/>
          <w:color w:val="auto"/>
        </w:rPr>
        <w:t>invaluable as the Company commercializes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Prior to joining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Ms. Rosefort was Senior Director, Product Marketing &amp; Commercialization at Topcon Healthcare, a leading provider of digital healthcare solutions. In this role, she led the development and execution of comprehensive go-to-market strategies, including pricing, positioning, sales enablement, and marketing collateral, ensuring high-impact and seamless product launches. Prior to Topcon Healthcare, Ms. Rosefort held roles of increasing responsibilities at Integra LifeSciences, Byram Healthcare and ConvaTec, a Bristol Myers Squibb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Lisa Dobbins, an experienced and versatile human resources executive with hands-on MedTech experience, has joined Microbot Medical as Director, Human Resources, a newly created role reporting to Naama Moav, Vice President, Human Resources. Lisa will play an instrumental role as the Company continues to establish its commercial infrastructure and expands its U.S. commercial team.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Previously, she was the HR Business Partner, Global Operations and Quality (Boston and Mansfield, MA) for Integra LifeSciences, a global medical technology company. Additionally, Ms. Dobbins has worked for other cutting-edge medical technology companies, utilizing her experience to hire and build high-performing teams that execute long-term growth objectives.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additions of Allison and Lisa, along with the recent hiring of Paul, reflect our commitment to having an experienced commercial leadership team,” commented Harel Gadot. “Our goal has always been to be ready to launch LIBERTY immediately following FDA clearance, and I am confident that we have the talent and experience to successfully implement our commercial strategies.”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highlight w:val="white"/>
        </w:rPr>
        <w:t>LIBERTY</w:t>
      </w:r>
      <w:r>
        <w:rPr>
          <w:rFonts w:ascii="Times New Roman" w:cs="Times New Roman" w:eastAsia="Times New Roman" w:hAnsi="Times New Roman"/>
          <w:sz w:val="29"/>
          <w:szCs w:val="29"/>
          <w:color w:val="auto"/>
          <w:highlight w:val="white"/>
          <w:vertAlign w:val="superscript"/>
        </w:rPr>
        <w:t>®</w:t>
      </w:r>
      <w:r>
        <w:rPr>
          <w:rFonts w:ascii="Times New Roman" w:cs="Times New Roman" w:eastAsia="Times New Roman" w:hAnsi="Times New Roman"/>
          <w:sz w:val="18"/>
          <w:szCs w:val="18"/>
          <w:color w:val="auto"/>
          <w:highlight w:val="white"/>
        </w:rPr>
        <w:t xml:space="preserve"> is an investigational device pending FDA 510(k) clearance, and is currently not available for sale in the </w:t>
      </w:r>
      <w:r>
        <w:rPr>
          <w:rFonts w:ascii="Times New Roman" w:cs="Times New Roman" w:eastAsia="Times New Roman" w:hAnsi="Times New Roman"/>
          <w:sz w:val="18"/>
          <w:szCs w:val="18"/>
          <w:color w:val="auto"/>
        </w:rPr>
        <w:t>U.S.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r>
        <w:rPr>
          <w:rFonts w:ascii="Times New Roman" w:cs="Times New Roman" w:eastAsia="Times New Roman" w:hAnsi="Times New Roman"/>
          <w:sz w:val="29"/>
          <w:szCs w:val="29"/>
          <w:color w:val="auto"/>
          <w:vertAlign w:val="superscript"/>
        </w:rPr>
        <w:t>®</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pre-commercial stage medical technology company with a vision to redefine endovascular robotics and improve the quality of care for millions of patients and providers globally. The Company has developed the world’s first single-use, fully disposable endovascular robotic system, which aims to eliminate traditional barriers to accessing advanced robotic systems.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about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the Company’s need for and ability to obtain additional working capital to continue its transition to a</w:t>
      </w:r>
    </w:p>
    <w:p>
      <w:pPr>
        <w:spacing w:after="0" w:line="5"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commercially focused company, market conditions, risks inherent in the development and/or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uncertainty in the results of regulatory pathways and regulatory approvals, including whether the FDA will timely grant 510(k) clearance to</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commercially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in the United States if at all, uncertainty resulting from political, social and geopolitical conditions, particularly any changes in personnel or processes or procedures at the FDA and the recent announcement of tariffs on imports into the U.S., disruptions resulting from new and ongoing hostilities between Israel and the Palestinians and other neighboring countries, and maintenance of</w:t>
      </w:r>
    </w:p>
    <w:p>
      <w:pPr>
        <w:jc w:val="both"/>
        <w:spacing w:after="0" w:line="233" w:lineRule="auto"/>
        <w:rPr>
          <w:sz w:val="20"/>
          <w:szCs w:val="20"/>
          <w:color w:val="auto"/>
        </w:rPr>
      </w:pPr>
      <w:r>
        <w:rPr>
          <w:rFonts w:ascii="Times New Roman" w:cs="Times New Roman" w:eastAsia="Times New Roman" w:hAnsi="Times New Roman"/>
          <w:sz w:val="18"/>
          <w:szCs w:val="18"/>
          <w:color w:val="auto"/>
        </w:rPr>
        <w:t>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www.sec.gov.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 Contact: </w:t>
      </w: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2025-04-23T07:39:05Z</dcterms:created>
  <dcterms:modified xsi:type="dcterms:W3CDTF">2025-04-23T07:39:05Z</dcterms:modified>
</cp:coreProperties>
</file>