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7"/>
          <w:szCs w:val="17"/>
          <w:color w:val="auto"/>
        </w:rPr>
        <w:t>UNITED STATES</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QUARTERLY REPORT UNDER SECTION 13 OR 15(d) OF</w:t>
      </w:r>
    </w:p>
    <w:p>
      <w:pPr>
        <w:spacing w:after="0" w:line="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THE SECURITIES EXCHANGE ACT OF 1934</w:t>
      </w:r>
    </w:p>
    <w:p>
      <w:pPr>
        <w:sectPr>
          <w:pgSz w:w="11900" w:h="16838" w:orient="portrait"/>
          <w:cols w:equalWidth="0" w:num="1">
            <w:col w:w="10219"/>
          </w:cols>
          <w:pgMar w:left="240" w:top="8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March 31, 2000</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0-19871</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200" w:lineRule="exact"/>
        <w:rPr>
          <w:sz w:val="24"/>
          <w:szCs w:val="24"/>
          <w:color w:val="auto"/>
        </w:rPr>
      </w:pPr>
    </w:p>
    <w:p>
      <w:pPr>
        <w:sectPr>
          <w:pgSz w:w="11900" w:h="16838" w:orient="portrait"/>
          <w:cols w:equalWidth="0" w:num="2">
            <w:col w:w="3860" w:space="720"/>
            <w:col w:w="5639"/>
          </w:cols>
          <w:pgMar w:left="240" w:top="848" w:right="1440" w:bottom="1440" w:gutter="0" w:footer="0" w:header="0"/>
          <w:type w:val="continuous"/>
        </w:sectPr>
      </w:pPr>
    </w:p>
    <w:p>
      <w:pPr>
        <w:spacing w:after="0" w:line="207" w:lineRule="exact"/>
        <w:rPr>
          <w:sz w:val="24"/>
          <w:szCs w:val="24"/>
          <w:color w:val="auto"/>
        </w:rPr>
      </w:pPr>
    </w:p>
    <w:p>
      <w:pPr>
        <w:ind w:left="218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848" w:right="1440" w:bottom="1440" w:gutter="0" w:footer="0" w:header="0"/>
          <w:type w:val="continuous"/>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94-3078125</w:t>
      </w:r>
    </w:p>
    <w:p>
      <w:pPr>
        <w:spacing w:after="0" w:line="7"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4800" w:space="720"/>
            <w:col w:w="4699"/>
          </w:cols>
          <w:pgMar w:left="240" w:top="848" w:right="1440" w:bottom="1440" w:gutter="0" w:footer="0" w:header="0"/>
          <w:type w:val="continuous"/>
        </w:sectPr>
      </w:pP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525 DEL REY AVENUE SUITE C</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SUNNYVALE, CA 94086</w:t>
      </w:r>
    </w:p>
    <w:p>
      <w:pPr>
        <w:sectPr>
          <w:pgSz w:w="11900" w:h="16838" w:orient="portrait"/>
          <w:cols w:equalWidth="0" w:num="1">
            <w:col w:w="10219"/>
          </w:cols>
          <w:pgMar w:left="240" w:top="848" w:right="1440" w:bottom="1440" w:gutter="0" w:footer="0" w:header="0"/>
          <w:type w:val="continuous"/>
        </w:sectPr>
      </w:pP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207" w:lineRule="exact"/>
        <w:rPr>
          <w:sz w:val="24"/>
          <w:szCs w:val="24"/>
          <w:color w:val="auto"/>
        </w:rPr>
      </w:pPr>
    </w:p>
    <w:p>
      <w:pPr>
        <w:ind w:left="3640" w:hanging="621"/>
        <w:spacing w:after="0"/>
        <w:tabs>
          <w:tab w:leader="none" w:pos="36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731-8670</w:t>
      </w:r>
    </w:p>
    <w:p>
      <w:pPr>
        <w:spacing w:after="0" w:line="7" w:lineRule="exact"/>
        <w:rPr>
          <w:rFonts w:ascii="Courier New" w:cs="Courier New" w:eastAsia="Courier New" w:hAnsi="Courier New"/>
          <w:sz w:val="17"/>
          <w:szCs w:val="17"/>
          <w:color w:val="auto"/>
        </w:rPr>
      </w:pPr>
    </w:p>
    <w:p>
      <w:pPr>
        <w:ind w:left="3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7" w:lineRule="exact"/>
        <w:rPr>
          <w:sz w:val="24"/>
          <w:szCs w:val="24"/>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00" w:lineRule="exact"/>
        <w:rPr>
          <w:sz w:val="24"/>
          <w:szCs w:val="24"/>
          <w:color w:val="auto"/>
        </w:rPr>
      </w:pPr>
    </w:p>
    <w:p>
      <w:pPr>
        <w:spacing w:after="0"/>
        <w:tabs>
          <w:tab w:leader="none" w:pos="920" w:val="left"/>
          <w:tab w:leader="none" w:pos="1340" w:val="left"/>
        </w:tabs>
        <w:rPr>
          <w:sz w:val="20"/>
          <w:szCs w:val="20"/>
          <w:color w:val="auto"/>
        </w:rPr>
      </w:pPr>
      <w:r>
        <w:rPr>
          <w:rFonts w:ascii="Courier New" w:cs="Courier New" w:eastAsia="Courier New" w:hAnsi="Courier New"/>
          <w:sz w:val="17"/>
          <w:szCs w:val="17"/>
          <w:color w:val="auto"/>
        </w:rPr>
        <w:t>Yes |X|</w:t>
        <w:tab/>
        <w:t>No</w:t>
      </w:r>
      <w:r>
        <w:rPr>
          <w:sz w:val="20"/>
          <w:szCs w:val="20"/>
          <w:color w:val="auto"/>
        </w:rPr>
        <w:tab/>
      </w:r>
      <w:r>
        <w:rPr>
          <w:rFonts w:ascii="Courier New" w:cs="Courier New" w:eastAsia="Courier New" w:hAnsi="Courier New"/>
          <w:sz w:val="16"/>
          <w:szCs w:val="16"/>
          <w:color w:val="auto"/>
        </w:rPr>
        <w:t>|_|</w:t>
      </w:r>
    </w:p>
    <w:p>
      <w:pPr>
        <w:spacing w:after="0" w:line="207" w:lineRule="exact"/>
        <w:rPr>
          <w:sz w:val="24"/>
          <w:szCs w:val="24"/>
          <w:color w:val="auto"/>
        </w:rPr>
      </w:pPr>
    </w:p>
    <w:p>
      <w:pPr>
        <w:ind w:right="2419"/>
        <w:spacing w:after="0" w:line="250" w:lineRule="auto"/>
        <w:rPr>
          <w:sz w:val="20"/>
          <w:szCs w:val="20"/>
          <w:color w:val="auto"/>
        </w:rPr>
      </w:pPr>
      <w:r>
        <w:rPr>
          <w:rFonts w:ascii="Courier New" w:cs="Courier New" w:eastAsia="Courier New" w:hAnsi="Courier New"/>
          <w:sz w:val="17"/>
          <w:szCs w:val="17"/>
          <w:color w:val="auto"/>
        </w:rPr>
        <w:t>At April 30, 2000, there were 19,598,521 shares of Common Stock, $.01 par value, issued and outstanding. There were no issued and outstanding shares of Preferred Stock.</w:t>
      </w:r>
    </w:p>
    <w:p>
      <w:pPr>
        <w:spacing w:after="0" w:line="39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Page 1 of 13</w:t>
      </w:r>
    </w:p>
    <w:p>
      <w:pPr>
        <w:sectPr>
          <w:pgSz w:w="11900" w:h="16838" w:orient="portrait"/>
          <w:cols w:equalWidth="0" w:num="1">
            <w:col w:w="10219"/>
          </w:cols>
          <w:pgMar w:left="240" w:top="84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840" w:type="dxa"/>
            <w:vAlign w:val="bottom"/>
          </w:tcPr>
          <w:p>
            <w:pPr>
              <w:spacing w:after="0"/>
              <w:rPr>
                <w:sz w:val="16"/>
                <w:szCs w:val="16"/>
                <w:color w:val="auto"/>
              </w:rPr>
            </w:pPr>
          </w:p>
        </w:tc>
        <w:tc>
          <w:tcPr>
            <w:tcW w:w="5760" w:type="dxa"/>
            <w:vAlign w:val="bottom"/>
          </w:tcPr>
          <w:p>
            <w:pPr>
              <w:ind w:left="2180"/>
              <w:spacing w:after="0"/>
              <w:rPr>
                <w:sz w:val="20"/>
                <w:szCs w:val="20"/>
                <w:color w:val="auto"/>
              </w:rPr>
            </w:pPr>
            <w:r>
              <w:rPr>
                <w:rFonts w:ascii="Courier New" w:cs="Courier New" w:eastAsia="Courier New" w:hAnsi="Courier New"/>
                <w:sz w:val="17"/>
                <w:szCs w:val="17"/>
                <w:color w:val="auto"/>
              </w:rPr>
              <w:t>CYTOTHERAPEUTICS, INC.</w:t>
            </w:r>
          </w:p>
        </w:tc>
        <w:tc>
          <w:tcPr>
            <w:tcW w:w="1400" w:type="dxa"/>
            <w:vAlign w:val="bottom"/>
          </w:tcPr>
          <w:p>
            <w:pPr>
              <w:spacing w:after="0"/>
              <w:rPr>
                <w:sz w:val="16"/>
                <w:szCs w:val="16"/>
                <w:color w:val="auto"/>
              </w:rPr>
            </w:pPr>
          </w:p>
        </w:tc>
      </w:tr>
      <w:tr>
        <w:trPr>
          <w:trHeight w:val="400"/>
        </w:trPr>
        <w:tc>
          <w:tcPr>
            <w:tcW w:w="840" w:type="dxa"/>
            <w:vAlign w:val="bottom"/>
          </w:tcPr>
          <w:p>
            <w:pPr>
              <w:spacing w:after="0"/>
              <w:rPr>
                <w:sz w:val="24"/>
                <w:szCs w:val="24"/>
                <w:color w:val="auto"/>
              </w:rPr>
            </w:pPr>
          </w:p>
        </w:tc>
        <w:tc>
          <w:tcPr>
            <w:tcW w:w="5760" w:type="dxa"/>
            <w:vAlign w:val="bottom"/>
          </w:tcPr>
          <w:p>
            <w:pPr>
              <w:ind w:left="3020"/>
              <w:spacing w:after="0"/>
              <w:rPr>
                <w:sz w:val="20"/>
                <w:szCs w:val="20"/>
                <w:color w:val="auto"/>
              </w:rPr>
            </w:pPr>
            <w:r>
              <w:rPr>
                <w:rFonts w:ascii="Courier New" w:cs="Courier New" w:eastAsia="Courier New" w:hAnsi="Courier New"/>
                <w:sz w:val="17"/>
                <w:szCs w:val="17"/>
                <w:color w:val="auto"/>
              </w:rPr>
              <w:t>INDEX</w:t>
            </w:r>
          </w:p>
        </w:tc>
        <w:tc>
          <w:tcPr>
            <w:tcW w:w="1400" w:type="dxa"/>
            <w:vAlign w:val="bottom"/>
          </w:tcPr>
          <w:p>
            <w:pPr>
              <w:spacing w:after="0"/>
              <w:rPr>
                <w:sz w:val="24"/>
                <w:szCs w:val="24"/>
                <w:color w:val="auto"/>
              </w:rPr>
            </w:pPr>
          </w:p>
        </w:tc>
      </w:tr>
      <w:tr>
        <w:trPr>
          <w:trHeight w:val="400"/>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Page Number</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w:t>
            </w:r>
          </w:p>
        </w:tc>
      </w:tr>
      <w:tr>
        <w:trPr>
          <w:trHeight w:val="400"/>
        </w:trPr>
        <w:tc>
          <w:tcPr>
            <w:tcW w:w="84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Balance Sheets (unaudited)</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w:t>
            </w: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March 31, 2000 and December 31, 1999</w:t>
            </w:r>
          </w:p>
        </w:tc>
        <w:tc>
          <w:tcPr>
            <w:tcW w:w="1400" w:type="dxa"/>
            <w:vAlign w:val="bottom"/>
          </w:tcPr>
          <w:p>
            <w:pPr>
              <w:spacing w:after="0"/>
              <w:rPr>
                <w:sz w:val="17"/>
                <w:szCs w:val="17"/>
                <w:color w:val="auto"/>
              </w:rPr>
            </w:pPr>
          </w:p>
        </w:tc>
      </w:tr>
      <w:tr>
        <w:trPr>
          <w:trHeight w:val="400"/>
        </w:trPr>
        <w:tc>
          <w:tcPr>
            <w:tcW w:w="84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Operations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w:t>
            </w: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(unaudited) Three months ended March 31, 2000</w:t>
            </w:r>
          </w:p>
        </w:tc>
        <w:tc>
          <w:tcPr>
            <w:tcW w:w="1400" w:type="dxa"/>
            <w:vAlign w:val="bottom"/>
          </w:tcPr>
          <w:p>
            <w:pPr>
              <w:spacing w:after="0"/>
              <w:rPr>
                <w:sz w:val="17"/>
                <w:szCs w:val="17"/>
                <w:color w:val="auto"/>
              </w:rPr>
            </w:pP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and 1999</w:t>
            </w:r>
          </w:p>
        </w:tc>
        <w:tc>
          <w:tcPr>
            <w:tcW w:w="1400" w:type="dxa"/>
            <w:vAlign w:val="bottom"/>
          </w:tcPr>
          <w:p>
            <w:pPr>
              <w:spacing w:after="0"/>
              <w:rPr>
                <w:sz w:val="17"/>
                <w:szCs w:val="17"/>
                <w:color w:val="auto"/>
              </w:rPr>
            </w:pPr>
          </w:p>
        </w:tc>
      </w:tr>
      <w:tr>
        <w:trPr>
          <w:trHeight w:val="400"/>
        </w:trPr>
        <w:tc>
          <w:tcPr>
            <w:tcW w:w="84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Cash Flows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w:t>
            </w: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(unaudited) Three months ended March 31, 2000</w:t>
            </w:r>
          </w:p>
        </w:tc>
        <w:tc>
          <w:tcPr>
            <w:tcW w:w="1400" w:type="dxa"/>
            <w:vAlign w:val="bottom"/>
          </w:tcPr>
          <w:p>
            <w:pPr>
              <w:spacing w:after="0"/>
              <w:rPr>
                <w:sz w:val="17"/>
                <w:szCs w:val="17"/>
                <w:color w:val="auto"/>
              </w:rPr>
            </w:pP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and 1999</w:t>
            </w:r>
          </w:p>
        </w:tc>
        <w:tc>
          <w:tcPr>
            <w:tcW w:w="1400" w:type="dxa"/>
            <w:vAlign w:val="bottom"/>
          </w:tcPr>
          <w:p>
            <w:pPr>
              <w:spacing w:after="0"/>
              <w:rPr>
                <w:sz w:val="17"/>
                <w:szCs w:val="17"/>
                <w:color w:val="auto"/>
              </w:rPr>
            </w:pPr>
          </w:p>
        </w:tc>
      </w:tr>
      <w:tr>
        <w:trPr>
          <w:trHeight w:val="400"/>
        </w:trPr>
        <w:tc>
          <w:tcPr>
            <w:tcW w:w="84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Notes to Condensed Consolidated Financial Statements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w:t>
            </w: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(unaudited)</w:t>
            </w:r>
          </w:p>
        </w:tc>
        <w:tc>
          <w:tcPr>
            <w:tcW w:w="1400" w:type="dxa"/>
            <w:vAlign w:val="bottom"/>
          </w:tcPr>
          <w:p>
            <w:pPr>
              <w:spacing w:after="0"/>
              <w:rPr>
                <w:sz w:val="17"/>
                <w:szCs w:val="17"/>
                <w:color w:val="auto"/>
              </w:rPr>
            </w:pP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w:t>
            </w:r>
          </w:p>
        </w:tc>
      </w:tr>
      <w:tr>
        <w:trPr>
          <w:trHeight w:val="200"/>
        </w:trPr>
        <w:tc>
          <w:tcPr>
            <w:tcW w:w="840" w:type="dxa"/>
            <w:vAlign w:val="bottom"/>
          </w:tcPr>
          <w:p>
            <w:pPr>
              <w:spacing w:after="0"/>
              <w:rPr>
                <w:sz w:val="17"/>
                <w:szCs w:val="17"/>
                <w:color w:val="auto"/>
              </w:rPr>
            </w:pP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Condition and Results of Operations</w:t>
            </w:r>
          </w:p>
        </w:tc>
        <w:tc>
          <w:tcPr>
            <w:tcW w:w="1400" w:type="dxa"/>
            <w:vAlign w:val="bottom"/>
          </w:tcPr>
          <w:p>
            <w:pPr>
              <w:spacing w:after="0"/>
              <w:rPr>
                <w:sz w:val="17"/>
                <w:szCs w:val="17"/>
                <w:color w:val="auto"/>
              </w:rPr>
            </w:pPr>
          </w:p>
        </w:tc>
      </w:tr>
      <w:tr>
        <w:trPr>
          <w:trHeight w:val="599"/>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w:t>
            </w:r>
          </w:p>
        </w:tc>
      </w:tr>
      <w:tr>
        <w:trPr>
          <w:trHeight w:val="400"/>
        </w:trPr>
        <w:tc>
          <w:tcPr>
            <w:tcW w:w="8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w:t>
            </w:r>
          </w:p>
        </w:tc>
      </w:tr>
      <w:tr>
        <w:trPr>
          <w:trHeight w:val="400"/>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Page 2 of 13</w:t>
      </w:r>
    </w:p>
    <w:p>
      <w:pPr>
        <w:sectPr>
          <w:pgSz w:w="11900" w:h="16838" w:orient="portrait"/>
          <w:cols w:equalWidth="0" w:num="1">
            <w:col w:w="10219"/>
          </w:cols>
          <w:pgMar w:left="240" w:top="9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1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March 31, 2000</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December 31, 1999</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(unaudited)</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(footnote 1)</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1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$ 4,502,209</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4,760,064</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Technology sale receivable</w:t>
            </w:r>
          </w:p>
        </w:tc>
        <w:tc>
          <w:tcPr>
            <w:tcW w:w="2120" w:type="dxa"/>
            <w:vAlign w:val="bottom"/>
          </w:tcPr>
          <w:p>
            <w:pPr>
              <w:spacing w:after="0"/>
              <w:rPr>
                <w:sz w:val="17"/>
                <w:szCs w:val="17"/>
                <w:color w:val="auto"/>
              </w:rPr>
            </w:pP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3,000,000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Other current assets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898,427</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1,210,791</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640"/>
              <w:spacing w:after="0"/>
              <w:rPr>
                <w:sz w:val="20"/>
                <w:szCs w:val="20"/>
                <w:color w:val="auto"/>
              </w:rPr>
            </w:pPr>
            <w:r>
              <w:rPr>
                <w:rFonts w:ascii="Courier New" w:cs="Courier New" w:eastAsia="Courier New" w:hAnsi="Courier New"/>
                <w:sz w:val="17"/>
                <w:szCs w:val="17"/>
                <w:color w:val="auto"/>
              </w:rPr>
              <w:t>Total current assets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5,400,636</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8,970,855</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5,150,670</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5,251,376</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1,013,298</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1,108,768</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771,272</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750,000</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ind w:left="640"/>
              <w:spacing w:after="0"/>
              <w:rPr>
                <w:sz w:val="20"/>
                <w:szCs w:val="20"/>
                <w:color w:val="auto"/>
              </w:rPr>
            </w:pPr>
            <w:r>
              <w:rPr>
                <w:rFonts w:ascii="Courier New" w:cs="Courier New" w:eastAsia="Courier New" w:hAnsi="Courier New"/>
                <w:sz w:val="17"/>
                <w:szCs w:val="17"/>
                <w:color w:val="auto"/>
              </w:rPr>
              <w:t>Total assets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$12,335,876</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$ 16,080,999</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1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$ 122,274</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$ 631,315</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expenses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1,107,829</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2,859,443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Other accrued expenses</w:t>
            </w:r>
          </w:p>
        </w:tc>
        <w:tc>
          <w:tcPr>
            <w:tcW w:w="2120" w:type="dxa"/>
            <w:vAlign w:val="bottom"/>
          </w:tcPr>
          <w:p>
            <w:pPr>
              <w:spacing w:after="0"/>
              <w:rPr>
                <w:sz w:val="17"/>
                <w:szCs w:val="17"/>
                <w:color w:val="auto"/>
              </w:rPr>
            </w:pP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45,625</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Current maturities of capitalized lease obligations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326,250</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324,167</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1,556,353</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3,860,550</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Capitalized lease obligations, less current maturities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2,855,000</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2,937,083</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Deposits</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26,000</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26,000</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Deferred rent</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541,460</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502,353</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Redeemable stock</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5,248,610</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Common stock</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194,398</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186,355</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 in capital</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129,510,883</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123,917,758</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Deferred compensation</w:t>
            </w:r>
          </w:p>
        </w:tc>
        <w:tc>
          <w:tcPr>
            <w:tcW w:w="21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(1,181,250)</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(1,225,000)</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Accumulated deficit</w:t>
            </w:r>
          </w:p>
        </w:tc>
        <w:tc>
          <w:tcPr>
            <w:tcW w:w="21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(121,166,968)</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(119,372,710)</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stockholders' equity</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7,358,602</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3,506,403</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$12,335,876</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$ 16,080,999</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spacing w:after="0"/>
              <w:rPr>
                <w:sz w:val="17"/>
                <w:szCs w:val="17"/>
                <w:color w:val="auto"/>
              </w:rPr>
            </w:pPr>
          </w:p>
        </w:tc>
        <w:tc>
          <w:tcPr>
            <w:tcW w:w="21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Page 3 of 13</w:t>
      </w:r>
    </w:p>
    <w:p>
      <w:pPr>
        <w:sectPr>
          <w:pgSz w:w="11900" w:h="16838" w:orient="portrait"/>
          <w:cols w:equalWidth="0" w:num="1">
            <w:col w:w="10219"/>
          </w:cols>
          <w:pgMar w:left="240" w:top="9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580" w:type="dxa"/>
            <w:vAlign w:val="bottom"/>
          </w:tcPr>
          <w:p>
            <w:pPr>
              <w:spacing w:after="0"/>
              <w:rPr>
                <w:sz w:val="16"/>
                <w:szCs w:val="16"/>
                <w:color w:val="auto"/>
              </w:rPr>
            </w:pPr>
          </w:p>
        </w:tc>
        <w:tc>
          <w:tcPr>
            <w:tcW w:w="34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4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March 31,</w:t>
            </w:r>
          </w:p>
        </w:tc>
      </w:tr>
      <w:tr>
        <w:trPr>
          <w:trHeight w:val="200"/>
        </w:trPr>
        <w:tc>
          <w:tcPr>
            <w:tcW w:w="4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2000</w:t>
            </w:r>
          </w:p>
        </w:tc>
        <w:tc>
          <w:tcPr>
            <w:tcW w:w="22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1999</w:t>
            </w:r>
          </w:p>
        </w:tc>
      </w:tr>
      <w:tr>
        <w:trPr>
          <w:trHeight w:val="200"/>
        </w:trPr>
        <w:tc>
          <w:tcPr>
            <w:tcW w:w="4620" w:type="dxa"/>
            <w:vAlign w:val="bottom"/>
          </w:tcPr>
          <w:p>
            <w:pPr>
              <w:spacing w:after="0"/>
              <w:rPr>
                <w:sz w:val="17"/>
                <w:szCs w:val="17"/>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Revenue from collaborative arrangements</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2,501,035</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0"/>
        </w:trPr>
        <w:tc>
          <w:tcPr>
            <w:tcW w:w="4620" w:type="dxa"/>
            <w:vAlign w:val="bottom"/>
          </w:tcPr>
          <w:p>
            <w:pPr>
              <w:ind w:left="520"/>
              <w:spacing w:after="0"/>
              <w:rPr>
                <w:sz w:val="20"/>
                <w:szCs w:val="20"/>
                <w:color w:val="auto"/>
              </w:rPr>
            </w:pPr>
            <w:r>
              <w:rPr>
                <w:rFonts w:ascii="Courier New" w:cs="Courier New" w:eastAsia="Courier New" w:hAnsi="Courier New"/>
                <w:sz w:val="17"/>
                <w:szCs w:val="17"/>
                <w:color w:val="auto"/>
              </w:rPr>
              <w:t>Research and development</w:t>
            </w:r>
          </w:p>
        </w:tc>
        <w:tc>
          <w:tcPr>
            <w:tcW w:w="580" w:type="dxa"/>
            <w:vAlign w:val="bottom"/>
          </w:tcPr>
          <w:p>
            <w:pPr>
              <w:spacing w:after="0"/>
              <w:rPr>
                <w:sz w:val="24"/>
                <w:szCs w:val="24"/>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786,139</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3,566,557</w:t>
            </w:r>
          </w:p>
        </w:tc>
      </w:tr>
      <w:tr>
        <w:trPr>
          <w:trHeight w:val="200"/>
        </w:trPr>
        <w:tc>
          <w:tcPr>
            <w:tcW w:w="4620" w:type="dxa"/>
            <w:vAlign w:val="bottom"/>
          </w:tcPr>
          <w:p>
            <w:pPr>
              <w:ind w:left="520"/>
              <w:spacing w:after="0"/>
              <w:rPr>
                <w:sz w:val="20"/>
                <w:szCs w:val="20"/>
                <w:color w:val="auto"/>
              </w:rPr>
            </w:pPr>
            <w:r>
              <w:rPr>
                <w:rFonts w:ascii="Courier New" w:cs="Courier New" w:eastAsia="Courier New" w:hAnsi="Courier New"/>
                <w:sz w:val="17"/>
                <w:szCs w:val="17"/>
                <w:color w:val="auto"/>
              </w:rPr>
              <w:t>General and administrative</w:t>
            </w:r>
          </w:p>
        </w:tc>
        <w:tc>
          <w:tcPr>
            <w:tcW w:w="58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1,012,593</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995,459</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1,798,732</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4,562,016</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17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(1,798,732)</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(2,060,981)</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0"/>
        </w:trPr>
        <w:tc>
          <w:tcPr>
            <w:tcW w:w="4620" w:type="dxa"/>
            <w:vAlign w:val="bottom"/>
          </w:tcPr>
          <w:p>
            <w:pPr>
              <w:ind w:left="520"/>
              <w:spacing w:after="0"/>
              <w:rPr>
                <w:sz w:val="20"/>
                <w:szCs w:val="20"/>
                <w:color w:val="auto"/>
              </w:rPr>
            </w:pPr>
            <w:r>
              <w:rPr>
                <w:rFonts w:ascii="Courier New" w:cs="Courier New" w:eastAsia="Courier New" w:hAnsi="Courier New"/>
                <w:sz w:val="17"/>
                <w:szCs w:val="17"/>
                <w:color w:val="auto"/>
              </w:rPr>
              <w:t>Investment income</w:t>
            </w:r>
          </w:p>
        </w:tc>
        <w:tc>
          <w:tcPr>
            <w:tcW w:w="58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73,332</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222,111</w:t>
            </w:r>
          </w:p>
        </w:tc>
      </w:tr>
      <w:tr>
        <w:trPr>
          <w:trHeight w:val="200"/>
        </w:trPr>
        <w:tc>
          <w:tcPr>
            <w:tcW w:w="4620" w:type="dxa"/>
            <w:vAlign w:val="bottom"/>
          </w:tcPr>
          <w:p>
            <w:pPr>
              <w:ind w:left="520"/>
              <w:spacing w:after="0"/>
              <w:rPr>
                <w:sz w:val="20"/>
                <w:szCs w:val="20"/>
                <w:color w:val="auto"/>
              </w:rPr>
            </w:pPr>
            <w:r>
              <w:rPr>
                <w:rFonts w:ascii="Courier New" w:cs="Courier New" w:eastAsia="Courier New" w:hAnsi="Courier New"/>
                <w:sz w:val="17"/>
                <w:szCs w:val="17"/>
                <w:color w:val="auto"/>
              </w:rPr>
              <w:t>Interest expense</w:t>
            </w:r>
          </w:p>
        </w:tc>
        <w:tc>
          <w:tcPr>
            <w:tcW w:w="58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(68,858)</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(93,825)</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4,474</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128,286</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7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($ 1,794,258)</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($ 1,932,695)</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Basic and diluted net loss per share</w:t>
            </w:r>
          </w:p>
        </w:tc>
        <w:tc>
          <w:tcPr>
            <w:tcW w:w="58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($0.09)</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($ 0.10)</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620" w:type="dxa"/>
            <w:vAlign w:val="bottom"/>
          </w:tcPr>
          <w:p>
            <w:pPr>
              <w:spacing w:after="0"/>
              <w:rPr>
                <w:sz w:val="20"/>
                <w:szCs w:val="20"/>
                <w:color w:val="auto"/>
              </w:rPr>
            </w:pPr>
            <w:r>
              <w:rPr>
                <w:rFonts w:ascii="Courier New" w:cs="Courier New" w:eastAsia="Courier New" w:hAnsi="Courier New"/>
                <w:sz w:val="17"/>
                <w:szCs w:val="17"/>
                <w:color w:val="auto"/>
              </w:rPr>
              <w:t>Shares used in computing basic and diluted</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0"/>
        </w:trPr>
        <w:tc>
          <w:tcPr>
            <w:tcW w:w="4620" w:type="dxa"/>
            <w:vAlign w:val="bottom"/>
          </w:tcPr>
          <w:p>
            <w:pPr>
              <w:ind w:left="940"/>
              <w:spacing w:after="0"/>
              <w:rPr>
                <w:sz w:val="20"/>
                <w:szCs w:val="20"/>
                <w:color w:val="auto"/>
              </w:rPr>
            </w:pPr>
            <w:r>
              <w:rPr>
                <w:rFonts w:ascii="Courier New" w:cs="Courier New" w:eastAsia="Courier New" w:hAnsi="Courier New"/>
                <w:sz w:val="17"/>
                <w:szCs w:val="17"/>
                <w:color w:val="auto"/>
              </w:rPr>
              <w:t>net loss per share</w:t>
            </w: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19,329,517</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18,452,297</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620" w:type="dxa"/>
            <w:vAlign w:val="bottom"/>
          </w:tcPr>
          <w:p>
            <w:pPr>
              <w:spacing w:after="0"/>
              <w:rPr>
                <w:sz w:val="17"/>
                <w:szCs w:val="17"/>
                <w:color w:val="auto"/>
              </w:rPr>
            </w:pPr>
          </w:p>
        </w:tc>
        <w:tc>
          <w:tcPr>
            <w:tcW w:w="17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Page 4 of 13</w:t>
      </w:r>
    </w:p>
    <w:p>
      <w:pPr>
        <w:sectPr>
          <w:pgSz w:w="11900" w:h="16838" w:orient="portrait"/>
          <w:cols w:equalWidth="0" w:num="1">
            <w:col w:w="10219"/>
          </w:cols>
          <w:pgMar w:left="240" w:top="9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2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4300" w:type="dxa"/>
            <w:vAlign w:val="bottom"/>
            <w:gridSpan w:val="2"/>
          </w:tcPr>
          <w:p>
            <w:pPr>
              <w:jc w:val="right"/>
              <w:ind w:right="95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682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March 31,</w:t>
            </w:r>
          </w:p>
        </w:tc>
        <w:tc>
          <w:tcPr>
            <w:tcW w:w="1460" w:type="dxa"/>
            <w:vAlign w:val="bottom"/>
          </w:tcPr>
          <w:p>
            <w:pPr>
              <w:spacing w:after="0"/>
              <w:rPr>
                <w:sz w:val="17"/>
                <w:szCs w:val="17"/>
                <w:color w:val="auto"/>
              </w:rPr>
            </w:pPr>
          </w:p>
        </w:tc>
      </w:tr>
      <w:tr>
        <w:trPr>
          <w:trHeight w:val="200"/>
        </w:trPr>
        <w:tc>
          <w:tcPr>
            <w:tcW w:w="6820" w:type="dxa"/>
            <w:vAlign w:val="bottom"/>
          </w:tcPr>
          <w:p>
            <w:pPr>
              <w:spacing w:after="0"/>
              <w:rPr>
                <w:sz w:val="17"/>
                <w:szCs w:val="17"/>
                <w:color w:val="auto"/>
              </w:rPr>
            </w:pPr>
          </w:p>
        </w:tc>
        <w:tc>
          <w:tcPr>
            <w:tcW w:w="284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2000</w:t>
            </w: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1999</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Net loss</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($1,794,258)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($1,932,695)</w:t>
            </w: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Adjustments to reconcile net loss to net cash used for</w:t>
            </w:r>
          </w:p>
        </w:tc>
        <w:tc>
          <w:tcPr>
            <w:tcW w:w="28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operating activities:</w:t>
            </w:r>
          </w:p>
        </w:tc>
        <w:tc>
          <w:tcPr>
            <w:tcW w:w="28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0"/>
        </w:trPr>
        <w:tc>
          <w:tcPr>
            <w:tcW w:w="6820" w:type="dxa"/>
            <w:vAlign w:val="bottom"/>
          </w:tcPr>
          <w:p>
            <w:pPr>
              <w:ind w:left="640"/>
              <w:spacing w:after="0"/>
              <w:rPr>
                <w:sz w:val="20"/>
                <w:szCs w:val="20"/>
                <w:color w:val="auto"/>
              </w:rPr>
            </w:pPr>
            <w:r>
              <w:rPr>
                <w:rFonts w:ascii="Courier New" w:cs="Courier New" w:eastAsia="Courier New" w:hAnsi="Courier New"/>
                <w:sz w:val="17"/>
                <w:szCs w:val="17"/>
                <w:color w:val="auto"/>
              </w:rPr>
              <w:t>Depreciation and amortization</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204,449</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580,556</w:t>
            </w:r>
          </w:p>
        </w:tc>
      </w:tr>
      <w:tr>
        <w:trPr>
          <w:trHeight w:val="200"/>
        </w:trPr>
        <w:tc>
          <w:tcPr>
            <w:tcW w:w="6820" w:type="dxa"/>
            <w:vAlign w:val="bottom"/>
          </w:tcPr>
          <w:p>
            <w:pPr>
              <w:ind w:left="640"/>
              <w:spacing w:after="0"/>
              <w:rPr>
                <w:sz w:val="20"/>
                <w:szCs w:val="20"/>
                <w:color w:val="auto"/>
              </w:rPr>
            </w:pPr>
            <w:r>
              <w:rPr>
                <w:rFonts w:ascii="Courier New" w:cs="Courier New" w:eastAsia="Courier New" w:hAnsi="Courier New"/>
                <w:sz w:val="17"/>
                <w:szCs w:val="17"/>
                <w:color w:val="auto"/>
              </w:rPr>
              <w:t>Amortization of deferred compensation expense</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43,750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134,963</w:t>
            </w:r>
          </w:p>
        </w:tc>
      </w:tr>
      <w:tr>
        <w:trPr>
          <w:trHeight w:val="200"/>
        </w:trPr>
        <w:tc>
          <w:tcPr>
            <w:tcW w:w="6820" w:type="dxa"/>
            <w:vAlign w:val="bottom"/>
          </w:tcPr>
          <w:p>
            <w:pPr>
              <w:ind w:left="640"/>
              <w:spacing w:after="0"/>
              <w:rPr>
                <w:sz w:val="20"/>
                <w:szCs w:val="20"/>
                <w:color w:val="auto"/>
              </w:rPr>
            </w:pPr>
            <w:r>
              <w:rPr>
                <w:rFonts w:ascii="Courier New" w:cs="Courier New" w:eastAsia="Courier New" w:hAnsi="Courier New"/>
                <w:sz w:val="17"/>
                <w:szCs w:val="17"/>
                <w:color w:val="auto"/>
              </w:rPr>
              <w:t>Net changes in operating assets and liabilities</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(1,776,812)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(1,967,157)</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Net cash used in operating activities</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(3,322,870)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(3,184,333)</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marketable securities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3,192,039</w:t>
            </w: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Purchases of marketable securities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(3,544,276)</w:t>
            </w: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Purchase of property, plant and equipment</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(7,542)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(41,624)</w:t>
            </w: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Acquisition of other assets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(149,043)</w:t>
            </w:r>
          </w:p>
        </w:tc>
      </w:tr>
      <w:tr>
        <w:trPr>
          <w:trHeight w:val="200"/>
        </w:trPr>
        <w:tc>
          <w:tcPr>
            <w:tcW w:w="6820" w:type="dxa"/>
            <w:vAlign w:val="bottom"/>
          </w:tcPr>
          <w:p>
            <w:pPr>
              <w:ind w:left="120"/>
              <w:spacing w:after="0"/>
              <w:rPr>
                <w:sz w:val="20"/>
                <w:szCs w:val="20"/>
                <w:color w:val="auto"/>
              </w:rPr>
            </w:pPr>
            <w:r>
              <w:rPr>
                <w:rFonts w:ascii="Courier New" w:cs="Courier New" w:eastAsia="Courier New" w:hAnsi="Courier New"/>
                <w:sz w:val="17"/>
                <w:szCs w:val="17"/>
                <w:color w:val="auto"/>
              </w:rPr>
              <w:t>Proceeds from sales of technology</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2,800,000</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Net cash provided by investing activities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2,792,458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(542,904)</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8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Proceeds from the exercise of stock options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352,557</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66,428</w:t>
            </w:r>
          </w:p>
        </w:tc>
      </w:tr>
      <w:tr>
        <w:trPr>
          <w:trHeight w:val="200"/>
        </w:trPr>
        <w:tc>
          <w:tcPr>
            <w:tcW w:w="6820" w:type="dxa"/>
            <w:vAlign w:val="bottom"/>
          </w:tcPr>
          <w:p>
            <w:pPr>
              <w:ind w:left="420"/>
              <w:spacing w:after="0"/>
              <w:rPr>
                <w:sz w:val="20"/>
                <w:szCs w:val="20"/>
                <w:color w:val="auto"/>
              </w:rPr>
            </w:pPr>
            <w:r>
              <w:rPr>
                <w:rFonts w:ascii="Courier New" w:cs="Courier New" w:eastAsia="Courier New" w:hAnsi="Courier New"/>
                <w:sz w:val="17"/>
                <w:szCs w:val="17"/>
                <w:color w:val="auto"/>
              </w:rPr>
              <w:t>Principal payments under capitalized lease obligations</w:t>
            </w:r>
          </w:p>
        </w:tc>
        <w:tc>
          <w:tcPr>
            <w:tcW w:w="28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and mortgage payable</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(80,000)</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(328,750)</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272,557</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(262,322)</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decrease in cash and cash equivalents</w:t>
            </w: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(257,855)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(3,989,559)</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period</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4,760,064</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7,864,788</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 period</w:t>
            </w:r>
          </w:p>
        </w:tc>
        <w:tc>
          <w:tcPr>
            <w:tcW w:w="28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$4,502,209</w:t>
            </w:r>
          </w:p>
        </w:tc>
        <w:tc>
          <w:tcPr>
            <w:tcW w:w="1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$3,875,229</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17"/>
                <w:szCs w:val="17"/>
                <w:color w:val="auto"/>
              </w:rPr>
            </w:pPr>
          </w:p>
        </w:tc>
        <w:tc>
          <w:tcPr>
            <w:tcW w:w="28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See accompanying notes to condensed financial statements.</w:t>
      </w: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Page 5 of 13</w:t>
      </w:r>
    </w:p>
    <w:p>
      <w:pPr>
        <w:sectPr>
          <w:pgSz w:w="11900" w:h="16838" w:orient="portrait"/>
          <w:cols w:equalWidth="0" w:num="1">
            <w:col w:w="11120"/>
          </w:cols>
          <w:pgMar w:left="240" w:top="914" w:right="5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31, 2000 and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BASIS OF PRESENTATION</w:t>
      </w:r>
    </w:p>
    <w:p>
      <w:pPr>
        <w:spacing w:after="0" w:line="207" w:lineRule="exact"/>
        <w:rPr>
          <w:sz w:val="20"/>
          <w:szCs w:val="20"/>
          <w:color w:val="auto"/>
        </w:rPr>
      </w:pPr>
    </w:p>
    <w:p>
      <w:pPr>
        <w:ind w:left="220" w:right="3520"/>
        <w:spacing w:after="0" w:line="249" w:lineRule="auto"/>
        <w:rPr>
          <w:sz w:val="20"/>
          <w:szCs w:val="20"/>
          <w:color w:val="auto"/>
        </w:rPr>
      </w:pPr>
      <w:r>
        <w:rPr>
          <w:rFonts w:ascii="Courier New" w:cs="Courier New" w:eastAsia="Courier New" w:hAnsi="Courier New"/>
          <w:sz w:val="17"/>
          <w:szCs w:val="17"/>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2000 are not necessarily indicative of the results that may be expected for the entire fiscal year ending December 31, 2000.</w:t>
      </w:r>
    </w:p>
    <w:p>
      <w:pPr>
        <w:spacing w:after="0" w:line="200" w:lineRule="exact"/>
        <w:rPr>
          <w:sz w:val="20"/>
          <w:szCs w:val="20"/>
          <w:color w:val="auto"/>
        </w:rPr>
      </w:pPr>
    </w:p>
    <w:p>
      <w:pPr>
        <w:ind w:left="220" w:right="3820"/>
        <w:spacing w:after="0" w:line="249" w:lineRule="auto"/>
        <w:rPr>
          <w:sz w:val="20"/>
          <w:szCs w:val="20"/>
          <w:color w:val="auto"/>
        </w:rPr>
      </w:pPr>
      <w:r>
        <w:rPr>
          <w:rFonts w:ascii="Courier New" w:cs="Courier New" w:eastAsia="Courier New" w:hAnsi="Courier New"/>
          <w:sz w:val="17"/>
          <w:szCs w:val="17"/>
          <w:color w:val="auto"/>
        </w:rPr>
        <w:t>The balance sheet at December 31, 1999 has been derived from the audited financial statements at that date but does not include all of the information and footnotes required by generally accepted accounting principles for complete financial statements.</w:t>
      </w:r>
    </w:p>
    <w:p>
      <w:pPr>
        <w:spacing w:after="0" w:line="200" w:lineRule="exact"/>
        <w:rPr>
          <w:sz w:val="20"/>
          <w:szCs w:val="20"/>
          <w:color w:val="auto"/>
        </w:rPr>
      </w:pPr>
    </w:p>
    <w:p>
      <w:pPr>
        <w:ind w:left="220" w:right="3620"/>
        <w:spacing w:after="0" w:line="249" w:lineRule="auto"/>
        <w:rPr>
          <w:sz w:val="20"/>
          <w:szCs w:val="20"/>
          <w:color w:val="auto"/>
        </w:rPr>
      </w:pPr>
      <w:r>
        <w:rPr>
          <w:rFonts w:ascii="Courier New" w:cs="Courier New" w:eastAsia="Courier New" w:hAnsi="Courier New"/>
          <w:sz w:val="17"/>
          <w:szCs w:val="17"/>
          <w:color w:val="auto"/>
        </w:rPr>
        <w:t>For further information, refer to the audited financial statements and footnotes thereto as of December 31, 1999 included in the Company's Annual Report to Stockholders and the Annual Report on Form 10-K filed with the Securities and Exchange Commission.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NET LOSS PER SHARE</w:t>
      </w:r>
    </w:p>
    <w:p>
      <w:pPr>
        <w:spacing w:after="0" w:line="207" w:lineRule="exact"/>
        <w:rPr>
          <w:sz w:val="20"/>
          <w:szCs w:val="20"/>
          <w:color w:val="auto"/>
        </w:rPr>
      </w:pPr>
    </w:p>
    <w:p>
      <w:pPr>
        <w:ind w:left="220" w:right="3620"/>
        <w:spacing w:after="0" w:line="250" w:lineRule="auto"/>
        <w:rPr>
          <w:sz w:val="20"/>
          <w:szCs w:val="20"/>
          <w:color w:val="auto"/>
        </w:rPr>
      </w:pPr>
      <w:r>
        <w:rPr>
          <w:rFonts w:ascii="Courier New" w:cs="Courier New" w:eastAsia="Courier New" w:hAnsi="Courier New"/>
          <w:sz w:val="17"/>
          <w:szCs w:val="17"/>
          <w:color w:val="auto"/>
        </w:rPr>
        <w:t>Net loss per share is computed using the weighted average number of shares of common stock outstanding. Common equivalent shares from stock options and warrants are excluded, as their effect is antidilutive.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COMPREHENSIVE INCOME</w:t>
      </w:r>
    </w:p>
    <w:p>
      <w:pPr>
        <w:spacing w:after="0" w:line="207" w:lineRule="exact"/>
        <w:rPr>
          <w:sz w:val="20"/>
          <w:szCs w:val="20"/>
          <w:color w:val="auto"/>
        </w:rPr>
      </w:pPr>
    </w:p>
    <w:p>
      <w:pPr>
        <w:ind w:left="220" w:right="3920"/>
        <w:spacing w:after="0" w:line="251" w:lineRule="auto"/>
        <w:rPr>
          <w:sz w:val="20"/>
          <w:szCs w:val="20"/>
          <w:color w:val="auto"/>
        </w:rPr>
      </w:pPr>
      <w:r>
        <w:rPr>
          <w:rFonts w:ascii="Courier New" w:cs="Courier New" w:eastAsia="Courier New" w:hAnsi="Courier New"/>
          <w:sz w:val="17"/>
          <w:szCs w:val="17"/>
          <w:color w:val="auto"/>
        </w:rPr>
        <w:t>For the three months ended March 31, 2000 and 1999, total comprehensive loss was the same as the reported net loss.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WIND-DOWN OF ENCAPSULATED CELL TECHNOLOGY</w:t>
      </w:r>
    </w:p>
    <w:p>
      <w:pPr>
        <w:spacing w:after="0" w:line="207" w:lineRule="exact"/>
        <w:rPr>
          <w:sz w:val="20"/>
          <w:szCs w:val="20"/>
          <w:color w:val="auto"/>
        </w:rPr>
      </w:pPr>
    </w:p>
    <w:p>
      <w:pPr>
        <w:ind w:left="220" w:right="3620"/>
        <w:spacing w:after="0" w:line="249" w:lineRule="auto"/>
        <w:rPr>
          <w:sz w:val="20"/>
          <w:szCs w:val="20"/>
          <w:color w:val="auto"/>
        </w:rPr>
      </w:pPr>
      <w:r>
        <w:rPr>
          <w:rFonts w:ascii="Courier New" w:cs="Courier New" w:eastAsia="Courier New" w:hAnsi="Courier New"/>
          <w:sz w:val="17"/>
          <w:szCs w:val="17"/>
          <w:color w:val="auto"/>
        </w:rPr>
        <w:t>In the last two quarters of 1999, the Company wound down operations relating to its former encapsulated cell technology to focus its resources on the research and development of its proprietary stem cell technology platform. At the end of 1999 balance in the reserve created for wind-down expenses was $1,934,569. For the first quarter of 2000 the rollforward of this balance is as follows: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7" w:lineRule="exact"/>
        <w:rPr>
          <w:sz w:val="20"/>
          <w:szCs w:val="20"/>
          <w:color w:val="auto"/>
        </w:rPr>
      </w:pPr>
    </w:p>
    <w:p>
      <w:pPr>
        <w:ind w:left="520"/>
        <w:spacing w:after="0"/>
        <w:tabs>
          <w:tab w:leader="none" w:pos="2800" w:val="left"/>
          <w:tab w:leader="none" w:pos="5080" w:val="left"/>
          <w:tab w:leader="none" w:pos="7680" w:val="left"/>
          <w:tab w:leader="none" w:pos="9540" w:val="left"/>
        </w:tabs>
        <w:rPr>
          <w:sz w:val="20"/>
          <w:szCs w:val="20"/>
          <w:color w:val="auto"/>
        </w:rPr>
      </w:pPr>
      <w:r>
        <w:rPr>
          <w:rFonts w:ascii="Courier New" w:cs="Courier New" w:eastAsia="Courier New" w:hAnsi="Courier New"/>
          <w:sz w:val="17"/>
          <w:szCs w:val="17"/>
          <w:color w:val="auto"/>
        </w:rPr>
        <w:t>Description</w:t>
      </w:r>
      <w:r>
        <w:rPr>
          <w:sz w:val="20"/>
          <w:szCs w:val="20"/>
          <w:color w:val="auto"/>
        </w:rPr>
        <w:tab/>
      </w:r>
      <w:r>
        <w:rPr>
          <w:rFonts w:ascii="Courier New" w:cs="Courier New" w:eastAsia="Courier New" w:hAnsi="Courier New"/>
          <w:sz w:val="17"/>
          <w:szCs w:val="17"/>
          <w:color w:val="auto"/>
        </w:rPr>
        <w:t>Reserve as at</w:t>
      </w:r>
      <w:r>
        <w:rPr>
          <w:sz w:val="20"/>
          <w:szCs w:val="20"/>
          <w:color w:val="auto"/>
        </w:rPr>
        <w:tab/>
      </w:r>
      <w:r>
        <w:rPr>
          <w:rFonts w:ascii="Courier New" w:cs="Courier New" w:eastAsia="Courier New" w:hAnsi="Courier New"/>
          <w:sz w:val="17"/>
          <w:szCs w:val="17"/>
          <w:color w:val="auto"/>
        </w:rPr>
        <w:t>Cash Payments</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Reserve as at</w:t>
      </w:r>
    </w:p>
    <w:p>
      <w:pPr>
        <w:spacing w:after="0" w:line="7" w:lineRule="exact"/>
        <w:rPr>
          <w:sz w:val="20"/>
          <w:szCs w:val="20"/>
          <w:color w:val="auto"/>
        </w:rPr>
      </w:pPr>
    </w:p>
    <w:p>
      <w:pPr>
        <w:ind w:left="3120"/>
        <w:spacing w:after="0"/>
        <w:tabs>
          <w:tab w:leader="none" w:pos="9860" w:val="left"/>
        </w:tabs>
        <w:rPr>
          <w:sz w:val="20"/>
          <w:szCs w:val="20"/>
          <w:color w:val="auto"/>
        </w:rPr>
      </w:pPr>
      <w:r>
        <w:rPr>
          <w:rFonts w:ascii="Courier New" w:cs="Courier New" w:eastAsia="Courier New" w:hAnsi="Courier New"/>
          <w:sz w:val="17"/>
          <w:szCs w:val="17"/>
          <w:color w:val="auto"/>
        </w:rPr>
        <w:t>12/31/99</w:t>
      </w:r>
      <w:r>
        <w:rPr>
          <w:sz w:val="20"/>
          <w:szCs w:val="20"/>
          <w:color w:val="auto"/>
        </w:rPr>
        <w:tab/>
      </w:r>
      <w:r>
        <w:rPr>
          <w:rFonts w:ascii="Courier New" w:cs="Courier New" w:eastAsia="Courier New" w:hAnsi="Courier New"/>
          <w:sz w:val="17"/>
          <w:szCs w:val="17"/>
          <w:color w:val="auto"/>
        </w:rPr>
        <w:t>3/31/00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207" w:lineRule="exact"/>
        <w:rPr>
          <w:sz w:val="20"/>
          <w:szCs w:val="20"/>
          <w:color w:val="auto"/>
        </w:rPr>
      </w:pPr>
    </w:p>
    <w:p>
      <w:pPr>
        <w:spacing w:after="0"/>
        <w:tabs>
          <w:tab w:leader="none" w:pos="3100" w:val="left"/>
          <w:tab w:leader="none" w:pos="6120" w:val="left"/>
          <w:tab w:leader="none" w:pos="7780" w:val="left"/>
          <w:tab w:leader="none" w:pos="9860" w:val="left"/>
        </w:tabs>
        <w:rPr>
          <w:sz w:val="20"/>
          <w:szCs w:val="20"/>
          <w:color w:val="auto"/>
        </w:rPr>
      </w:pPr>
      <w:r>
        <w:rPr>
          <w:rFonts w:ascii="Courier New" w:cs="Courier New" w:eastAsia="Courier New" w:hAnsi="Courier New"/>
          <w:sz w:val="17"/>
          <w:szCs w:val="17"/>
          <w:color w:val="auto"/>
        </w:rPr>
        <w:t>Fixed Assets</w:t>
      </w:r>
      <w:r>
        <w:rPr>
          <w:sz w:val="20"/>
          <w:szCs w:val="20"/>
          <w:color w:val="auto"/>
        </w:rPr>
        <w:tab/>
      </w:r>
      <w:r>
        <w:rPr>
          <w:rFonts w:ascii="Courier New" w:cs="Courier New" w:eastAsia="Courier New" w:hAnsi="Courier New"/>
          <w:sz w:val="17"/>
          <w:szCs w:val="17"/>
          <w:color w:val="auto"/>
        </w:rPr>
        <w:t>$300,000</w:t>
      </w:r>
      <w:r>
        <w:rPr>
          <w:sz w:val="20"/>
          <w:szCs w:val="20"/>
          <w:color w:val="auto"/>
        </w:rPr>
        <w:tab/>
      </w: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$300,000</w:t>
      </w:r>
    </w:p>
    <w:p>
      <w:pPr>
        <w:spacing w:after="0" w:line="7"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Facilities,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20"/>
                <w:szCs w:val="20"/>
                <w:color w:val="auto"/>
              </w:rPr>
            </w:pPr>
            <w:r>
              <w:rPr>
                <w:rFonts w:ascii="Courier New" w:cs="Courier New" w:eastAsia="Courier New" w:hAnsi="Courier New"/>
                <w:sz w:val="17"/>
                <w:szCs w:val="17"/>
                <w:color w:val="auto"/>
              </w:rPr>
              <w:t>Maintenance and other</w:t>
            </w:r>
          </w:p>
        </w:tc>
        <w:tc>
          <w:tcPr>
            <w:tcW w:w="20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462,569</w:t>
            </w:r>
          </w:p>
        </w:tc>
        <w:tc>
          <w:tcPr>
            <w:tcW w:w="23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246,028</w:t>
            </w:r>
          </w:p>
        </w:tc>
        <w:tc>
          <w:tcPr>
            <w:tcW w:w="1880" w:type="dxa"/>
            <w:vAlign w:val="bottom"/>
          </w:tcPr>
          <w:p>
            <w:pPr>
              <w:jc w:val="right"/>
              <w:ind w:right="913"/>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216,541</w:t>
            </w:r>
          </w:p>
        </w:tc>
      </w:tr>
      <w:tr>
        <w:trPr>
          <w:trHeight w:val="200"/>
        </w:trPr>
        <w:tc>
          <w:tcPr>
            <w:tcW w:w="270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20"/>
                <w:szCs w:val="20"/>
                <w:color w:val="auto"/>
              </w:rPr>
            </w:pPr>
            <w:r>
              <w:rPr>
                <w:rFonts w:ascii="Courier New" w:cs="Courier New" w:eastAsia="Courier New" w:hAnsi="Courier New"/>
                <w:sz w:val="17"/>
                <w:szCs w:val="17"/>
                <w:color w:val="auto"/>
              </w:rPr>
              <w:t>RIPSAT Settlement</w:t>
            </w:r>
          </w:p>
        </w:tc>
        <w:tc>
          <w:tcPr>
            <w:tcW w:w="23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1,172,000</w:t>
            </w:r>
          </w:p>
        </w:tc>
        <w:tc>
          <w:tcPr>
            <w:tcW w:w="24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1,172,000</w:t>
            </w:r>
          </w:p>
        </w:tc>
        <w:tc>
          <w:tcPr>
            <w:tcW w:w="212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6" w:lineRule="exact"/>
        <w:rPr>
          <w:sz w:val="20"/>
          <w:szCs w:val="20"/>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4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6 of 13</w:t>
      </w:r>
    </w:p>
    <w:p>
      <w:pPr>
        <w:sectPr>
          <w:pgSz w:w="11900" w:h="16838" w:orient="portrait"/>
          <w:cols w:equalWidth="0" w:num="1">
            <w:col w:w="11520"/>
          </w:cols>
          <w:pgMar w:left="240" w:top="914" w:right="139" w:bottom="1440" w:gutter="0" w:footer="0" w:header="0"/>
        </w:sectPr>
      </w:pPr>
    </w:p>
    <w:bookmarkStart w:id="6" w:name="page7"/>
    <w:bookmarkEnd w:id="6"/>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7" w:lineRule="exact"/>
        <w:rPr>
          <w:sz w:val="20"/>
          <w:szCs w:val="20"/>
          <w:color w:val="auto"/>
        </w:rPr>
      </w:pPr>
    </w:p>
    <w:p>
      <w:pPr>
        <w:ind w:left="120"/>
        <w:spacing w:after="0"/>
        <w:tabs>
          <w:tab w:leader="none" w:pos="3000" w:val="left"/>
          <w:tab w:leader="none" w:pos="5180" w:val="left"/>
          <w:tab w:leader="none" w:pos="7680" w:val="left"/>
          <w:tab w:leader="none" w:pos="9960" w:val="left"/>
        </w:tabs>
        <w:rPr>
          <w:sz w:val="20"/>
          <w:szCs w:val="20"/>
          <w:color w:val="auto"/>
        </w:rPr>
      </w:pPr>
      <w:r>
        <w:rPr>
          <w:rFonts w:ascii="Courier New" w:cs="Courier New" w:eastAsia="Courier New" w:hAnsi="Courier New"/>
          <w:sz w:val="17"/>
          <w:szCs w:val="17"/>
          <w:color w:val="auto"/>
        </w:rPr>
        <w:t>Totals</w:t>
      </w:r>
      <w:r>
        <w:rPr>
          <w:sz w:val="20"/>
          <w:szCs w:val="20"/>
          <w:color w:val="auto"/>
        </w:rPr>
        <w:tab/>
      </w:r>
      <w:r>
        <w:rPr>
          <w:rFonts w:ascii="Courier New" w:cs="Courier New" w:eastAsia="Courier New" w:hAnsi="Courier New"/>
          <w:sz w:val="17"/>
          <w:szCs w:val="17"/>
          <w:color w:val="auto"/>
        </w:rPr>
        <w:t>$1,934,569</w:t>
      </w:r>
      <w:r>
        <w:rPr>
          <w:sz w:val="20"/>
          <w:szCs w:val="20"/>
          <w:color w:val="auto"/>
        </w:rPr>
        <w:tab/>
      </w:r>
      <w:r>
        <w:rPr>
          <w:rFonts w:ascii="Courier New" w:cs="Courier New" w:eastAsia="Courier New" w:hAnsi="Courier New"/>
          <w:sz w:val="17"/>
          <w:szCs w:val="17"/>
          <w:color w:val="auto"/>
        </w:rPr>
        <w:t>$1,418,028</w:t>
      </w:r>
      <w:r>
        <w:rPr>
          <w:sz w:val="20"/>
          <w:szCs w:val="20"/>
          <w:color w:val="auto"/>
        </w:rPr>
        <w:tab/>
      </w: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$516,541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Page 7 of 13</w:t>
      </w:r>
    </w:p>
    <w:p>
      <w:pPr>
        <w:sectPr>
          <w:pgSz w:w="11900" w:h="16838" w:orient="portrait"/>
          <w:cols w:equalWidth="0" w:num="1">
            <w:col w:w="11520"/>
          </w:cols>
          <w:pgMar w:left="240" w:top="1440" w:right="139" w:bottom="1440" w:gutter="0" w:footer="0" w:header="0"/>
        </w:sectPr>
      </w:pPr>
    </w:p>
    <w:bookmarkStart w:id="7" w:name="page8"/>
    <w:bookmarkEnd w:id="7"/>
    <w:p>
      <w:pPr>
        <w:jc w:val="center"/>
        <w:ind w:right="179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7"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following discussion of the financial condition and results of operations of the Company for the three months ended March 31, 2000 and 1999 should be read in conjunction with the accompanying unaudited condensed consolidated financial statements and the related footnotes thereto.</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research and product development programs, the need for, and timing of, additional capital and capital expenditures, partnering prospects, the need for additional intellectual property rights, effects of regulations, and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Company's stem cell programs, the Company's ability to sell, assign or sublease its interests in its facilities related to its former encapsulated cell technology program,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as Exhibit 99 to the Company's Annual Report for the fiscal year ended 1999 and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Since its inception in 1988, the Company has been primarily engaged in research and development of human therapeutic products. As a result of a restructuring in the second half of 1999, the Company's sole focus is now on its platform stem cell technology. At the beginning of last year, by contrast, the Company's main headquarters, the substantial majority of its employees, and a main focus of its operations were primarily devoted to a different technology (encapsulated cell technology, or "ECT"). A clinical trial of the ECT then in progress has been terminated, the other operations relating to the ECT were wound down, the employment of those who worked on the ECT was terminated, the ECT has been sold and the Company has relocated from Rhode Island to Sunnyvale, California. Comparisons with last year's results are correspondingly less meaningful than they may be under other circumstances.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No revenues have been derived from the sale of any products, and the Company does not expect to receive revenues from product sales for at least several years. The Company has not commercialized any product and in order to do so it must, among other things, substantially increase its research and development expenditures as research and product development efforts accelerate and clinical trials are initiated.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March 31, 2000 and 1999</w:t>
      </w:r>
    </w:p>
    <w:p>
      <w:pPr>
        <w:spacing w:after="0" w:line="207" w:lineRule="exact"/>
        <w:rPr>
          <w:sz w:val="20"/>
          <w:szCs w:val="20"/>
          <w:color w:val="auto"/>
        </w:rPr>
      </w:pPr>
    </w:p>
    <w:p>
      <w:pPr>
        <w:jc w:val="both"/>
        <w:ind w:right="2319"/>
        <w:spacing w:after="0" w:line="250" w:lineRule="auto"/>
        <w:rPr>
          <w:sz w:val="20"/>
          <w:szCs w:val="20"/>
          <w:color w:val="auto"/>
        </w:rPr>
      </w:pPr>
      <w:r>
        <w:rPr>
          <w:rFonts w:ascii="Courier New" w:cs="Courier New" w:eastAsia="Courier New" w:hAnsi="Courier New"/>
          <w:sz w:val="17"/>
          <w:szCs w:val="17"/>
          <w:color w:val="auto"/>
        </w:rPr>
        <w:t>For the quarters ended March 31, 2000 and 1999, revenues from collaborative agreements totaled $0 and $2,501,000, respectively. The decrease in revenues resulted from the June 1999 termination of a</w:t>
      </w: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Page 8 of 13</w:t>
      </w:r>
    </w:p>
    <w:p>
      <w:pPr>
        <w:sectPr>
          <w:pgSz w:w="11900" w:h="16838" w:orient="portrait"/>
          <w:cols w:equalWidth="0" w:num="1">
            <w:col w:w="10219"/>
          </w:cols>
          <w:pgMar w:left="240" w:top="914" w:right="1440" w:bottom="382" w:gutter="0" w:footer="0" w:header="0"/>
        </w:sectPr>
      </w:pPr>
    </w:p>
    <w:bookmarkStart w:id="8" w:name="page9"/>
    <w:bookmarkEnd w:id="8"/>
    <w:p>
      <w:pPr>
        <w:ind w:right="2319"/>
        <w:spacing w:after="0" w:line="250" w:lineRule="auto"/>
        <w:rPr>
          <w:sz w:val="20"/>
          <w:szCs w:val="20"/>
          <w:color w:val="auto"/>
        </w:rPr>
      </w:pPr>
      <w:r>
        <w:rPr>
          <w:rFonts w:ascii="Courier New" w:cs="Courier New" w:eastAsia="Courier New" w:hAnsi="Courier New"/>
          <w:sz w:val="17"/>
          <w:szCs w:val="17"/>
          <w:color w:val="auto"/>
        </w:rPr>
        <w:t>Development, Marketing and License Agreement related to the Company's former encapsulated cell technology. The Company has not yet entered revenue-producing collaborations with respect to its platform stem cell technology.</w:t>
      </w:r>
    </w:p>
    <w:p>
      <w:pPr>
        <w:spacing w:after="0" w:line="3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Research and development expenses totaled $786,000 for the three months ended March 31, 2000, compared with $3,566,000 for the same period in 1999. The decrease of $2,780,000, or 78%, from 1999 to 2000 was primarily attributable to the wind-down of research activities relating to the ECT.</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General and administrative expenses were $1,013,000 for the three months ended March 31, 2000, compared with $995,000 for the same period in 1999. The increase of $18,000, or 2%, from 1999 to 2000 was primarily attributable to the Company's reestablishment of its corporate office in California.</w:t>
      </w:r>
    </w:p>
    <w:p>
      <w:pPr>
        <w:spacing w:after="0" w:line="200" w:lineRule="exact"/>
        <w:rPr>
          <w:sz w:val="20"/>
          <w:szCs w:val="20"/>
          <w:color w:val="auto"/>
        </w:rPr>
      </w:pPr>
    </w:p>
    <w:p>
      <w:pPr>
        <w:spacing w:after="0"/>
        <w:tabs>
          <w:tab w:leader="none" w:pos="1020" w:val="left"/>
          <w:tab w:leader="none" w:pos="3320" w:val="left"/>
          <w:tab w:leader="none" w:pos="4140" w:val="left"/>
          <w:tab w:leader="none" w:pos="5900" w:val="left"/>
        </w:tabs>
        <w:rPr>
          <w:sz w:val="20"/>
          <w:szCs w:val="20"/>
          <w:color w:val="auto"/>
        </w:rPr>
      </w:pPr>
      <w:r>
        <w:rPr>
          <w:rFonts w:ascii="Courier New" w:cs="Courier New" w:eastAsia="Courier New" w:hAnsi="Courier New"/>
          <w:sz w:val="17"/>
          <w:szCs w:val="17"/>
          <w:color w:val="auto"/>
        </w:rPr>
        <w:t>Interest</w:t>
        <w:tab/>
        <w:t>income for the three</w:t>
        <w:tab/>
        <w:t>months</w:t>
        <w:tab/>
        <w:t>ended March 31,</w:t>
        <w:tab/>
        <w:t>2000 and 1999 was</w:t>
      </w:r>
    </w:p>
    <w:p>
      <w:pPr>
        <w:spacing w:after="0" w:line="7" w:lineRule="exact"/>
        <w:rPr>
          <w:sz w:val="20"/>
          <w:szCs w:val="20"/>
          <w:color w:val="auto"/>
        </w:rPr>
      </w:pPr>
    </w:p>
    <w:p>
      <w:pPr>
        <w:ind w:right="2319"/>
        <w:spacing w:after="0" w:line="253" w:lineRule="auto"/>
        <w:rPr>
          <w:sz w:val="20"/>
          <w:szCs w:val="20"/>
          <w:color w:val="auto"/>
        </w:rPr>
      </w:pPr>
      <w:r>
        <w:rPr>
          <w:rFonts w:ascii="Courier New" w:cs="Courier New" w:eastAsia="Courier New" w:hAnsi="Courier New"/>
          <w:sz w:val="17"/>
          <w:szCs w:val="17"/>
          <w:color w:val="auto"/>
        </w:rPr>
        <w:t>$73,000 and $222,000, respectively. The decrease in interest income in 2000 was attributable to the lower average investment balances during such period.</w:t>
      </w:r>
    </w:p>
    <w:p>
      <w:pPr>
        <w:spacing w:after="0" w:line="393" w:lineRule="exact"/>
        <w:rPr>
          <w:sz w:val="20"/>
          <w:szCs w:val="20"/>
          <w:color w:val="auto"/>
        </w:rPr>
      </w:pPr>
    </w:p>
    <w:p>
      <w:pPr>
        <w:ind w:right="2419"/>
        <w:spacing w:after="0" w:line="249" w:lineRule="auto"/>
        <w:rPr>
          <w:sz w:val="20"/>
          <w:szCs w:val="20"/>
          <w:color w:val="auto"/>
        </w:rPr>
      </w:pPr>
      <w:r>
        <w:rPr>
          <w:rFonts w:ascii="Courier New" w:cs="Courier New" w:eastAsia="Courier New" w:hAnsi="Courier New"/>
          <w:sz w:val="17"/>
          <w:szCs w:val="17"/>
          <w:color w:val="auto"/>
        </w:rPr>
        <w:t>Interest expense was $69,000 for the three months ended March 31, 2000, compared with $94,000 for the same period in 1999. The decrease in 2000 was attributable to lower outstanding debt and capital lease balances in 2000 compared to 1999.</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Net loss for the three months ended March 31, 2000 was $1,794,000, or $0.09 per share, as compared to net loss of $1,933,000, or $0.10 per share, for the comparable period in 1999. The decrease in net loss of $139,000, or 7%, from the same period in 1999 is primarily due to the wind-down of research activities related to the Encapsulated Cell Technology which was sold at the end of 1999.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Company had unrestricted cash and cash equivalents totaling $4,502,000 at March 31, 2000. Cash equivalents are invested in money market funds.</w:t>
      </w:r>
    </w:p>
    <w:p>
      <w:pPr>
        <w:spacing w:after="0" w:line="19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Company's liquidity and capital resources have been significantly affected by its relationships with corporate partners, which were related to the Company's former ECT. These relationships are now terminated, and the Company has not yet established corporate partnerships with respect to its stem cell technology. On December 30, 1999 the Company sold its ECT to Neurotech S.A. for a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Company received $2,800,000 of the initial payment on January 3, 2000 with a remaining balance of $200,000 placed in escrow, to be received by the Company upon demonstration satisfactory to Neurotech that certain intellectual property is not subject to other claims.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continues to have substantial outstanding obligations in regard to its facilities in Lincoln, Rhode Island, including lease payments and operating costs of approximately $950,000 per year associated with its former research laboratory and corporate headquarters building, and debt service payments and operating costs of approximately $1,000,000 per year with respect to the its pilot manufacturing and cell processing facility. The Company is actively seeking to sublease, assign or sell its interests in these facilities, but there can be no assurance that the Company will succeed in these efforts within a reasonable time period. Failure to do so will have a material adverse effect on the Company's liquidity and capital resources.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April 13, 2000, the Company completed arrangements to sell 1,500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cumulative convertible preferred stock plus a warrant for 75,000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Company's common stock to a member of its Board of Directors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$1,500,000, on terms more favorable than it was then able to obtain from</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Page 9 of 13</w:t>
      </w:r>
    </w:p>
    <w:p>
      <w:pPr>
        <w:sectPr>
          <w:pgSz w:w="11900" w:h="16838" w:orient="portrait"/>
          <w:cols w:equalWidth="0" w:num="1">
            <w:col w:w="10219"/>
          </w:cols>
          <w:pgMar w:left="240" w:top="515" w:right="1440" w:bottom="582" w:gutter="0" w:footer="0" w:header="0"/>
        </w:sectPr>
      </w:pPr>
    </w:p>
    <w:bookmarkStart w:id="9" w:name="page10"/>
    <w:bookmarkEnd w:id="9"/>
    <w:p>
      <w:pPr>
        <w:ind w:right="2219"/>
        <w:spacing w:after="0" w:line="249" w:lineRule="auto"/>
        <w:rPr>
          <w:sz w:val="20"/>
          <w:szCs w:val="20"/>
          <w:color w:val="auto"/>
        </w:rPr>
      </w:pPr>
      <w:r>
        <w:rPr>
          <w:rFonts w:ascii="Courier New" w:cs="Courier New" w:eastAsia="Courier New" w:hAnsi="Courier New"/>
          <w:sz w:val="17"/>
          <w:szCs w:val="17"/>
          <w:color w:val="auto"/>
        </w:rPr>
        <w:t>outside investors. The shares are convertible at the option of the holder into common stock at a price to be determined by reference to the price of the Company's common stock for a period approximately from April 12, 2000 through the twentieth trading day following the filing of this Form 10-K. The conversion price may be below the trading market price of the stock at the time of conversion. The holder of the preferred stock has liquidation rights equal to his original investment plus accrued but unpaid dividends. The investor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 has the right to acquire up to 1,500 additional shares of convertible preferred stock at a pre-determined per share. Any unconverted preferred stock is converted, at the applicable conversion price, on April 13, 2002 in the case of the original stock and two years after the first acquisition of any of the additional 1,500 shares, if any are acquired. The warrant expires on April 13, 2005. As a result of this transaction, the Company has adequate resources to fund its operations into the first quarter of 2001.</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has limited liquidity and capital resources and must obtain significant additional capital resources in the near future 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the its ability to obtain partnering support for its stem cell technology and, in the near term, on the its ability to realize proceeds from the sale, assignment or sublease of its facilities in Rhode Island. There can be no assurance that the Company will succeed in any or all of these efforts, and failure to do so will have a material effect on the Company's liquidity and capital resources. Until the Company's operations generate significant revenues from product sales, the Company must rely on cash reserves and proceeds from equity and debt offerings, proceeds from the transfer or sale of its intellectual property rights, equipment or facilities, government grants and funding from collaborative arrangements, if obtainable, to fund its operations.</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intends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the Company's progress in its exploratory, preclinical and future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While the Company's cash requirements may vary, as noted above, the Company currently expects that its existing capital resources, including income earned on invested capital, will be sufficient to fund its operations into the first quarter of 2001.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Company tested its material software applications to determine whether each program was prepared to accommodate date information for the year 2000 and beyond, and found them to be year 2000 compliant. The Company also tested the status of its facilities systems such as phones, voice mail, heating/air conditioning, electricity and security systems and its laboratory and manufacturing equipment, and polled its major vendors and suppliers, to determine if they are year 2000 compliant, again without identifying any problems. The Company has not to date encountered any significant year 2000 problems, but is continuing to monitor for potential issues. The costs of testing and monitoring have been and are expected to continue to be immaterial to the Company's operating results, but there can be no assurance that no problem will reveal itself in the future, or that if a problem does occur it will not have an adverse effect on the Company's operations or financial results, but there can be no assurance that no problem will reveal itself in</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Page 10 of 13</w:t>
      </w:r>
    </w:p>
    <w:p>
      <w:pPr>
        <w:sectPr>
          <w:pgSz w:w="11900" w:h="16838" w:orient="portrait"/>
          <w:cols w:equalWidth="0" w:num="1">
            <w:col w:w="10219"/>
          </w:cols>
          <w:pgMar w:left="240" w:top="515" w:right="1440" w:bottom="0" w:gutter="0" w:footer="0" w:header="0"/>
        </w:sectPr>
      </w:pPr>
    </w:p>
    <w:bookmarkStart w:id="10" w:name="page11"/>
    <w:bookmarkEnd w:id="10"/>
    <w:p>
      <w:pPr>
        <w:ind w:right="2839"/>
        <w:spacing w:after="0" w:line="251" w:lineRule="auto"/>
        <w:rPr>
          <w:sz w:val="20"/>
          <w:szCs w:val="20"/>
          <w:color w:val="auto"/>
        </w:rPr>
      </w:pPr>
      <w:r>
        <w:rPr>
          <w:rFonts w:ascii="Courier New" w:cs="Courier New" w:eastAsia="Courier New" w:hAnsi="Courier New"/>
          <w:sz w:val="17"/>
          <w:szCs w:val="17"/>
          <w:color w:val="auto"/>
        </w:rPr>
        <w:t>the future, or that if a problem does occur it will not have an adverse effect on the Company's operations or financial results.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1</w:t>
      </w:r>
    </w:p>
    <w:p>
      <w:pPr>
        <w:spacing w:after="0" w:line="207" w:lineRule="exact"/>
        <w:rPr>
          <w:sz w:val="20"/>
          <w:szCs w:val="20"/>
          <w:color w:val="auto"/>
        </w:rPr>
      </w:pPr>
    </w:p>
    <w:p>
      <w:pPr>
        <w:jc w:val="center"/>
        <w:ind w:right="8439"/>
        <w:spacing w:after="0"/>
        <w:rPr>
          <w:sz w:val="20"/>
          <w:szCs w:val="20"/>
          <w:color w:val="auto"/>
        </w:rPr>
      </w:pPr>
      <w:r>
        <w:rPr>
          <w:rFonts w:ascii="Courier New" w:cs="Courier New" w:eastAsia="Courier New" w:hAnsi="Courier New"/>
          <w:sz w:val="17"/>
          <w:szCs w:val="17"/>
          <w:color w:val="auto"/>
        </w:rPr>
        <w:t>LEGAL PROCEEDINGS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None.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AND REPORTS ON FORM 8-K</w:t>
      </w:r>
    </w:p>
    <w:p>
      <w:pPr>
        <w:spacing w:after="0" w:line="207" w:lineRule="exact"/>
        <w:rPr>
          <w:sz w:val="20"/>
          <w:szCs w:val="20"/>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Exhibit 27 - Financial Data Schedule</w:t>
      </w:r>
    </w:p>
    <w:p>
      <w:pPr>
        <w:spacing w:after="0" w:line="207" w:lineRule="exact"/>
        <w:rPr>
          <w:sz w:val="20"/>
          <w:szCs w:val="20"/>
          <w:color w:val="auto"/>
        </w:rPr>
      </w:pPr>
    </w:p>
    <w:p>
      <w:pPr>
        <w:ind w:left="640" w:hanging="633"/>
        <w:spacing w:after="0"/>
        <w:tabs>
          <w:tab w:leader="none" w:pos="6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7" w:lineRule="exact"/>
        <w:rPr>
          <w:sz w:val="20"/>
          <w:szCs w:val="20"/>
          <w:color w:val="auto"/>
        </w:rPr>
      </w:pPr>
    </w:p>
    <w:p>
      <w:pPr>
        <w:ind w:left="320" w:right="2219"/>
        <w:spacing w:after="0" w:line="249" w:lineRule="auto"/>
        <w:rPr>
          <w:sz w:val="20"/>
          <w:szCs w:val="20"/>
          <w:color w:val="auto"/>
        </w:rPr>
      </w:pPr>
      <w:r>
        <w:rPr>
          <w:rFonts w:ascii="Courier New" w:cs="Courier New" w:eastAsia="Courier New" w:hAnsi="Courier New"/>
          <w:sz w:val="17"/>
          <w:szCs w:val="17"/>
          <w:color w:val="auto"/>
        </w:rPr>
        <w:t>The Company filed three current reports on Form 8-K during the first quarter of 2000: on January 14, 2000, it reported the sale of its former encapsulated cell technology to Neurotech, SA; on February 11, 2000, it reported the appointment of George W. Dunbar, Jr., as Acting President and CEO of the Company; and on March 23, 2000, it announced the settlement of certain claims or potential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Page 11 of 13</w:t>
      </w:r>
    </w:p>
    <w:p>
      <w:pPr>
        <w:sectPr>
          <w:pgSz w:w="11900" w:h="16838" w:orient="portrait"/>
          <w:cols w:equalWidth="0" w:num="1">
            <w:col w:w="10219"/>
          </w:cols>
          <w:pgMar w:left="240" w:top="715" w:right="1440" w:bottom="1440" w:gutter="0" w:footer="0" w:header="0"/>
        </w:sectPr>
      </w:pPr>
    </w:p>
    <w:bookmarkStart w:id="11" w:name="page12"/>
    <w:bookmarkEnd w:id="11"/>
    <w:p>
      <w:pPr>
        <w:ind w:left="374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jc w:val="both"/>
        <w:ind w:right="273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(Name of Registrant)</w:t>
      </w:r>
    </w:p>
    <w:p>
      <w:pPr>
        <w:sectPr>
          <w:pgSz w:w="11900" w:h="16838" w:orient="portrait"/>
          <w:cols w:equalWidth="0" w:num="1">
            <w:col w:w="10219"/>
          </w:cols>
          <w:pgMar w:left="240" w:top="9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12, 2000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George W. Dunbar,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Acting Chief Executive Officer and</w:t>
      </w:r>
    </w:p>
    <w:p>
      <w:pPr>
        <w:spacing w:after="0" w:line="200" w:lineRule="exact"/>
        <w:rPr>
          <w:sz w:val="20"/>
          <w:szCs w:val="20"/>
          <w:color w:val="auto"/>
        </w:rPr>
      </w:pPr>
    </w:p>
    <w:p>
      <w:pPr>
        <w:sectPr>
          <w:pgSz w:w="11900" w:h="16838" w:orient="portrait"/>
          <w:cols w:equalWidth="0" w:num="2">
            <w:col w:w="3340" w:space="720"/>
            <w:col w:w="6159"/>
          </w:cols>
          <w:pgMar w:left="240" w:top="914" w:right="1440" w:bottom="1440" w:gutter="0" w:footer="0" w:header="0"/>
          <w:type w:val="continuous"/>
        </w:sectPr>
      </w:pP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Acting Chief Financial Officer</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(principal financial officer and</w:t>
      </w: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1">
            <w:col w:w="10219"/>
          </w:cols>
          <w:pgMar w:left="240" w:top="914" w:right="1440" w:bottom="144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8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7"/>
          <w:szCs w:val="17"/>
          <w:color w:val="auto"/>
        </w:rPr>
        <w:t>THE SCHEDULE CONTAINS SUMMARY INFORMATION EXTRACTED FROM THE CONSOLIDATED STATEMENT OF EARNINGS FOR THE THREE MONTHS ENDED MARCH 31, 2000 AND THE CONSOLIDATED BALANCE SHEET AT MARCH 31, 2000 AND IS QUALIFIED IN ITS ENTIRETY BY REFERENCE TO SUCH FINANCIAL STATEMENTS.</w:t>
      </w:r>
    </w:p>
    <w:p>
      <w:pPr>
        <w:spacing w:after="0" w:line="200"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0000883975</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CYTOTHERAPEUTICS, INC.</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7"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3-MOS</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DEC-31-2000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MAR-31-2000</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4,502,209</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898,427</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9,040,146</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3,889,475</w:t>
      </w:r>
    </w:p>
    <w:p>
      <w:pPr>
        <w:spacing w:after="0" w:line="7"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12,335,876</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1,556,353</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2,885,000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194,398</w:t>
      </w: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12,335,876</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1,794,258</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(68,858)</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(1,794,258)</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0.09</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0.09</w:t>
      </w:r>
    </w:p>
    <w:sectPr>
      <w:pgSz w:w="11900" w:h="16838" w:orient="portrait"/>
      <w:cols w:equalWidth="0" w:num="1">
        <w:col w:w="10179"/>
      </w:cols>
      <w:pgMar w:left="2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08"/>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2019-12-13T21:51:38Z</dcterms:created>
  <dcterms:modified xsi:type="dcterms:W3CDTF">2019-12-13T21:51:38Z</dcterms:modified>
</cp:coreProperties>
</file>