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 2020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2860" w:firstLine="8"/>
        <w:spacing w:after="0" w:line="498" w:lineRule="auto"/>
        <w:tabs>
          <w:tab w:leader="none" w:pos="15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Annual Meeting of Stockholders (the “Annual Meeting”) of Microbot Medical Inc. (the “Company”) was held on September 1, 2020. At the Annual Meeting, the Company’s stockholders voted on the following four proposals and cast their votes as described below. The proposals are described in more detail in the Company’s Definitive Proxy Statement on Schedule 14A filed with the U.S. Securities and Exchange Commission on July 31, 2020 (the “Proxy Statement”).</w:t>
      </w:r>
    </w:p>
    <w:p>
      <w:pPr>
        <w:spacing w:after="0" w:line="180" w:lineRule="exact"/>
        <w:rPr>
          <w:sz w:val="20"/>
          <w:szCs w:val="20"/>
          <w:color w:val="auto"/>
        </w:rPr>
      </w:pPr>
    </w:p>
    <w:p>
      <w:pPr>
        <w:jc w:val="both"/>
        <w:ind w:left="1040" w:hanging="1025"/>
        <w:spacing w:after="0" w:line="282" w:lineRule="auto"/>
        <w:tabs>
          <w:tab w:leader="none" w:pos="1020" w:val="left"/>
        </w:tabs>
        <w:rPr>
          <w:sz w:val="20"/>
          <w:szCs w:val="20"/>
          <w:color w:val="auto"/>
        </w:rPr>
      </w:pPr>
      <w:r>
        <w:rPr>
          <w:rFonts w:ascii="Times New Roman" w:cs="Times New Roman" w:eastAsia="Times New Roman" w:hAnsi="Times New Roman"/>
          <w:sz w:val="18"/>
          <w:szCs w:val="18"/>
          <w:color w:val="auto"/>
        </w:rPr>
        <w:t>Proposal 1:</w:t>
        <w:tab/>
        <w:t>Election of the two nominees listed below to serve as Class II Directors on the Board of Directors of the Company until the 2023 Annual Meeting of Shareholders and until their respective successors have been duly elected and qualified:</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Number of Votes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Number of Votes</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Number of Votes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Broker</w:t>
            </w:r>
          </w:p>
        </w:tc>
      </w:tr>
      <w:tr>
        <w:trPr>
          <w:trHeight w:val="241"/>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Cast in Favor</w:t>
            </w:r>
          </w:p>
        </w:tc>
        <w:tc>
          <w:tcPr>
            <w:tcW w:w="2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Cast Against</w:t>
            </w:r>
          </w:p>
        </w:tc>
        <w:tc>
          <w:tcPr>
            <w:tcW w:w="20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Abstained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3"/>
              </w:rPr>
              <w:t>Non-Votes</w:t>
            </w:r>
          </w:p>
        </w:tc>
      </w:tr>
      <w:tr>
        <w:trPr>
          <w:trHeight w:val="216"/>
        </w:trPr>
        <w:tc>
          <w:tcPr>
            <w:tcW w:w="4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1,745,756</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102,659</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30,474</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2,941,783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1,739,893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105,050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33,946</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2,941,783</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1040" w:right="20" w:hanging="1025"/>
        <w:spacing w:after="0" w:line="282" w:lineRule="auto"/>
        <w:tabs>
          <w:tab w:leader="none" w:pos="1020" w:val="left"/>
        </w:tabs>
        <w:rPr>
          <w:sz w:val="20"/>
          <w:szCs w:val="20"/>
          <w:color w:val="auto"/>
        </w:rPr>
      </w:pPr>
      <w:r>
        <w:rPr>
          <w:rFonts w:ascii="Times New Roman" w:cs="Times New Roman" w:eastAsia="Times New Roman" w:hAnsi="Times New Roman"/>
          <w:sz w:val="18"/>
          <w:szCs w:val="18"/>
          <w:color w:val="auto"/>
        </w:rPr>
        <w:t>Proposal 2:</w:t>
        <w:tab/>
        <w:t>The ratification of Brightman Almagor Zohar &amp; Co., a Member of Deloitte Touche Tohmatsu Limited, or its U.S. affiliate, as the Company’s independent registered public accounting firm for the year ending December 31, 2020:</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Number of Votes</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Number of Votes</w:t>
            </w:r>
          </w:p>
        </w:tc>
        <w:tc>
          <w:tcPr>
            <w:tcW w:w="2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Number of Votes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Broker</w:t>
            </w:r>
          </w:p>
        </w:tc>
      </w:tr>
      <w:tr>
        <w:trPr>
          <w:trHeight w:val="241"/>
        </w:trPr>
        <w:tc>
          <w:tcPr>
            <w:tcW w:w="2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Cast in Favor</w:t>
            </w:r>
          </w:p>
        </w:tc>
        <w:tc>
          <w:tcPr>
            <w:tcW w:w="2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Cast Against</w:t>
            </w:r>
          </w:p>
        </w:tc>
        <w:tc>
          <w:tcPr>
            <w:tcW w:w="2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Abstained</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Non-Votes</w:t>
            </w:r>
          </w:p>
        </w:tc>
      </w:tr>
      <w:tr>
        <w:trPr>
          <w:trHeight w:val="216"/>
        </w:trPr>
        <w:tc>
          <w:tcPr>
            <w:tcW w:w="252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4,282,893</w:t>
            </w:r>
          </w:p>
        </w:tc>
        <w:tc>
          <w:tcPr>
            <w:tcW w:w="2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346,561</w:t>
            </w:r>
          </w:p>
        </w:tc>
        <w:tc>
          <w:tcPr>
            <w:tcW w:w="2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191,218</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ind w:left="1040" w:hanging="1025"/>
        <w:spacing w:after="0" w:line="282" w:lineRule="auto"/>
        <w:tabs>
          <w:tab w:leader="none" w:pos="1020" w:val="left"/>
        </w:tabs>
        <w:rPr>
          <w:sz w:val="20"/>
          <w:szCs w:val="20"/>
          <w:color w:val="auto"/>
        </w:rPr>
      </w:pPr>
      <w:r>
        <w:rPr>
          <w:rFonts w:ascii="Times New Roman" w:cs="Times New Roman" w:eastAsia="Times New Roman" w:hAnsi="Times New Roman"/>
          <w:sz w:val="18"/>
          <w:szCs w:val="18"/>
          <w:color w:val="auto"/>
        </w:rPr>
        <w:t>Proposal 3.</w:t>
        <w:tab/>
        <w:t>The approval of a non-binding advisory resolution supporting the compensation of the Company’s named executive officers as described in the Proxy Statement:</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Number of Votes</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Number of Votes</w:t>
            </w:r>
          </w:p>
        </w:tc>
        <w:tc>
          <w:tcPr>
            <w:tcW w:w="2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Number of Votes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Broker</w:t>
            </w:r>
          </w:p>
        </w:tc>
      </w:tr>
      <w:tr>
        <w:trPr>
          <w:trHeight w:val="241"/>
        </w:trPr>
        <w:tc>
          <w:tcPr>
            <w:tcW w:w="2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Cast in Favor</w:t>
            </w:r>
          </w:p>
        </w:tc>
        <w:tc>
          <w:tcPr>
            <w:tcW w:w="2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Cast Against</w:t>
            </w:r>
          </w:p>
        </w:tc>
        <w:tc>
          <w:tcPr>
            <w:tcW w:w="2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Abstained</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Non-Votes</w:t>
            </w:r>
          </w:p>
        </w:tc>
      </w:tr>
      <w:tr>
        <w:trPr>
          <w:trHeight w:val="216"/>
        </w:trPr>
        <w:tc>
          <w:tcPr>
            <w:tcW w:w="252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1,633,275</w:t>
            </w:r>
          </w:p>
        </w:tc>
        <w:tc>
          <w:tcPr>
            <w:tcW w:w="2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197,002</w:t>
            </w:r>
          </w:p>
        </w:tc>
        <w:tc>
          <w:tcPr>
            <w:tcW w:w="2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48,612</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2,941,883</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Proposal 4.</w:t>
      </w:r>
      <w:r>
        <w:rPr>
          <w:sz w:val="20"/>
          <w:szCs w:val="20"/>
          <w:color w:val="auto"/>
        </w:rPr>
        <w:tab/>
      </w:r>
      <w:r>
        <w:rPr>
          <w:rFonts w:ascii="Times New Roman" w:cs="Times New Roman" w:eastAsia="Times New Roman" w:hAnsi="Times New Roman"/>
          <w:sz w:val="17"/>
          <w:szCs w:val="17"/>
          <w:color w:val="auto"/>
        </w:rPr>
        <w:t>The approval of the Microbot Medical Inc. 2020 Omnibus Performance Award Plan as described in the Proxy 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Number of Votes</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Number of Votes</w:t>
            </w:r>
          </w:p>
        </w:tc>
        <w:tc>
          <w:tcPr>
            <w:tcW w:w="2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Number of Votes</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Broker</w:t>
            </w:r>
          </w:p>
        </w:tc>
        <w:tc>
          <w:tcPr>
            <w:tcW w:w="1120" w:type="dxa"/>
            <w:vAlign w:val="bottom"/>
          </w:tcPr>
          <w:p>
            <w:pPr>
              <w:spacing w:after="0"/>
              <w:rPr>
                <w:sz w:val="18"/>
                <w:szCs w:val="18"/>
                <w:color w:val="auto"/>
              </w:rPr>
            </w:pPr>
          </w:p>
        </w:tc>
      </w:tr>
      <w:tr>
        <w:trPr>
          <w:trHeight w:val="241"/>
        </w:trPr>
        <w:tc>
          <w:tcPr>
            <w:tcW w:w="1140" w:type="dxa"/>
            <w:vAlign w:val="bottom"/>
          </w:tcPr>
          <w:p>
            <w:pPr>
              <w:spacing w:after="0"/>
              <w:rPr>
                <w:sz w:val="20"/>
                <w:szCs w:val="20"/>
                <w:color w:val="auto"/>
              </w:rPr>
            </w:pPr>
          </w:p>
        </w:tc>
        <w:tc>
          <w:tcPr>
            <w:tcW w:w="2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Cast in Favor</w:t>
            </w:r>
          </w:p>
        </w:tc>
        <w:tc>
          <w:tcPr>
            <w:tcW w:w="2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Cast Against</w:t>
            </w:r>
          </w:p>
        </w:tc>
        <w:tc>
          <w:tcPr>
            <w:tcW w:w="2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Abstained</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Non-Votes</w:t>
            </w: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252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1,375,248</w:t>
            </w:r>
          </w:p>
        </w:tc>
        <w:tc>
          <w:tcPr>
            <w:tcW w:w="2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465,542</w:t>
            </w:r>
          </w:p>
        </w:tc>
        <w:tc>
          <w:tcPr>
            <w:tcW w:w="2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38,099</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2,941,783</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439"/>
        </w:trPr>
        <w:tc>
          <w:tcPr>
            <w:tcW w:w="1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2020-09-04T09:21:55Z</dcterms:created>
  <dcterms:modified xsi:type="dcterms:W3CDTF">2020-09-04T09:21:55Z</dcterms:modified>
</cp:coreProperties>
</file>