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8, 2018</w:t>
      </w:r>
    </w:p>
    <w:p>
      <w:pPr>
        <w:spacing w:after="0" w:line="31" w:lineRule="exact"/>
        <w:rPr>
          <w:sz w:val="24"/>
          <w:szCs w:val="24"/>
          <w:color w:val="auto"/>
        </w:rPr>
      </w:pPr>
    </w:p>
    <w:p>
      <w:pPr>
        <w:ind w:left="94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20" w:type="dxa"/>
            <w:vAlign w:val="bottom"/>
          </w:tcPr>
          <w:p>
            <w:pPr>
              <w:spacing w:after="0"/>
              <w:rPr>
                <w:sz w:val="20"/>
                <w:szCs w:val="20"/>
                <w:color w:val="auto"/>
              </w:rPr>
            </w:pPr>
          </w:p>
        </w:tc>
      </w:tr>
      <w:tr>
        <w:trPr>
          <w:trHeight w:val="199"/>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27"/>
        </w:trPr>
        <w:tc>
          <w:tcPr>
            <w:tcW w:w="26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1260" w:type="dxa"/>
            <w:vAlign w:val="bottom"/>
          </w:tcPr>
          <w:p>
            <w:pPr>
              <w:spacing w:after="0"/>
              <w:rPr>
                <w:sz w:val="24"/>
                <w:szCs w:val="24"/>
                <w:color w:val="auto"/>
              </w:rPr>
            </w:pPr>
          </w:p>
        </w:tc>
        <w:tc>
          <w:tcPr>
            <w:tcW w:w="20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6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860" w:type="dxa"/>
            <w:vAlign w:val="bottom"/>
          </w:tcPr>
          <w:p>
            <w:pPr>
              <w:spacing w:after="0"/>
              <w:rPr>
                <w:sz w:val="18"/>
                <w:szCs w:val="18"/>
                <w:color w:val="auto"/>
              </w:rPr>
            </w:pPr>
          </w:p>
        </w:tc>
        <w:tc>
          <w:tcPr>
            <w:tcW w:w="41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60" w:type="dxa"/>
            <w:vAlign w:val="bottom"/>
          </w:tcPr>
          <w:p>
            <w:pPr>
              <w:spacing w:after="0"/>
              <w:rPr>
                <w:sz w:val="20"/>
                <w:szCs w:val="20"/>
                <w:color w:val="auto"/>
              </w:rPr>
            </w:pPr>
          </w:p>
        </w:tc>
        <w:tc>
          <w:tcPr>
            <w:tcW w:w="41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Chief Executive Officer,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44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7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3020" w:type="dxa"/>
            <w:vAlign w:val="bottom"/>
          </w:tcPr>
          <w:p>
            <w:pPr>
              <w:spacing w:after="0"/>
              <w:rPr>
                <w:sz w:val="20"/>
                <w:szCs w:val="20"/>
                <w:color w:val="auto"/>
              </w:rPr>
            </w:pPr>
          </w:p>
        </w:tc>
      </w:tr>
      <w:tr>
        <w:trPr>
          <w:trHeight w:val="410"/>
        </w:trPr>
        <w:tc>
          <w:tcPr>
            <w:tcW w:w="34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Marc D. Mantell, Esq.</w:t>
            </w:r>
          </w:p>
        </w:tc>
        <w:tc>
          <w:tcPr>
            <w:tcW w:w="37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Stephen E. Fox, Esq.</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Steven Skolnick, Esq.</w:t>
            </w:r>
          </w:p>
        </w:tc>
      </w:tr>
      <w:tr>
        <w:trPr>
          <w:trHeight w:val="216"/>
        </w:trPr>
        <w:tc>
          <w:tcPr>
            <w:tcW w:w="34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Mintz, Levin, Cohn, Ferris, Glovsky</w:t>
            </w:r>
          </w:p>
        </w:tc>
        <w:tc>
          <w:tcPr>
            <w:tcW w:w="37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Michael Lerner, Esq.</w:t>
            </w:r>
          </w:p>
        </w:tc>
      </w:tr>
      <w:tr>
        <w:trPr>
          <w:trHeight w:val="216"/>
        </w:trPr>
        <w:tc>
          <w:tcPr>
            <w:tcW w:w="34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7"/>
              </w:rPr>
              <w:t>and Popeo, P.C.</w:t>
            </w:r>
          </w:p>
        </w:tc>
        <w:tc>
          <w:tcPr>
            <w:tcW w:w="37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1425 RXR Plaza</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Lowenstein Sandler LLP</w:t>
            </w:r>
          </w:p>
        </w:tc>
      </w:tr>
      <w:tr>
        <w:trPr>
          <w:trHeight w:val="225"/>
        </w:trPr>
        <w:tc>
          <w:tcPr>
            <w:tcW w:w="34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One Financial Center</w:t>
            </w:r>
          </w:p>
        </w:tc>
        <w:tc>
          <w:tcPr>
            <w:tcW w:w="3780" w:type="dxa"/>
            <w:vAlign w:val="bottom"/>
          </w:tcPr>
          <w:p>
            <w:pPr>
              <w:jc w:val="center"/>
              <w:ind w:right="31"/>
              <w:spacing w:after="0" w:line="225" w:lineRule="exact"/>
              <w:rPr>
                <w:sz w:val="20"/>
                <w:szCs w:val="20"/>
                <w:color w:val="auto"/>
              </w:rPr>
            </w:pP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 East Tower</w:t>
            </w:r>
          </w:p>
        </w:tc>
        <w:tc>
          <w:tcPr>
            <w:tcW w:w="3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r>
      <w:tr>
        <w:trPr>
          <w:trHeight w:val="216"/>
        </w:trPr>
        <w:tc>
          <w:tcPr>
            <w:tcW w:w="34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Boston, Massachusetts 02111</w:t>
            </w:r>
          </w:p>
        </w:tc>
        <w:tc>
          <w:tcPr>
            <w:tcW w:w="37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Uniondale, New York 11556</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r>
      <w:tr>
        <w:trPr>
          <w:trHeight w:val="270"/>
        </w:trPr>
        <w:tc>
          <w:tcPr>
            <w:tcW w:w="34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(617) 542-6000</w:t>
            </w:r>
          </w:p>
        </w:tc>
        <w:tc>
          <w:tcPr>
            <w:tcW w:w="37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(516) 663-6600</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(212) 262-6700</w:t>
            </w:r>
          </w:p>
        </w:tc>
      </w:tr>
    </w:tbl>
    <w:p>
      <w:pPr>
        <w:spacing w:after="0" w:line="1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As soon as practicable after the effective date of this registration statement.</w:t>
      </w:r>
    </w:p>
    <w:p>
      <w:pPr>
        <w:spacing w:after="0" w:line="22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ectPr>
          <w:pgSz w:w="11900" w:h="16900" w:orient="portrait"/>
          <w:cols w:equalWidth="0" w:num="1">
            <w:col w:w="11420"/>
          </w:cols>
          <w:pgMar w:left="240" w:top="441" w:right="239" w:bottom="0" w:gutter="0" w:footer="0" w:header="0"/>
        </w:sectPr>
      </w:pPr>
    </w:p>
    <w:p>
      <w:pPr>
        <w:spacing w:after="0" w:line="147"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900" w:orient="portrait"/>
          <w:cols w:equalWidth="0" w:num="2">
            <w:col w:w="6720" w:space="720"/>
            <w:col w:w="3980"/>
          </w:cols>
          <w:pgMar w:left="240" w:top="441" w:right="239" w:bottom="0" w:gutter="0" w:footer="0" w:header="0"/>
          <w:type w:val="continuous"/>
        </w:sectPr>
      </w:pPr>
    </w:p>
    <w:p>
      <w:pPr>
        <w:spacing w:after="0" w:line="17"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9380" w:type="dxa"/>
            <w:vAlign w:val="bottom"/>
            <w:gridSpan w:val="4"/>
          </w:tcPr>
          <w:p>
            <w:pPr>
              <w:ind w:left="398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 of Securities</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302"/>
        </w:trPr>
        <w:tc>
          <w:tcPr>
            <w:tcW w:w="6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Registered(1)</w:t>
            </w:r>
          </w:p>
        </w:tc>
        <w:tc>
          <w:tcPr>
            <w:tcW w:w="24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Price(2)(3)</w:t>
            </w:r>
          </w:p>
        </w:tc>
        <w:tc>
          <w:tcPr>
            <w:tcW w:w="32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Fee(3)</w:t>
            </w:r>
          </w:p>
        </w:tc>
        <w:tc>
          <w:tcPr>
            <w:tcW w:w="100" w:type="dxa"/>
            <w:vAlign w:val="bottom"/>
            <w:tcBorders>
              <w:bottom w:val="single" w:sz="8" w:color="CCEEFF"/>
            </w:tcBorders>
          </w:tcPr>
          <w:p>
            <w:pPr>
              <w:spacing w:after="0"/>
              <w:rPr>
                <w:sz w:val="24"/>
                <w:szCs w:val="24"/>
                <w:color w:val="auto"/>
              </w:rPr>
            </w:pPr>
          </w:p>
        </w:tc>
      </w:tr>
    </w:tbl>
    <w:p>
      <w:pPr>
        <w:sectPr>
          <w:pgSz w:w="11900" w:h="16900" w:orient="portrait"/>
          <w:cols w:equalWidth="0" w:num="1">
            <w:col w:w="11420"/>
          </w:cols>
          <w:pgMar w:left="240" w:top="44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6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23,000,000</w:t>
            </w:r>
          </w:p>
        </w:tc>
        <w:tc>
          <w:tcPr>
            <w:tcW w:w="700" w:type="dxa"/>
            <w:vAlign w:val="bottom"/>
            <w:gridSpan w:val="2"/>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2,787.60</w:t>
            </w:r>
          </w:p>
        </w:tc>
        <w:tc>
          <w:tcPr>
            <w:tcW w:w="8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to purchase shares of common stock and common stock issuable upon</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exercise thereof</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Underwriter warrants to purchase shares of common stock issuable upon exercise thereof(4)</w:t>
            </w:r>
          </w:p>
        </w:tc>
        <w:tc>
          <w:tcPr>
            <w:tcW w:w="86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1,437,500</w:t>
            </w:r>
          </w:p>
        </w:tc>
        <w:tc>
          <w:tcPr>
            <w:tcW w:w="700" w:type="dxa"/>
            <w:vAlign w:val="bottom"/>
            <w:gridSpan w:val="2"/>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174.23</w:t>
            </w:r>
          </w:p>
        </w:tc>
        <w:tc>
          <w:tcPr>
            <w:tcW w:w="80" w:type="dxa"/>
            <w:vAlign w:val="bottom"/>
            <w:shd w:val="clear" w:color="auto" w:fill="CCEEFF"/>
          </w:tcPr>
          <w:p>
            <w:pPr>
              <w:spacing w:after="0"/>
              <w:rPr>
                <w:sz w:val="21"/>
                <w:szCs w:val="21"/>
                <w:color w:val="auto"/>
              </w:rPr>
            </w:pPr>
          </w:p>
        </w:tc>
      </w:tr>
      <w:tr>
        <w:trPr>
          <w:trHeight w:val="217"/>
        </w:trPr>
        <w:tc>
          <w:tcPr>
            <w:tcW w:w="6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24,437,500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being registered hereunder include such indeterminate number of additional securities as may be issuable to prevent dilution resulting from stock splits, stock dividends or similar transactions.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of the common stock proposed to be sold in the offering will be reduced on a dollar-for-dollar basis based on the aggregate offering price of the pre-funded warrants offered and sold in the offering, and therefore the proposed aggregate maximum offering price of the common stock and pre-funded warrants (including the common stock issuable upon exercise of the pre-funded warrants), if any, is $23,000,000.</w:t>
      </w:r>
    </w:p>
    <w:p>
      <w:pPr>
        <w:spacing w:after="0" w:line="1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457(o) of the Securities Act of 1933, as amended. Includes the offering price of any additional securities that the underwriter has the option to purchase.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77"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warrants issuable to H.C. Wainwright &amp; Co., LLC (the “Underwriter’s Warrants”) to purchase a number of shares of common stock equal to 5% of the number of shares of common stock (including the shares of common stock issued pursuant to the underwriter’s exercise of its over-allotment option and pre-funded warrants) being offered at an exercise price equal to 125% of the public offering price. Resales of the Underwriter’s Warrants on a delayed or continuous basis pursuant to Rule 415 under the Securities Act of 1933, as amended, are registered hereby. Resales of shares of common stock issuable upon exercise of the Underwriter’s Warrants are also being similarly registered on a delayed or continuous basis hereby. See “Underwriting.”</w:t>
      </w:r>
    </w:p>
    <w:p>
      <w:pPr>
        <w:spacing w:after="0" w:line="164"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 SUBJECT TO COMPLETION, DATED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157480</wp:posOffset>
            </wp:positionV>
            <wp:extent cx="214376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Shares of Common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offering ______ shares of our common stock.</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that would otherwise result in such purchaser’s beneficial ownership exceeding 4.99% (or, at the election of the purchaser, 9.99%) of our outstanding common stock. The purchase price of each pre-funded warrant will be equal to the price per share at which shares of common stock are sold to the public in this offering, minus $0.01, and the exercise price of each pre-funded warrant will be $0.01 per share. This offering also relates to the shares of common stock issuable upon exercise of any pre-funded warrants sold in this offering. The pre-funded warrants will be exercisable immediately and may be exercised at any time until all of the pre-funded warrants are exercised in full. For each pre-funded warrant we sell, the number of shares of common stock we are offering will be decreased on a one-for-one basis.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7, 2018, the last reported sale price of our common stock on The Nasdaq Capital Market was $4.64 per share. The public offering price per share and any pre-funded warrant will be determined between us and the underwriter at the time of pricing, and may be at a discount to the current market price. There is no established public trading market for the pre-funded warrants and the Underwriter’s Warrants, and we do not expect a market to develop. In addition, we do not intend to apply for a listing of the pre-funded warrants and the Underwriter’s Warrants on any national securities exchange or other nationally recognized trading system.</w:t>
      </w:r>
    </w:p>
    <w:p>
      <w:pPr>
        <w:spacing w:after="0" w:line="180"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“Risk Factors” beginning on page 7 of this prospectus and in the documents incorporated by reference into this prospectus for a discussion of risks that should be considered in connection with an investment in our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500" w:type="dxa"/>
            <w:vAlign w:val="bottom"/>
          </w:tcPr>
          <w:p>
            <w:pPr>
              <w:spacing w:after="0"/>
              <w:rPr>
                <w:sz w:val="21"/>
                <w:szCs w:val="21"/>
                <w:color w:val="auto"/>
              </w:rPr>
            </w:pPr>
          </w:p>
        </w:tc>
        <w:tc>
          <w:tcPr>
            <w:tcW w:w="20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0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340" w:type="dxa"/>
            <w:vAlign w:val="bottom"/>
          </w:tcPr>
          <w:p>
            <w:pPr>
              <w:spacing w:after="0"/>
              <w:rPr>
                <w:sz w:val="21"/>
                <w:szCs w:val="21"/>
                <w:color w:val="auto"/>
              </w:rPr>
            </w:pP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720" w:type="dxa"/>
            <w:vAlign w:val="bottom"/>
            <w:tcBorders>
              <w:top w:val="single" w:sz="8" w:color="auto"/>
            </w:tcBorders>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172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spacing w:after="0"/>
              <w:rPr>
                <w:sz w:val="18"/>
                <w:szCs w:val="18"/>
                <w:color w:val="auto"/>
              </w:rPr>
            </w:pPr>
          </w:p>
        </w:tc>
        <w:tc>
          <w:tcPr>
            <w:tcW w:w="1700" w:type="dxa"/>
            <w:vAlign w:val="bottom"/>
          </w:tcPr>
          <w:p>
            <w:pPr>
              <w:jc w:val="right"/>
              <w:ind w:right="1533"/>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72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beginning on page 20 of this prospectus for a description of compensation and reimbursement of expenses payable to the underwriter.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offering is being underwritten on a firm commitment basis. We have granted the underwriter an option for a period of 30 days from the date of this</w:t>
      </w: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prospectus to purchase up to an additional</w:t>
            </w:r>
          </w:p>
        </w:tc>
        <w:tc>
          <w:tcPr>
            <w:tcW w:w="360" w:type="dxa"/>
            <w:vAlign w:val="bottom"/>
            <w:tcBorders>
              <w:bottom w:val="single" w:sz="8" w:color="auto"/>
            </w:tcBorders>
          </w:tcPr>
          <w:p>
            <w:pPr>
              <w:spacing w:after="0"/>
              <w:rPr>
                <w:sz w:val="17"/>
                <w:szCs w:val="17"/>
                <w:color w:val="auto"/>
              </w:rPr>
            </w:pPr>
          </w:p>
        </w:tc>
        <w:tc>
          <w:tcPr>
            <w:tcW w:w="796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shares of our common stock at the public offering price, less the underwriting discounts and commissions, to</w:t>
            </w:r>
          </w:p>
        </w:tc>
      </w:tr>
      <w:tr>
        <w:trPr>
          <w:trHeight w:val="196"/>
        </w:trPr>
        <w:tc>
          <w:tcPr>
            <w:tcW w:w="11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cover over-allotments, if any. If the underwriter exercises this option in full, the total underwriting discounts and commissions payable by us will be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37"/>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the total proceeds to us, before expenses, will be $_______.</w:t>
            </w:r>
          </w:p>
        </w:tc>
        <w:tc>
          <w:tcPr>
            <w:tcW w:w="3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194" w:lineRule="exact"/>
        <w:rPr>
          <w:sz w:val="20"/>
          <w:szCs w:val="20"/>
          <w:color w:val="auto"/>
        </w:rPr>
      </w:pPr>
    </w:p>
    <w:p>
      <w:pPr>
        <w:jc w:val="both"/>
        <w:ind w:right="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Delivery of the shares of common stock and any pre-funded warrants to purchasers is expected on or about ______________, 2018, subject to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closing conditions.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date of this prospectus is 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PROSPECTUS SUMMARY</w:t>
              </w:r>
            </w:hyperlink>
          </w:p>
        </w:tc>
        <w:tc>
          <w:tcPr>
            <w:tcW w:w="85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7"/>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USE OF PROCEEDS</w:t>
              </w:r>
            </w:hyperlink>
          </w:p>
        </w:tc>
        <w:tc>
          <w:tcPr>
            <w:tcW w:w="5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b w:val="1"/>
                <w:bCs w:val="1"/>
                <w:color w:val="0000EE"/>
                <w:w w:val="99"/>
              </w:rPr>
            </w:pPr>
            <w:hyperlink w:anchor="page18">
              <w:r>
                <w:rPr>
                  <w:rFonts w:ascii="Times New Roman" w:cs="Times New Roman" w:eastAsia="Times New Roman" w:hAnsi="Times New Roman"/>
                  <w:sz w:val="18"/>
                  <w:szCs w:val="18"/>
                  <w:b w:val="1"/>
                  <w:bCs w:val="1"/>
                  <w:color w:val="0000EE"/>
                  <w:w w:val="99"/>
                </w:rPr>
                <w:t>PRICE RANGE OF OUR COMMON STOCK</w:t>
              </w:r>
            </w:hyperlink>
          </w:p>
        </w:tc>
        <w:tc>
          <w:tcPr>
            <w:tcW w:w="7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DIVIDEND POLICY</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20">
              <w:r>
                <w:rPr>
                  <w:rFonts w:ascii="Times New Roman" w:cs="Times New Roman" w:eastAsia="Times New Roman" w:hAnsi="Times New Roman"/>
                  <w:sz w:val="18"/>
                  <w:szCs w:val="18"/>
                  <w:b w:val="1"/>
                  <w:bCs w:val="1"/>
                  <w:color w:val="0000EE"/>
                  <w:w w:val="96"/>
                </w:rPr>
                <w:t>DILUTION</w:t>
              </w:r>
            </w:hyperlink>
          </w:p>
        </w:tc>
        <w:tc>
          <w:tcPr>
            <w:tcW w:w="98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PRINCIPAL STOCKHOLDERS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DESCRIPTION OF CAPITAL STOCK</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DESCRIPTION OF SECURITIES WE ARE OFFERING</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UNDERWRITING</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LEGAL MATTERS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31">
              <w:r>
                <w:rPr>
                  <w:rFonts w:ascii="Times New Roman" w:cs="Times New Roman" w:eastAsia="Times New Roman" w:hAnsi="Times New Roman"/>
                  <w:sz w:val="18"/>
                  <w:szCs w:val="18"/>
                  <w:b w:val="1"/>
                  <w:bCs w:val="1"/>
                  <w:color w:val="0000EE"/>
                  <w:w w:val="96"/>
                </w:rPr>
                <w:t>EXPERTS</w:t>
              </w:r>
            </w:hyperlink>
          </w:p>
        </w:tc>
        <w:tc>
          <w:tcPr>
            <w:tcW w:w="99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31">
              <w:r>
                <w:rPr>
                  <w:rFonts w:ascii="Times New Roman" w:cs="Times New Roman" w:eastAsia="Times New Roman" w:hAnsi="Times New Roman"/>
                  <w:sz w:val="18"/>
                  <w:szCs w:val="18"/>
                  <w:b w:val="1"/>
                  <w:bCs w:val="1"/>
                  <w:color w:val="0000EE"/>
                  <w:w w:val="98"/>
                </w:rPr>
                <w:t>INCORPORATION OF CERTAIN INFORMATION BY REFERENCE</w:t>
              </w:r>
            </w:hyperlink>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26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b w:val="1"/>
                <w:bCs w:val="1"/>
                <w:color w:val="0000EE"/>
                <w:w w:val="97"/>
              </w:rPr>
            </w:pPr>
            <w:hyperlink w:anchor="page33">
              <w:r>
                <w:rPr>
                  <w:rFonts w:ascii="Times New Roman" w:cs="Times New Roman" w:eastAsia="Times New Roman" w:hAnsi="Times New Roman"/>
                  <w:sz w:val="18"/>
                  <w:szCs w:val="18"/>
                  <w:b w:val="1"/>
                  <w:bCs w:val="1"/>
                  <w:color w:val="0000EE"/>
                  <w:w w:val="97"/>
                </w:rPr>
                <w:t>FINANCIAL STATEMENTS</w:t>
              </w:r>
            </w:hyperlink>
          </w:p>
        </w:tc>
        <w:tc>
          <w:tcPr>
            <w:tcW w:w="8500" w:type="dxa"/>
            <w:vAlign w:val="bottom"/>
            <w:gridSpan w:val="8"/>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authorized free writing prospectus is current only as of its date, and any information in documents incorporated by reference is current only as of the date of the document incorporated by reference, regardless of its time of delivery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416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84169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 Unless the context requires otherwise, references in this prospectus to “Microbot,” “we,” “us” and “our” refer to Microbot Medical Inc. together with its wholly owned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0" w:lineRule="exact"/>
        <w:rPr>
          <w:sz w:val="20"/>
          <w:szCs w:val="20"/>
          <w:color w:val="auto"/>
        </w:rPr>
      </w:pPr>
    </w:p>
    <w:p>
      <w:pPr>
        <w:jc w:val="both"/>
        <w:ind w:firstLine="324"/>
        <w:spacing w:after="0" w:line="208"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proprietary innovative technologies. Using the ViRob platform, Microbot is 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Microbot has a patent portfolio of 25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CardioSert</w:t>
      </w:r>
    </w:p>
    <w:p>
      <w:pPr>
        <w:spacing w:after="0" w:line="227" w:lineRule="exact"/>
        <w:rPr>
          <w:sz w:val="20"/>
          <w:szCs w:val="20"/>
          <w:color w:val="auto"/>
        </w:rPr>
      </w:pPr>
    </w:p>
    <w:p>
      <w:pPr>
        <w:jc w:val="both"/>
        <w:ind w:firstLine="324"/>
        <w:spacing w:after="0" w:line="214" w:lineRule="auto"/>
        <w:rPr>
          <w:sz w:val="20"/>
          <w:szCs w:val="20"/>
          <w:color w:val="auto"/>
        </w:rPr>
      </w:pPr>
      <w:r>
        <w:rPr>
          <w:rFonts w:ascii="Times New Roman" w:cs="Times New Roman" w:eastAsia="Times New Roman" w:hAnsi="Times New Roman"/>
          <w:sz w:val="18"/>
          <w:szCs w:val="18"/>
          <w:color w:val="auto"/>
        </w:rPr>
        <w:t>On May 25, 2018, Microbot acquired a patent-protected technology from CardioSert Ltd., a privately-held medical device company based in Israel.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contemplates a combination of a guidewire and microcatheter, technologies that are broadly used for surgery within a</w:t>
      </w:r>
    </w:p>
    <w:p>
      <w:pPr>
        <w:jc w:val="both"/>
        <w:spacing w:after="0" w:line="204" w:lineRule="auto"/>
        <w:rPr>
          <w:sz w:val="20"/>
          <w:szCs w:val="20"/>
          <w:color w:val="auto"/>
        </w:rPr>
      </w:pPr>
      <w:r>
        <w:rPr>
          <w:rFonts w:ascii="Times New Roman" w:cs="Times New Roman" w:eastAsia="Times New Roman" w:hAnsi="Times New Roman"/>
          <w:sz w:val="18"/>
          <w:szCs w:val="18"/>
          <w:color w:val="auto"/>
        </w:rPr>
        <w:t>tubular organ or structure such as a blood vessel or duct.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features a unique guidewire delivery system with steering and stiffness control capabilities which when developed is expected to give the physician the ability to control the tip curvature, to adjust tip load to varying</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degrees of stiffness in a gradually continuous manner.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was originally developed to support interventional cardiologists in crossing chronic total occlusions (CTO) during percutaneous coronary intervention (PCI) procedures and has the potential to be used in other spaces and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applications, such as peripheral intervention, and neurosurgery.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part of a technological incubator supported by the Israel Innovation Authorities (formerly known as the Office of the Chief Scientist, or OCS), and a device based on the technology has successfully completed pre-clinical testing.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TipCAT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149225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439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7439660"/>
                    </a:xfrm>
                    <a:prstGeom prst="rect">
                      <a:avLst/>
                    </a:prstGeom>
                    <a:noFill/>
                  </pic:spPr>
                </pic:pic>
              </a:graphicData>
            </a:graphic>
          </wp:anchor>
        </w:drawing>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CSF Management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6067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6067425"/>
                    </a:xfrm>
                    <a:prstGeom prst="rect">
                      <a:avLst/>
                    </a:prstGeom>
                    <a:noFill/>
                  </pic:spPr>
                </pic:pic>
              </a:graphicData>
            </a:graphic>
          </wp:anchor>
        </w:drawing>
        <w:t>Minimally Invasive Endovascular Neurosurgery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Mechanical thrombectomy has only been approved as a first-line treatment for ischemic stroke since 2016. Prior to such aproval,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2" w:right="399" w:bottom="1440" w:gutter="0" w:footer="0" w:header="0"/>
        </w:sectPr>
      </w:pPr>
    </w:p>
    <w:bookmarkStart w:id="7" w:name="page8"/>
    <w:bookmarkEnd w:id="7"/>
    <w:p>
      <w:pPr>
        <w:jc w:val="both"/>
        <w:ind w:firstLine="324"/>
        <w:spacing w:after="0" w:line="21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876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7876540"/>
                    </a:xfrm>
                    <a:prstGeom prst="rect">
                      <a:avLst/>
                    </a:prstGeom>
                    <a:noFill/>
                  </pic:spPr>
                </pic:pic>
              </a:graphicData>
            </a:graphic>
          </wp:anchor>
        </w:drawing>
        <w:t>Microbot believes that with its portfolio of technologies specifically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TipCAT, it is well-positioned to explore and develop such technologies as neurovascular access devices, with a focus on improving the ease and access and enhancing the safety of endovascular neurosurgery.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Self-Cleaning Shunt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(lab) and </w:t>
      </w:r>
      <w:r>
        <w:rPr>
          <w:rFonts w:ascii="Times New Roman" w:cs="Times New Roman" w:eastAsia="Times New Roman" w:hAnsi="Times New Roman"/>
          <w:sz w:val="18"/>
          <w:szCs w:val="18"/>
          <w:i w:val="1"/>
          <w:iCs w:val="1"/>
          <w:color w:val="auto"/>
        </w:rPr>
        <w:t>in-vivo</w:t>
      </w:r>
      <w:r>
        <w:rPr>
          <w:rFonts w:ascii="Times New Roman" w:cs="Times New Roman" w:eastAsia="Times New Roman" w:hAnsi="Times New Roman"/>
          <w:sz w:val="18"/>
          <w:szCs w:val="18"/>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 Microbot believes that the animal study results of its first generation SCS device should be available during the second half of 2019 and we expect to submit that data to the FDA either in a regulatory submission or as part of a pre-submission meeting request, depending on the final results of this ongoing studies.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submitted as part of a 510(k) notification to authorize marketing of the medical device in the U.S.</w:t>
      </w:r>
    </w:p>
    <w:p>
      <w:pPr>
        <w:spacing w:after="0" w:line="1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536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853694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0"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significant additional capital to support our operations.</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significant losses for the foreseeable future, and our future profitability is uncertain.</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our securities in this offering, you will incur immediate and substantial dilution.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9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 Recreation Park Drive, Unit 108, Hingham, MA 02043. The telephone number at our principal executive office is (781) 875-3605. Our website address is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0" w:right="3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562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2175" cy="8562975"/>
                    </a:xfrm>
                    <a:prstGeom prst="rect">
                      <a:avLst/>
                    </a:prstGeom>
                    <a:noFill/>
                  </pic:spPr>
                </pic:pic>
              </a:graphicData>
            </a:graphic>
          </wp:anchor>
        </w:drawing>
        <w:t>The Offering</w:t>
      </w:r>
    </w:p>
    <w:p>
      <w:pPr>
        <w:sectPr>
          <w:pgSz w:w="11900" w:h="16838" w:orient="portrait"/>
          <w:cols w:equalWidth="0" w:num="1">
            <w:col w:w="11100"/>
          </w:cols>
          <w:pgMar w:left="400" w:top="900" w:right="39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 in this offering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 shares.</w:t>
      </w:r>
    </w:p>
    <w:p>
      <w:pPr>
        <w:spacing w:after="0" w:line="200" w:lineRule="exact"/>
        <w:rPr>
          <w:sz w:val="20"/>
          <w:szCs w:val="20"/>
          <w:color w:val="auto"/>
        </w:rPr>
      </w:pPr>
    </w:p>
    <w:p>
      <w:pPr>
        <w:sectPr>
          <w:pgSz w:w="11900" w:h="16838" w:orient="portrait"/>
          <w:cols w:equalWidth="0" w:num="2">
            <w:col w:w="3300" w:space="720"/>
            <w:col w:w="7080"/>
          </w:cols>
          <w:pgMar w:left="400" w:top="900"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offered by us in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such purchasers so choose, pre-funded warrants, in lieu of shares of common stock that would otherwise result in any such purchaser’s beneficial ownership exceeding 4.99% (or, at the election of the purchaser, 9.99%) of our outstanding common stock. Each pre-funded warrant will be exercisable for one share of our common stock. The purchase price of each pre-funded warrant will equal the price per share at which the shares of common stock are being sold to the public in this offering, minus $0.01, and the exercise price of each pre-funded warrant will be $0.01 per share. The pre-funded warrants will be exercisable immediately and may be exercised at any time until all of the pre-funded warrants are exercised in full. This offering also relates to the shares of common stock issuable upon exercise of any pre-funded warrants sold in this offering. For each pre-funded warrant we sell, the number of shares of common stock we are offering will be decreased on a one-for-one basis.</w:t>
      </w:r>
    </w:p>
    <w:p>
      <w:pPr>
        <w:spacing w:after="0" w:line="197" w:lineRule="exact"/>
        <w:rPr>
          <w:sz w:val="20"/>
          <w:szCs w:val="20"/>
          <w:color w:val="auto"/>
        </w:rPr>
      </w:pPr>
    </w:p>
    <w:p>
      <w:pPr>
        <w:sectPr>
          <w:pgSz w:w="11900" w:h="16838" w:orient="portrait"/>
          <w:cols w:equalWidth="0" w:num="2">
            <w:col w:w="3580" w:space="440"/>
            <w:col w:w="7080"/>
          </w:cols>
          <w:pgMar w:left="400" w:top="90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has an option to purchase up to an additional ______ shares of our common stock at the public offering price, less underwriting discounts and commissions, to cover over-allotments, if any. The underwriter may exercise this option for a period of 30 days from the date of this prospectus.</w:t>
      </w:r>
    </w:p>
    <w:p>
      <w:pPr>
        <w:spacing w:after="0" w:line="180" w:lineRule="exact"/>
        <w:rPr>
          <w:sz w:val="20"/>
          <w:szCs w:val="20"/>
          <w:color w:val="auto"/>
        </w:rPr>
      </w:pPr>
    </w:p>
    <w:p>
      <w:pPr>
        <w:sectPr>
          <w:pgSz w:w="11900" w:h="16838" w:orient="portrait"/>
          <w:cols w:equalWidth="0" w:num="2">
            <w:col w:w="3300" w:space="720"/>
            <w:col w:w="7080"/>
          </w:cols>
          <w:pgMar w:left="400" w:top="90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______ shares of common stock, assuming no sale of any pre-funded warrants (or _____ shares of common stock if the underwriter exercises in full its option to purchase additional shares of common stock, assuming no sale of pre-funded warrants).</w:t>
      </w:r>
    </w:p>
    <w:p>
      <w:pPr>
        <w:spacing w:after="0" w:line="176" w:lineRule="exact"/>
        <w:rPr>
          <w:sz w:val="20"/>
          <w:szCs w:val="20"/>
          <w:color w:val="auto"/>
        </w:rPr>
      </w:pPr>
    </w:p>
    <w:p>
      <w:pPr>
        <w:sectPr>
          <w:pgSz w:w="11900" w:h="16838" w:orient="portrait"/>
          <w:cols w:equalWidth="0" w:num="2">
            <w:col w:w="3680" w:space="340"/>
            <w:col w:w="7080"/>
          </w:cols>
          <w:pgMar w:left="400" w:top="90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8"/>
          <w:szCs w:val="18"/>
          <w:color w:val="auto"/>
        </w:rPr>
        <w:t>We intend to use the net proceeds from this offering for attaining regulatory approvals for and commercializing our SCS device in the treatment of hydrocephalus and NPH; expanding and developing the applications of our existing ViRob and SCS IP and prototypes into other areas of</w:t>
      </w:r>
    </w:p>
    <w:p>
      <w:pPr>
        <w:spacing w:after="0" w:line="2" w:lineRule="exact"/>
        <w:rPr>
          <w:sz w:val="20"/>
          <w:szCs w:val="20"/>
          <w:color w:val="auto"/>
        </w:rPr>
      </w:pPr>
    </w:p>
    <w:p>
      <w:pPr>
        <w:sectPr>
          <w:pgSz w:w="11900" w:h="16838" w:orient="portrait"/>
          <w:cols w:equalWidth="0" w:num="2">
            <w:col w:w="3300" w:space="720"/>
            <w:col w:w="7080"/>
          </w:cols>
          <w:pgMar w:left="400" w:top="900" w:right="399" w:bottom="1440" w:gutter="0" w:footer="0" w:header="0"/>
          <w:type w:val="continuous"/>
        </w:sectPr>
      </w:pPr>
    </w:p>
    <w:p>
      <w:pPr>
        <w:jc w:val="both"/>
        <w:ind w:left="4020" w:right="20"/>
        <w:spacing w:after="0" w:line="279" w:lineRule="auto"/>
        <w:rPr>
          <w:sz w:val="20"/>
          <w:szCs w:val="20"/>
          <w:color w:val="auto"/>
        </w:rPr>
      </w:pPr>
      <w:r>
        <w:rPr>
          <w:rFonts w:ascii="Times New Roman" w:cs="Times New Roman" w:eastAsia="Times New Roman" w:hAnsi="Times New Roman"/>
          <w:sz w:val="18"/>
          <w:szCs w:val="18"/>
          <w:color w:val="auto"/>
        </w:rPr>
        <w:t>CSF management, such as EVD, through regulatory submission; developing the CardioSert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technology for neurovascular disorders from proof of concept to pre-clinical studies; and for working capital and other general corporate purposes. See “Use of Proceeds.”</w:t>
      </w:r>
    </w:p>
    <w:p>
      <w:pPr>
        <w:sectPr>
          <w:pgSz w:w="11900" w:h="16838" w:orient="portrait"/>
          <w:cols w:equalWidth="0" w:num="1">
            <w:col w:w="11100"/>
          </w:cols>
          <w:pgMar w:left="400" w:top="900" w:right="39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certain of the factors to consider carefully before deciding to purchase any shares of our common stock or pre-funded warrants in this offering.</w:t>
      </w:r>
    </w:p>
    <w:p>
      <w:pPr>
        <w:spacing w:after="0" w:line="176" w:lineRule="exact"/>
        <w:rPr>
          <w:sz w:val="20"/>
          <w:szCs w:val="20"/>
          <w:color w:val="auto"/>
        </w:rPr>
      </w:pPr>
    </w:p>
    <w:p>
      <w:pPr>
        <w:sectPr>
          <w:pgSz w:w="11900" w:h="16838" w:orient="portrait"/>
          <w:cols w:equalWidth="0" w:num="2">
            <w:col w:w="3300" w:space="720"/>
            <w:col w:w="7080"/>
          </w:cols>
          <w:pgMar w:left="400" w:top="90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National Securities Exchange Listing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We do not intend to list the pre-funded warrants on any securities exchange or nationally recognized trading system.</w:t>
      </w:r>
    </w:p>
    <w:p>
      <w:pPr>
        <w:spacing w:after="0" w:line="176" w:lineRule="exact"/>
        <w:rPr>
          <w:sz w:val="20"/>
          <w:szCs w:val="20"/>
          <w:color w:val="auto"/>
        </w:rPr>
      </w:pPr>
    </w:p>
    <w:p>
      <w:pPr>
        <w:sectPr>
          <w:pgSz w:w="11900" w:h="16838" w:orient="portrait"/>
          <w:cols w:equalWidth="0" w:num="2">
            <w:col w:w="3300" w:space="720"/>
            <w:col w:w="7080"/>
          </w:cols>
          <w:pgMar w:left="400" w:top="900" w:right="3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2,945,676 shares of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2018, adjusted for the Company’s 1-for-15 reverse stock split on September 4, 2018, and excludes, as of September 30, 2018:</w:t>
      </w:r>
    </w:p>
    <w:p>
      <w:pPr>
        <w:spacing w:after="0" w:line="207" w:lineRule="exact"/>
        <w:rPr>
          <w:sz w:val="20"/>
          <w:szCs w:val="20"/>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412,478 shares of our common stock issuable upon the exercise of outstanding stock options, with exercise prices ranging from $0 to $19.35 and having a weighted-average exercise price of $11.70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211,239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outstanding warrants, with exercise prices ranging from approximately $40.00 to $2,885 per share and having a weighted-average exercise price of $1,697 per share; and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67,000 shares of our common stock issuable upon the conversion of 1,001 shares of our Series A Convertible Preferred Stock.</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no exercise by the underwriter of its over-allotment option, no sale of any pre-funded warrants in this offering and no exercise by the underwriter of its warrants to purchase _______ shares of our common stock at an exercise price per share which is equal to 125% of the public offering price per share of the shares of common stock offered in this offering.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0" w:right="3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consider carefully the risks described below, together with all of the other information included or incorporated by reference in this prospectus, including the risks and uncertainties discussed under “Risk Factors” in our Annual Report on Form 10-K for the fiscal year ended December 31, 2017,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8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of SCS,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SCS,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shunt and endoscope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SCS following clearance or approval.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if you purchase securities in this offering.</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As of June 30, 2018, our net tangible book value was approximately $8.6 million, or $2.72 per share. Since the price per share of our common stock being offered in this offering is substantially higher than the net tangible book value per share of our common stock, you will suffer substantial dilution with respect to the net tangible book value of the common stock you purchase in this offering. Based on the assumed public offering price of $____ per share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being sold in this offering (the last reported sale price of our common stock on The Nasdaq Capital Market on _________, 2018), and our net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tangible book value per share as of June 30, 2018, if you purchase shares of common stock in this offering, you will suffer immediate and substantial dilution of $_____ per share with respect to the net tangible book value of the common stock. See the section entitled “Dilution” for a more detailed discussion of the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dilution you will incur if you purchase common stock in this offering. The discussion above assumes (i) no sale of pre-funded warrants, which, if sold, would reduce the number of shares of common stock that we are offering on a one-for-one basis until such warrants are exercised and (ii) no exercise by the underwriter of the Underwriter’s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lawsuit that could adversely affect our business and our use of proceeds from this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not been set.</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claims are without merit and have been and intend to continue to defend the action vigorously. However, due to the early stage in the ligation process,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warrants acquire shares of our common stock upon exercise of the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June 30, 2018, we had cash and cash equivalents of approximately $8.0 million. We estimate that we will receive net proceeds of approximately $_____ million from the sale of the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by us in this offering, based on the assumed public offering price of $_____ per share (the last reported sale price of our common stock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Capital Market on _________, 2018) and after deducting the estimated underwriting discounts and commissions and estimated offering expenses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payable by us, and excluding the proceeds, if any, from the exercise of the pre-funded warrants issued pursuant to this offering. In the event of a decrease in the net proceeds to us from this offering as a result of a decrease in the assumed public offering price or the number of shares offered by us, if the Plaintiffs succeed in the Matter or if our use of proceeds changes from our plans as described under “Use of Proceeds”, we may need to raise additional capital sooner than we anticipate. In addition, we cannot provide assurances that our plans will not change or that changed circumstances will not result in the depletion of our capital resources more rapidly than we currently anticipate.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8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capital requirements and needs for additional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and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otherwise secure the manufacture of, sufficient amounts of our product candidates for our preclinical studies and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develop applications for our technologies for other neurosurgical conditions besides hydrocephalus;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and other research and development plans and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regulatory pathways for our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and other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experience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keep management and other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capacities and performance of our suppliers, manufacturers and other third parties over whom we have limited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success of competing products that are or may become available;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future growth and investments in our infrastructure, and our ability to effectively manage any such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potential growth of the markets for any of our product candidates, and our ability to capture share in or impact the size of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in which we or any of our officers or directors may be involved, including with respect to the Matter;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regulation and regulatory developments, and our ability and the ability of the third parties with whom we engage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revenues, capital requirements and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planned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effective internal control over financial reporting in accordance with Section 404 of the Sarbanes-Oxley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intellectual property protection of any of our products and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the net proceeds from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w:t>
      </w:r>
    </w:p>
    <w:p>
      <w:pPr>
        <w:sectPr>
          <w:pgSz w:w="11900" w:h="16838" w:orient="portrait"/>
          <w:cols w:equalWidth="0" w:num="1">
            <w:col w:w="11420"/>
          </w:cols>
          <w:pgMar w:left="240" w:top="657" w:right="239" w:bottom="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review of, all potentially available relevant information. These statements are inherently uncertain. Given these uncertainties, you should not place undue reliance on these forward-looking statements.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we will receive net proceeds of approximately $______ million (or approximately $______ million if the underwriter’s over-allotment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is exercised in full) from the sale of the securities offered by us in this offering, based on the assumed public offering price of $______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reported sale price of our common stock on The Nasdaq Capital Market on _____, 2018), and after deducting the estimated underwriting discounts and</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commissions and estimated offering expenses payable by us, and excluding the proceeds, if any, from the exercise of any pre-funded warrants issued pursuant to this offering.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$______ increase (decrease) in the assumed public offering price of $______ per share would increase (decrease) the expected net proceeds to us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offering by approximately $______ million, assuming that the number of shares offered by us, as set forth on the cover page of this prospectus, remains</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same and after deducting the estimated underwriting discounts and commissions and estimated offering expenses payable by us and excluding the proceeds, if any, from the exercise of the pre-funded warrants issued pursuant to this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Similarly, a one million share increase (decrease) in the number of shares offered by us, as set forth on the cover page of this prospectus, would increase (decrease) the net proceeds to us by approximately $______ million, assuming the assumed public offering price of $______ per share remains the same, and</w:t>
      </w: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deducting estimated underwriting discounts and commissions and estimated offering expenses payable by us and excluding the proceeds, if any, from the exercise of the pre-funded warrants issued pursuant to this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attaining regulatory approvals for and commercializing our SCS device in the treatment of hydrocephalus and NPH; expanding and developing the applications of our existing ViRob and SCS IP and prototypes into other areas of CSF</w:t>
      </w:r>
    </w:p>
    <w:p>
      <w:pPr>
        <w:jc w:val="both"/>
        <w:spacing w:after="0" w:line="229" w:lineRule="auto"/>
        <w:rPr>
          <w:sz w:val="20"/>
          <w:szCs w:val="20"/>
          <w:color w:val="auto"/>
        </w:rPr>
      </w:pPr>
      <w:r>
        <w:rPr>
          <w:rFonts w:ascii="Times New Roman" w:cs="Times New Roman" w:eastAsia="Times New Roman" w:hAnsi="Times New Roman"/>
          <w:sz w:val="18"/>
          <w:szCs w:val="18"/>
          <w:color w:val="auto"/>
        </w:rPr>
        <w:t>management, such as EVD, through regulatory submission; developing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for neurovascular disorders from proof of concept to pre-clinical studies; and for working capital and other general corporate purposes. See “Risk Factors” for a discussion of certain risks that may affect our intended use of the net proceeds from this offering, including with respect to the Matter. We may also use a portion of the net proceeds from this offering to in-license, acquire, or invest in complementary businesses, technologies, products or assets. However, we have no current commitments or obligations to do so.</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anticipate that our existing resources, together with the expected net proceeds from this offering, will be sufficient to fund our planned operations until December 2021.</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expected use of net proceeds from this offering represents our current intentions based upon our present plans and business condition. As of the date of this prospectus, we cannot currently allocate specific percentages of the net proceeds that we may use for the purposes specified above, and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Pending the use of the net proceeds from this offering, we intend to invest the net proceeds in investment-grade, interest-bearing instruments.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OUR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7, 2018, the closing price for our common stock as reported on The Nasdaq Capital Market was $4.64 per share. The following table sets forth the ranges of high and low sales prices per share of our common stock as reported on The Nasdaq Capital Market for the period indicated. Such quotations represent inter-dealer prices without retail markup, markdown or commission and may not necessarily represent actual transactions.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High(1)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Low(1)</w:t>
            </w: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2018</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(through November 7, 2018)</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89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for our one-for-fifteen reverse stock split on September 4, 2018.</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November 7, 2018, there were approximately 184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June 30, 2018 was approximately $8.6 million, or $2.72 per share of common stock. Our historical net tangible book value is the amount of our total tangible assets less our liabilities. Historical net tangible book value per common share is our historical net tangible book value divided by the number of shares of common stock outstanding as of June 30, 2018.</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giving effect to the sale of _____ shares of our common stock at the assumed public offering price of $______ per share (the last reported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our common stock on The Nasdaq Capital Market on _______, 2018), and after deducting the estimated underwriting discounts and commissions and</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estimated offering expenses payable by us, and excluding the proceeds, if any, from the exercise of any pre-funded warrants issued pursuant to this offering, our as adjusted net tangible book value as of June 30, 2018 would have been approximately $______ million, or $______ per share of common stock.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immediate increase in as adjusted net tangible book value of $______ per share to our existing stockholders, and an immediate dilution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per share to new investors purchasing securities in this offering at the assumed public offering price. All share and per share information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retroactively adjusted to reflect our 1-for-15 reverse stock split on September 4, 2018.</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2018</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net tangible book value per share attributable to</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0" w:type="dxa"/>
            <w:vAlign w:val="bottom"/>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If the underwriter exercises in full its option to purchase up to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color w:val="auto"/>
        </w:rPr>
        <w:t xml:space="preserve"> additional shares of common stock at the assumed public offering price of $</w:t>
      </w:r>
      <w:r>
        <w:rPr>
          <w:rFonts w:ascii="Times New Roman" w:cs="Times New Roman" w:eastAsia="Times New Roman" w:hAnsi="Times New Roman"/>
          <w:sz w:val="18"/>
          <w:szCs w:val="18"/>
          <w:u w:val="single" w:color="auto"/>
          <w:color w:val="auto"/>
        </w:rPr>
        <w:t>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(the last reported sale price of our common stock on The Nasdaq Capital Market on _______, 2018), the as adjusted net tangible book value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offering would be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color w:val="auto"/>
        </w:rPr>
        <w:t xml:space="preserve"> million, or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color w:val="auto"/>
        </w:rPr>
        <w:t xml:space="preserve"> per share, representing an increase in net tangible book value of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color w:val="auto"/>
        </w:rPr>
        <w:t xml:space="preserve"> per share to existing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immediate dilution in net tangible book value of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color w:val="auto"/>
        </w:rPr>
        <w:t xml:space="preserve"> per share to investors purchasing our securities in this offering at the assumed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discussion and table does not take into account further dilution to investors in this offering that could occur upon the exercise of outstanding options and warrants, including the pre-funded warrants offered pursuant to this offering and the Underwriter’s Warrants, having a per share exercise price less than the public offering price per share in this offering.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discussion and table are based on 2,945,676 shares of common stock outstanding as of June 30, 2018, adjusted for our 1-for-15 reverse stock split on September 4, 2018, and excludes, as of September 30, 2018:</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412,478 shares of our common stock issuable upon the exercise of outstanding stock options, with exercise prices ranging from $0 to $19.35 and having a weighted-average exercise price of $11.70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211,239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outstanding warrants, with exercise prices ranging from approximately $40.00 to $2,885 per share and having a weighted-average exercise price of $1,967 per share;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67,000 shares of our common stock issuable upon the conversion of 1,001 shares of our Series A Convertible Preferred Stock.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options, warrants or other convertible securities outstanding as of June 30, 2018 have been or may be exercised, converted or other shares issued, investors purchasing securities in this offering may experience further dilution. In addition, we may seek to raise additional capital in the future through the sale of equity or convertible debt securities.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 November 7, 2018, by:</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those known by us to be to a beneficial owner of more than 5% of the Company’s common stock.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general, “beneficial ownership” refers to shares that an individual or entity has the power to vote or dispose of, and any rights to acquire common stock that are currently exercisable or will become exercisable within 60 days of November 7, 2018. We calculated percentage ownership in accordance with the rules of the SEC. The percentage of common stock beneficially owned is based on 2,975,676 shares outstanding as of November 7, 2018. In addition, shares issuable pursuant to options or other convertible securities that may be acquired within 60 days of November 7, 2018 are deemed to be issued and outstanding and have been treated as outstanding in calculating and determining the beneficial ownership and percentage ownership of those persons possessing those securities, but not for any other persons.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 of the Company listed is: c/o Microbot Medical Inc., 25 Recreation Park Drive, Unit 108, Hingham, MA 02043.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Percentage of Common Stock</w:t>
            </w:r>
          </w:p>
        </w:tc>
      </w:tr>
      <w:tr>
        <w:trPr>
          <w:trHeight w:val="245"/>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r>
      <w:tr>
        <w:trPr>
          <w:trHeight w:val="237"/>
        </w:trPr>
        <w:tc>
          <w:tcPr>
            <w:tcW w:w="52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Before Offering</w:t>
            </w:r>
          </w:p>
        </w:tc>
        <w:tc>
          <w:tcPr>
            <w:tcW w:w="1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After Offering(1)</w:t>
            </w:r>
          </w:p>
        </w:tc>
        <w:tc>
          <w:tcPr>
            <w:tcW w:w="100" w:type="dxa"/>
            <w:vAlign w:val="bottom"/>
          </w:tcPr>
          <w:p>
            <w:pPr>
              <w:spacing w:after="0"/>
              <w:rPr>
                <w:sz w:val="20"/>
                <w:szCs w:val="20"/>
                <w:color w:val="auto"/>
              </w:rPr>
            </w:pPr>
          </w:p>
        </w:tc>
      </w:tr>
      <w:tr>
        <w:trPr>
          <w:trHeight w:val="216"/>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(2)</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303,384</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Yoav Waizer</w:t>
            </w:r>
            <w:r>
              <w:rPr>
                <w:rFonts w:ascii="Times New Roman" w:cs="Times New Roman" w:eastAsia="Times New Roman" w:hAnsi="Times New Roman"/>
                <w:sz w:val="29"/>
                <w:szCs w:val="29"/>
                <w:color w:val="auto"/>
                <w:vertAlign w:val="superscript"/>
              </w:rPr>
              <w:t>(3)</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(4)</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299,710</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1,016</w:t>
            </w:r>
          </w:p>
        </w:tc>
        <w:tc>
          <w:tcPr>
            <w:tcW w:w="2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Ben Naim</w:t>
            </w:r>
            <w:r>
              <w:rPr>
                <w:rFonts w:ascii="Times New Roman" w:cs="Times New Roman" w:eastAsia="Times New Roman" w:hAnsi="Times New Roman"/>
                <w:sz w:val="29"/>
                <w:szCs w:val="29"/>
                <w:color w:val="auto"/>
                <w:vertAlign w:val="superscript"/>
              </w:rPr>
              <w:t>(3)</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Yehezkel (Hezi) Himelfarb</w:t>
            </w:r>
            <w:r>
              <w:rPr>
                <w:rFonts w:ascii="Times New Roman" w:cs="Times New Roman" w:eastAsia="Times New Roman" w:hAnsi="Times New Roman"/>
                <w:sz w:val="29"/>
                <w:szCs w:val="29"/>
                <w:color w:val="auto"/>
                <w:vertAlign w:val="superscript"/>
              </w:rPr>
              <w:t>(3)</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29,004</w:t>
            </w:r>
          </w:p>
        </w:tc>
        <w:tc>
          <w:tcPr>
            <w:tcW w:w="2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1,016</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(8 persons)</w:t>
            </w:r>
            <w:r>
              <w:rPr>
                <w:rFonts w:ascii="Times New Roman" w:cs="Times New Roman" w:eastAsia="Times New Roman" w:hAnsi="Times New Roman"/>
                <w:sz w:val="29"/>
                <w:szCs w:val="29"/>
                <w:color w:val="auto"/>
                <w:vertAlign w:val="superscript"/>
              </w:rPr>
              <w:t>(5)</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638,162</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20.33%</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Five Percent Shareholders</w:t>
            </w: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LSA - Life Science Accelerator Ltd.</w:t>
            </w:r>
            <w:r>
              <w:rPr>
                <w:rFonts w:ascii="Times New Roman" w:cs="Times New Roman" w:eastAsia="Times New Roman" w:hAnsi="Times New Roman"/>
                <w:sz w:val="29"/>
                <w:szCs w:val="29"/>
                <w:color w:val="auto"/>
                <w:vertAlign w:val="superscript"/>
              </w:rPr>
              <w:t>(4)</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299,710</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MEDX Ventures Group LLC</w:t>
            </w:r>
            <w:r>
              <w:rPr>
                <w:rFonts w:ascii="Times New Roman" w:cs="Times New Roman" w:eastAsia="Times New Roman" w:hAnsi="Times New Roman"/>
                <w:sz w:val="29"/>
                <w:szCs w:val="29"/>
                <w:color w:val="auto"/>
                <w:vertAlign w:val="superscript"/>
              </w:rPr>
              <w:t>(6)</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254,711</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8.34%</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2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Saber Holding GmbH</w:t>
            </w:r>
            <w:r>
              <w:rPr>
                <w:rFonts w:ascii="Times New Roman" w:cs="Times New Roman" w:eastAsia="Times New Roman" w:hAnsi="Times New Roman"/>
                <w:sz w:val="29"/>
                <w:szCs w:val="29"/>
                <w:color w:val="auto"/>
                <w:vertAlign w:val="superscript"/>
              </w:rPr>
              <w:t>(7)</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287,134</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9.65%</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Moshe Shoham</w:t>
            </w:r>
            <w:r>
              <w:rPr>
                <w:rFonts w:ascii="Times New Roman" w:cs="Times New Roman" w:eastAsia="Times New Roman" w:hAnsi="Times New Roman"/>
                <w:sz w:val="29"/>
                <w:szCs w:val="29"/>
                <w:color w:val="auto"/>
                <w:vertAlign w:val="superscript"/>
              </w:rPr>
              <w:t>(8)</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159,636</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__ shares of our common stock and common stock underlying pre-funded warrants offered by us in this offering and does not include any shares of our common stock underlying the underwriter’s option to cover over-allotments, or underlying the Underwriter’s Warrants.</w:t>
      </w: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77,864 shares of our common stock issuable upon the exercise of options granted to MEDX Ventures Group and 48,673 shares of our common stock issuable upon the exercise of options granted to Mr. Gadot. All of such shares and 77,864 options are held by MEDX Ventures Group LLC, which is beneficially owned by Mr. Gadot. See Note 6 below.</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1,016 shares of our common stock issuable upon exercise of options.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48,673 shares of our common stock issuable upon the exercise of options granted to Mr. Gadot directly. See Note 1 above.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55,743 shares of our common stock issuable upon the exercise of options.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725"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up to 221,000,000 shares of capital stock, par value $0.01 per share, divided into two classes designated, respectively, “common stock” and undesignated “preferred stock.” Of such shares authorized, 220,000,000 shares are designated as common stock, and 1,000,000 shares are designated as undesignated preferred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of our capital stock and certain provisions of our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 The summary below is also qualified by provisions of applicable law.</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4, 2018, we filed a Certificate of Amendment (the “Amendment”) to our Restated Certificate of Incorporation to implement a 1-for-15 reverse split of our common stock (the “Reverse Stock Split”). As a result of the Reverse Stock Split, each fifteen shares of our issued and outstanding common stock were automatically combined and converted into one issued and outstanding share of common stock. The Reverse Stock Split affected all issued and outstanding shares of the Company’s common stock and preferred stock, as well as common stock underlying stock options, preferred stock and warrants outstanding immediately prior to the effectiveness of the Reverse Stock Split. The Amendment did not decrease the number of authorized shares of the Company’s common stock, nor did it alter the par value of common stock, which remained at $0.01 per share, or modify any voting rights or other terms of our common stock or preferred stock. Unless otherwise indicated, all information set forth in this prospectus gives effect to the Reverse Stock Split.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November 7, 2018, there were 2,975,676 shares of common stock outstanding that were held of record by approximately 184 stockholders, although we believe that there is a significantly larger number of beneficial owners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authority to issue up to 1,000,000 shares of preferred stock, par value $0.01 per share. As of June 30, 2018, we had 1,001 shares of Series A Convertible Preferred Stock issued and outstanding that can convert into an aggregate of 67,000 shares of our common stock. As of the date of this prospectus, no other shares of our preferred stock were outstanding or designated.</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If we issue a specific series of preferred stock, we will file a copy of the certificate establishing the terms of the preferred stock with the Secretary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the State of Delaware and with the SEC. To the extent required, this description will include:</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2016 and May 2017, we filed a Certificate of Designation of Preferences, Rights and Limitations of Series A Convertible Preferred Stock, or the Series A Certificate of Designation, with the Secretary of State of the State of Delaware, establishing and designating an aggregate of 12,991 shares of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2018, we had 1,001 shares of Series A Preferred Stock issued and outstanding, convertible into an aggregate of 67,000 shares of our common stock, and no shares of Series A Preferred Stock are available for issuance.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2018,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approximately 2,770 shares of our common stock at an exercise price of approximately $40.00 per share, which are exercisable through March 14, 2022, and which are subject to “full ratchet” price-based anti-dilution adjustments;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approximately 683 shares of our common stock at an exercise price of approximately $1,363 per share, which are exercisable through April 30, 2020;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approximately 183 shares of our common stock at an exercise price of approximately $2,725 per share, which are exercisable through April 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ectPr>
          <w:pgSz w:w="11900" w:h="16838" w:orient="portrait"/>
          <w:cols w:equalWidth="0" w:num="1">
            <w:col w:w="11420"/>
          </w:cols>
          <w:pgMar w:left="240" w:top="661" w:right="239" w:bottom="67" w:gutter="0" w:footer="0" w:header="0"/>
        </w:sectPr>
      </w:pPr>
    </w:p>
    <w:bookmarkStart w:id="23" w:name="page24"/>
    <w:bookmarkEnd w:id="23"/>
    <w:p>
      <w:pPr>
        <w:ind w:firstLine="360"/>
        <w:spacing w:after="0" w:line="283"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Meidinger Tower, 462 South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Street, Louisville, KY 40202.</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offering _____ shares of our common stock or pre-funded warrants to purchase shares of our common stock. The shares of common stock or pre-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funded warrants will be issued separately. We are also registering the shares of common stock issuable from time to time upon exercise of the pre-funded warrants offered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which qualifies or limits our common stock are described under the caption “Description of Capital Stock”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Duration and Exercise Price. </w:t>
      </w:r>
      <w:r>
        <w:rPr>
          <w:rFonts w:ascii="Times New Roman" w:cs="Times New Roman" w:eastAsia="Times New Roman" w:hAnsi="Times New Roman"/>
          <w:sz w:val="18"/>
          <w:szCs w:val="18"/>
          <w:color w:val="auto"/>
        </w:rPr>
        <w:t>Each pre-funded warrant offered hereby will have an initial exercise price per share equal to $0.01.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If, at the time a holder exercises its pre-funded warrants, a registration statement registering the issuance of the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 together with the appropriate instruments of transfer.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list the pre-funded warrants on any securities exchange or nationally recognized trading system.</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 as a Stockholder. </w:t>
      </w:r>
      <w:r>
        <w:rPr>
          <w:rFonts w:ascii="Times New Roman" w:cs="Times New Roman" w:eastAsia="Times New Roman" w:hAnsi="Times New Roman"/>
          <w:sz w:val="18"/>
          <w:szCs w:val="18"/>
          <w:color w:val="auto"/>
        </w:rPr>
        <w:t>Except as otherwise provided in the pre-funded warrants or by virtue of such holder’s ownership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the pre-funded warrants do not have the rights or privileges of holders of our common stock, including any voting rights, until they exercise their pre-funded warrants.</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In the event of a fundamental transaction, as described in the pre-funded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an underwriting agreement dated ________, 2018 with H.C. Wainwright &amp; Co., LLC, as underwriter, with respect to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being offered hereby. Subject to the terms and conditions of the underwriting agreement, we have agreed to sell to the underwriter and the underwriter has agreed to purchase from us, at the public offering price less the underwriting discounts and commissions set forth on the cover page of this prospectus, shares of our common stock and pre-funded warrants.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underwriting agreement, we have agreed to sell to the underwriter named below, and the underwriter has agreed to purchase from us, the respective number of shares of common stock and pre-funded warrants set forth opposite its name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1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Pre-</w:t>
            </w:r>
          </w:p>
        </w:tc>
        <w:tc>
          <w:tcPr>
            <w:tcW w:w="0" w:type="dxa"/>
            <w:vAlign w:val="bottom"/>
          </w:tcPr>
          <w:p>
            <w:pPr>
              <w:spacing w:after="0"/>
              <w:rPr>
                <w:sz w:val="1"/>
                <w:szCs w:val="1"/>
                <w:color w:val="auto"/>
              </w:rPr>
            </w:pPr>
          </w:p>
        </w:tc>
      </w:tr>
      <w:tr>
        <w:trPr>
          <w:trHeight w:val="189"/>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3180" w:type="dxa"/>
            <w:vAlign w:val="bottom"/>
          </w:tcPr>
          <w:p>
            <w:pPr>
              <w:jc w:val="center"/>
              <w:ind w:left="17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60" w:type="dxa"/>
            <w:vAlign w:val="bottom"/>
            <w:tcBorders>
              <w:bottom w:val="single" w:sz="8" w:color="auto"/>
            </w:tcBorders>
            <w:vMerge w:val="continue"/>
          </w:tcPr>
          <w:p>
            <w:pPr>
              <w:spacing w:after="0"/>
              <w:rPr>
                <w:sz w:val="20"/>
                <w:szCs w:val="20"/>
                <w:color w:val="auto"/>
              </w:rPr>
            </w:pPr>
          </w:p>
        </w:tc>
        <w:tc>
          <w:tcPr>
            <w:tcW w:w="3180" w:type="dxa"/>
            <w:vAlign w:val="bottom"/>
            <w:tcBorders>
              <w:bottom w:val="single" w:sz="8" w:color="auto"/>
            </w:tcBorders>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funded Warrants</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H.C. Wainwright &amp; Co., LLC</w:t>
            </w:r>
          </w:p>
        </w:tc>
        <w:tc>
          <w:tcPr>
            <w:tcW w:w="3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 of the underwriter to purchase the shares of common stock and/or pre-funded warrants offered by this prospectus is subject to certain conditions. The underwriter is obligated to purchase all of the shares of common stock and/or pre-funded warrants if any of the securities are purchased, other than those shares covered by the option to purchase additional securities described below. Delivery of the shares of common stock and any pre-funded warrants to purchasers is expected on or about ______, 2018, subject to certain customary closing conditions.</w:t>
      </w:r>
    </w:p>
    <w:p>
      <w:pPr>
        <w:spacing w:after="0" w:line="180"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The underwriter proposes to offer the shares of common stock and/or pre-funded warrants purchased pursuant to the underwriting agreement to the public at the public offering price set forth on the cover page of this prospectus and to certain dealers at that price less a concession not in excess of $_____</w:t>
      </w:r>
    </w:p>
    <w:p>
      <w:pPr>
        <w:jc w:val="both"/>
        <w:spacing w:after="0" w:line="261" w:lineRule="auto"/>
        <w:rPr>
          <w:sz w:val="20"/>
          <w:szCs w:val="20"/>
          <w:color w:val="auto"/>
        </w:rPr>
      </w:pPr>
      <w:r>
        <w:rPr>
          <w:rFonts w:ascii="Times New Roman" w:cs="Times New Roman" w:eastAsia="Times New Roman" w:hAnsi="Times New Roman"/>
          <w:sz w:val="18"/>
          <w:szCs w:val="18"/>
          <w:color w:val="auto"/>
        </w:rPr>
        <w:t>per share or per pre-funded warrant. After this offering, the public offering price and concession may be changed by the underwriter. No such change shall change the amount of proceeds to be received by us as set forth on the cover page of this prospectus.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common stock and/or pre-funded warrants to be purchased by the underwriter, the underwriter will be deemed to have received compensation in the form of underwriting commissions and discounts. The underwriter’s commissions and discounts will be 7% of the gross proceeds of this offering, or $_____ per share of common stock or per pre-funded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 Commissions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These amounts are shown assuming both no exercise and full exercise of the underwriter’s option to purchase additional shares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funded</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Total With</w:t>
            </w:r>
          </w:p>
        </w:tc>
      </w:tr>
      <w:tr>
        <w:trPr>
          <w:trHeight w:val="245"/>
        </w:trPr>
        <w:tc>
          <w:tcPr>
            <w:tcW w:w="52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pay to the underwriter a management fee equal to 1% of the aggregate gross proceeds raised in this offering. We estimate the total expenses payable by us for this offering, excluding the underwriting discounts and commissions, to be approximately $_____, which includes (i) a</w:t>
      </w:r>
    </w:p>
    <w:p>
      <w:pPr>
        <w:jc w:val="both"/>
        <w:spacing w:after="0" w:line="254" w:lineRule="auto"/>
        <w:rPr>
          <w:sz w:val="20"/>
          <w:szCs w:val="20"/>
          <w:color w:val="auto"/>
        </w:rPr>
      </w:pPr>
      <w:r>
        <w:rPr>
          <w:rFonts w:ascii="Times New Roman" w:cs="Times New Roman" w:eastAsia="Times New Roman" w:hAnsi="Times New Roman"/>
          <w:sz w:val="18"/>
          <w:szCs w:val="18"/>
          <w:color w:val="auto"/>
        </w:rPr>
        <w:t>$35,000 non-accountable expense allowance payable to the underwriter, (ii) reimbursement of the accountable expenses of the underwriter up to $125,000, including the legal fees of the underwriter, (iii) if applicable, reimbursement of documented costs of clearing agent settlement and financing up to $10,000 and (iv) other estimated expenses, which include legal, accounting, printing costs and various fees associated with the registration and listing of our securities sold in this offering in a total estimated amount of $_____.</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pay the underwriter a tail fee equal to the cash and warrant compensation in this offering if any investor which the underwriter contacted or introduced us to during the term of the underwriter’s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entered into between us and the underwriter.</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we have agreed to issue to the underwriter warrants (the “Underwriter’s Warrants”) to purchase up to shares of common stock, which represents 5% of the aggregate number of shares of common stock and pre-funded warrants sold in this offering (including the number of shares of common stock issuable upon exercise of the option to purchase additional securities), at an exercise price of $_____ per share (representing 125% of the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public offering price per share of common stock to be sold in this offering). The Underwriter’s Warrants will be exercisable immediately and shall expire five years following the effective date of this offering. Pursuant to FINRA Rule 5110(g),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 (i) by operation of law or by reason of our reorganization; (ii) to any FINRA member firm participating in the offering and the officers or partners thereof, if all securities so transferred remain subject to the lock-up restriction set forth above for the remainder of the time period; (iii) if the aggregate amount of our securities held by the underwriter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granted to the underwriter an option, exercisable not later than 30 days after the date of this prospectus, to purchase up to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shares of common stock at the public offering price, less the underwriting discounts and commissions, set forth on the cover page of this prospectus. If</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shares of common stock are purchased pursuant to such option, the underwriter will offer these securities on the same terms as those on which the securities are being offered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granted the underwriter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Section 16 (under the Exchange Act) officers and directors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Certain limited transfers are permitted during the lock-up period if the transferee agrees to these lock-up restrictions.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agreed, in the underwriting agreement, to similar lock-up restrictions on the issuance and sale of our shares of common stock, or any securities convertible into, or exercisable or exchangeable for, shares of common stock, for 90 days following the closing of this offering, subject to certain exceptions.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may, in its sole discretion and without notice, waive the terms of any of these lock-up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specific maximum.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 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also may engage in passive market making transactions in our common stock in accordance with Regulation M during a period before the commencement of offers or sales of our securities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actual offering price of the securities we are offering will be negotiated between us and the underwriter based on the trading of our common stock prior to the offering, among other things, and may be at a discount to the current market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if any, participating in this offering and the underwriter may distribute prospectuses electronically. Other than the prospectus in electronic format, the information on these websites is not part of this prospectus or the registration statement of which this prospectus form a part, has not been approved or endorsed by us or the underwriter, and should not be relied upon by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 and its respective affiliates may in the future engage in investment banking and other commercial dealings in the ordinary course of business with us or our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We do not plan to list the pre-funded warrants or the Underwriter’s Warrants on The Nasdaq Capital Market or any other securities exchange or trading market.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Belgium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 has undertaken not to offer sell, resell, transfer or deliver directly or indirectly, any units, or to take any steps relating/ancillary thereto, and not to distribute or publish this document or any other material relating to the units or to the offering in a manner which would be construed as:</w:t>
      </w:r>
    </w:p>
    <w:p>
      <w:pPr>
        <w:jc w:val="both"/>
        <w:ind w:firstLine="8"/>
        <w:spacing w:after="0" w:line="255"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securities may be resold only in compliance with Articles L.411-1, L.411-2, L.412-1 and L.621-8 through L.621-8-3 of the French Code monétaire et financier.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Kingdom/Germany/Norway/The Netherlands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security may be made at any time under the following exemptions under the Prospectus Directive, if they have been implemented in that Relevant Member State:</w:t>
      </w:r>
    </w:p>
    <w:p>
      <w:pPr>
        <w:spacing w:after="0" w:line="189"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authorised or regulated to operate in the financial markets or, if not so authorised or regulated, whose corporate purpose is solely to invest in securities;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representative to fewer than 100 natural or legal persons (other than qualified investors as defined in the Prospectus Directive); or</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units shall result in a requirement for the publication by the company or any underwriter of a prospectus pursuant to Article 3 of the Prospectus Directive.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units in any Relevant Member State means the communication in any form and by any means of sufficient information on the terms of the offer and any units to be offered so as to enable an investor to decide to purchase any units,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has represented, warranted and agreed that: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units in circumstances in which section 21(1) of the FSMA does not apply to the company; and</w:t>
      </w:r>
    </w:p>
    <w:p>
      <w:pPr>
        <w:spacing w:after="0" w:line="17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qualified investors. Qualified investors will be required to submit written confirmation that they fall within the scope of the Addendum.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or any other document relating to the securities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or any other document relating to the securities offered hereby in Italy must be made:</w:t>
      </w:r>
    </w:p>
    <w:p>
      <w:pPr>
        <w:spacing w:after="0" w:line="188"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Act and the implementing guidelines of the Bank of Italy;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laws and regulations and other possible requirements or limitations which may be imposed by Italian authorities.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Sweden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has not been nor will it be registered with or approved by Finansinspektionen (the Swedish Financial Supervisory Authority). Accordingly, this prospectus may not be made available, nor may the securities offered hereunder be marketed and offered for sale in Sweden, other than under circumstances which are deemed not to require a prospectus under the Financial Instruments Trading Act (1991: 980).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securities being offered pursuant to this prospectus on the SWX Swiss Exchange or on any other regulated securities market, and consequently, the information presented in this prospectus does not necessarily comply with the information standards set out in the relevant listing rules. The securities being offered pursuant to this prospectus have not been registered with the Swiss Federal Banking Commission as foreign investment funds, and the investor protection afforded to acquirers of investment fund certificates does not extend to acquirers of securities.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Investors are advised to contact their legal, financial or tax advisers to obtain an independent assessment of the financial and tax consequences of an investment in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will be passed upon for us by Mintz, Levin, Cohn, Ferris, Glovsky and Popeo P.C., Boston, Massachusetts. The underwriter is being represented by Lowenstein Sandler,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appearing it its Annual Report on Form 10-K for the year ended December 31, 2017, have been audited by Brightman Almagor Zohar &amp; Co., a Member of Deloitte Touche Tohmatsu Limited,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25 Recreation Park Drive, Unit 108 Hingham, Massachusetts 02043 or telephoning us at (781) 875-3605.</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www.microbotmedical.com.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April 2, 2018;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and June 30, 2018, filed with the SEC on May 15, 2018 and August 14, 2018,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with the SEC on July 27, 2018;</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and any amendments thereto on Form 8-K/A, filed with the SEC on January 8, 2018; January 31, 2018; March 28, 2018; April 5, 2018; April 16, 2018; September 4, 2018 and October 1, 2018 (in each case, except for information contained therein which is furnished rather than filed);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MICROBOT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360" w:type="dxa"/>
            <w:vAlign w:val="bottom"/>
            <w:gridSpan w:val="11"/>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AS OF DECEMBER 31, 2017</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Report of Independent Registered Public Accounting Firm</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2"/>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Consolidated Balance Sheets as of December 31, 2017, and 2016</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Consolidated Statements of Comprehensive Loss for the years ended December 31, 2017 and 2016</w:t>
              </w:r>
            </w:hyperlink>
          </w:p>
        </w:tc>
        <w:tc>
          <w:tcPr>
            <w:tcW w:w="36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2"/>
          </w:tcPr>
          <w:p>
            <w:pPr>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Consolidated Statements of Shareholders’ Equity (Deficit) for the years ended December 31, 2017 and 2016</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Cash Flows for the years ended December 31, 2017 and 2016</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Notes to the Consolidated Financial Statements</w:t>
              </w:r>
            </w:hyperlink>
          </w:p>
        </w:tc>
        <w:tc>
          <w:tcPr>
            <w:tcW w:w="4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2"/>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Interim Consolidated Balance Sheets as of June 30, 2018 (unaudited) and December 31, 2017</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Interim Consolidated Statements of Comprehensive Loss for the three and six months ended June 30, 2018 (unaudited)</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2"/>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Interim Consolidated Statements of Shareholders’ Equity for the year ended December 31, 2018 and the six months ended June 30, 2018 (unaudited)</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Interim Consolidated Statements of Cash Flows for the three and six months ended June 30, 2018 and 2017 (unaudited)</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Notes to the Interim Consolidated Financial Statements</w:t>
              </w:r>
            </w:hyperlink>
          </w:p>
        </w:tc>
        <w:tc>
          <w:tcPr>
            <w:tcW w:w="21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F-33</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33" w:name="page34"/>
    <w:bookmarkEnd w:id="33"/>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2143760"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71805"/>
                    </a:xfrm>
                    <a:prstGeom prst="rect">
                      <a:avLst/>
                    </a:prstGeom>
                    <a:noFill/>
                  </pic:spPr>
                </pic:pic>
              </a:graphicData>
            </a:graphic>
          </wp:anchor>
        </w:drawing>
      </w:r>
    </w:p>
    <w:p>
      <w:pPr>
        <w:ind w:right="5260"/>
        <w:spacing w:after="0" w:line="26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Board of Directors and Stockholders of MICROBOT MEDICAL,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6277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Deloitte Touche Tohmatsu Limited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2018, except Note 1D, as to which the date is November 8,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02580" cy="1526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025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10,787</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8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liability</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$0.01 par value; issued and outstanding: 721,107 shares as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2017 and 2016</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of $0.01 par value; Authorized: 1,000,000 shares as of</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2017 and 2016;issued and outstanding: 4,001 and 9,736 shares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2017 and 2016, respectively</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$0.01 par value; Authorized: 220,000,000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2017 and 2016; issued and outstanding (**): 2,013,193 and 1,067,777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December 31, 2017, and December 31, 2016, respectively</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30,561</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(20,624)</w:t>
            </w:r>
          </w:p>
        </w:tc>
        <w:tc>
          <w:tcPr>
            <w:tcW w:w="6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Borders>
              <w:top w:val="single" w:sz="8" w:color="CCEEFF"/>
              <w:bottom w:val="single" w:sz="8" w:color="CCEEFF"/>
            </w:tcBorders>
          </w:tcPr>
          <w:p>
            <w:pPr>
              <w:spacing w:after="0"/>
              <w:rPr>
                <w:sz w:val="22"/>
                <w:szCs w:val="22"/>
                <w:color w:val="auto"/>
              </w:rPr>
            </w:pPr>
          </w:p>
        </w:tc>
        <w:tc>
          <w:tcPr>
            <w:tcW w:w="3240" w:type="dxa"/>
            <w:vAlign w:val="bottom"/>
            <w:tcBorders>
              <w:top w:val="single" w:sz="8" w:color="CCEEFF"/>
              <w:bottom w:val="single" w:sz="8" w:color="CCEEFF"/>
            </w:tcBorders>
          </w:tcPr>
          <w:p>
            <w:pPr>
              <w:spacing w:after="0"/>
              <w:rPr>
                <w:sz w:val="22"/>
                <w:szCs w:val="22"/>
                <w:color w:val="auto"/>
              </w:rPr>
            </w:pPr>
          </w:p>
        </w:tc>
        <w:tc>
          <w:tcPr>
            <w:tcW w:w="20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32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11,020</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firstLine="8"/>
        <w:spacing w:after="0" w:line="261" w:lineRule="auto"/>
        <w:tabs>
          <w:tab w:leader="none" w:pos="3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share data represents the number of shares adjusted to retroactively reflect the 1:15 reverse Stock Split effected on September 4, 2018, as discussed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 net</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(7,589)</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 outstanding, basic and</w:t>
            </w: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w:t>
            </w: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2,201,992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share data represents the number of shares adjusted to retroactively reflect the 1:15 reverse Stock Split effected on September 4, 2018, as discussed in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A Shares –</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 Microbot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Microbot Medical Ltd.</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rPr>
              <w:t>Medical Inc.</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 - merger) *</w:t>
            </w:r>
          </w:p>
        </w:tc>
        <w:tc>
          <w:tcPr>
            <w:tcW w:w="6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(Post - merger) *</w:t>
            </w:r>
          </w:p>
        </w:tc>
        <w:tc>
          <w:tcPr>
            <w:tcW w:w="17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 (***)</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8,708,132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87</w:t>
            </w:r>
          </w:p>
        </w:tc>
        <w:tc>
          <w:tcPr>
            <w:tcW w:w="7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888,188</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3,212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(3,372)</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(64)</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 notes and exercise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4,746,237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w:t>
            </w: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1,803</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1,851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issued upon conversion</w:t>
            </w: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reverse recapitalization</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(13,454,369)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7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1,030,957</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classified as temporary equity</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Beneficial Conversion Feature recorded 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2,029</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debt acquired in reverse recapitalization</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incurred in reverse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525,706</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6,890</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6,895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recapitalization</w:t>
            </w: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Cancellation of ordinary shares and issuance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9,736</w:t>
            </w:r>
          </w:p>
        </w:tc>
        <w:tc>
          <w:tcPr>
            <w:tcW w:w="3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(655,967)</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December 31, 2016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9,736</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(**)1,788,884</w:t>
            </w:r>
          </w:p>
        </w:tc>
        <w:tc>
          <w:tcPr>
            <w:tcW w:w="2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14,713</w:t>
            </w: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(13,035)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299,815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8,085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31,787</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Cashless exercise of warrants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Extinguishment of convertible notes and issuance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3,255</w:t>
            </w:r>
          </w:p>
        </w:tc>
        <w:tc>
          <w:tcPr>
            <w:tcW w:w="3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2,676</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2,676</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preferred A shares</w:t>
            </w: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A shares to common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(8,990)</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605,705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December 31, 2017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4,001</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**2,734,300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30,561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2"/>
                <w:szCs w:val="12"/>
                <w:b w:val="1"/>
                <w:bCs w:val="1"/>
                <w:color w:val="auto"/>
              </w:rPr>
              <w:t>(20,624</w:t>
            </w:r>
            <w:r>
              <w:rPr>
                <w:rFonts w:ascii="Times New Roman" w:cs="Times New Roman" w:eastAsia="Times New Roman" w:hAnsi="Times New Roman"/>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9,964</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jc w:val="both"/>
        <w:ind w:firstLine="8"/>
        <w:spacing w:after="0" w:line="250" w:lineRule="auto"/>
        <w:tabs>
          <w:tab w:leader="none" w:pos="1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721,107 common stock classified as temporary equity.</w:t>
      </w:r>
    </w:p>
    <w:p>
      <w:pPr>
        <w:spacing w:after="0" w:line="9"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December 31 2017, 2016 and 2015 share data represent the number of shares adjusted to retroactively reflect the 1:15 reverse Stock Split effected on September 4, 2018, as discussed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(7,589)</w:t>
            </w: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amortization of discount on convertible notes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Share-based 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loss on debt extinguishment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warrant liability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INVESTMENT ACTIVITIES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 in connection with reverse recapitalization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Inflows in connection with current assets and liabilities acquired in reverse recapitalization,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warrants issued upon conversion of notes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8,078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4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10,787</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Non-cash financing transactions: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4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A shares into common shares</w:t>
            </w:r>
          </w:p>
        </w:tc>
        <w:tc>
          <w:tcPr>
            <w:tcW w:w="14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Extinguishment of convertible notes in exchange for preferred A shares</w:t>
            </w:r>
          </w:p>
        </w:tc>
        <w:tc>
          <w:tcPr>
            <w:tcW w:w="14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2,083</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MICROBOT MEDICAL INC.</w:t>
            </w:r>
          </w:p>
        </w:tc>
        <w:tc>
          <w:tcPr>
            <w:tcW w:w="2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5"/>
          </w:tcPr>
          <w:p>
            <w:pPr>
              <w:jc w:val="center"/>
              <w:ind w:left="21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(Except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Assets acquired (liabilities assumed):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November 28,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recapitalization effect on equity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acquired in connection with reverse recapitalization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5"/>
              </w:rPr>
              <w:t>F-7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600" w:hanging="566"/>
        <w:spacing w:after="0"/>
        <w:tabs>
          <w:tab w:leader="none" w:pos="16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76"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1540"/>
        <w:spacing w:after="0" w:line="252"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0.2 shares (2.9 shares before the Reverse Split described below) of the Company’s common stock, par value $0.01 per share, after giving effect to a one for nine reverse stock splits of the date of the merger, for an aggregate of 1,788,884 shares (26,550,974 shares before the Reverse Split) of Company’s common Stock issued to the former Microbot Israel shareholders. In addition, all outstanding options to purchase the ordinary shares of Microbot Israel were assumed by the Company and converted into options to purchase an aggregate of 176,181 shares (2,614,916 shares before the Reverse Split) of the Company’s common stock. Additionally, the Company issued an aggregate of 525,706 restricted shares (7,802,639 restricted shares before the Reverse Split)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99" w:lineRule="exact"/>
        <w:rPr>
          <w:sz w:val="20"/>
          <w:szCs w:val="20"/>
          <w:color w:val="auto"/>
        </w:rPr>
      </w:pPr>
    </w:p>
    <w:p>
      <w:pPr>
        <w:jc w:val="both"/>
        <w:ind w:left="1540"/>
        <w:spacing w:after="0" w:line="256" w:lineRule="auto"/>
        <w:rPr>
          <w:sz w:val="20"/>
          <w:szCs w:val="20"/>
          <w:color w:val="auto"/>
        </w:rPr>
      </w:pPr>
      <w:r>
        <w:rPr>
          <w:rFonts w:ascii="Times New Roman" w:cs="Times New Roman" w:eastAsia="Times New Roman" w:hAnsi="Times New Roman"/>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88"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76" w:lineRule="exact"/>
        <w:rPr>
          <w:sz w:val="20"/>
          <w:szCs w:val="20"/>
          <w:color w:val="auto"/>
        </w:rPr>
      </w:pPr>
    </w:p>
    <w:p>
      <w:pPr>
        <w:jc w:val="both"/>
        <w:ind w:left="1540" w:right="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collectively referred to as the “Company”. “StemCells” or “StemCells, Inc.” refers to the Company prior to the Merger.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ind w:left="1600" w:hanging="566"/>
        <w:spacing w:after="0"/>
        <w:tabs>
          <w:tab w:leader="none" w:pos="16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the date of issuance of these financial statements, the Company has cash and cash equivalent balance of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2" w:lineRule="exact"/>
        <w:rPr>
          <w:sz w:val="20"/>
          <w:szCs w:val="20"/>
          <w:color w:val="auto"/>
        </w:rPr>
      </w:pPr>
    </w:p>
    <w:p>
      <w:pPr>
        <w:ind w:left="1600" w:hanging="566"/>
        <w:spacing w:after="0"/>
        <w:tabs>
          <w:tab w:leader="none" w:pos="16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ind w:left="1600" w:hanging="566"/>
        <w:spacing w:after="0"/>
        <w:tabs>
          <w:tab w:leader="none" w:pos="16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left="1540"/>
        <w:spacing w:after="0" w:line="253" w:lineRule="auto"/>
        <w:rPr>
          <w:sz w:val="20"/>
          <w:szCs w:val="20"/>
          <w:color w:val="auto"/>
        </w:rPr>
      </w:pPr>
      <w:r>
        <w:rPr>
          <w:rFonts w:ascii="Times New Roman" w:cs="Times New Roman" w:eastAsia="Times New Roman" w:hAnsi="Times New Roman"/>
          <w:sz w:val="18"/>
          <w:szCs w:val="18"/>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stock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600" w:hanging="566"/>
        <w:spacing w:after="0"/>
        <w:tabs>
          <w:tab w:leader="none" w:pos="16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1600" w:hanging="566"/>
        <w:spacing w:after="0"/>
        <w:tabs>
          <w:tab w:leader="none" w:pos="16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in U.S. dollars:</w:t>
      </w:r>
    </w:p>
    <w:p>
      <w:pPr>
        <w:spacing w:after="0" w:line="229"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ind w:left="1540" w:right="20"/>
        <w:spacing w:after="0" w:line="282"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62"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ind w:left="566" w:hanging="566"/>
        <w:spacing w:after="0"/>
        <w:tabs>
          <w:tab w:leader="none" w:pos="56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506"/>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58" w:lineRule="exact"/>
        <w:rPr>
          <w:sz w:val="20"/>
          <w:szCs w:val="20"/>
          <w:color w:val="auto"/>
        </w:rPr>
      </w:pPr>
    </w:p>
    <w:p>
      <w:pPr>
        <w:ind w:left="566" w:hanging="566"/>
        <w:spacing w:after="0"/>
        <w:tabs>
          <w:tab w:leader="none" w:pos="56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506"/>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506" w:right="2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8.</w:t>
      </w:r>
    </w:p>
    <w:p>
      <w:pPr>
        <w:spacing w:after="0" w:line="162" w:lineRule="exact"/>
        <w:rPr>
          <w:sz w:val="20"/>
          <w:szCs w:val="20"/>
          <w:color w:val="auto"/>
        </w:rPr>
      </w:pPr>
    </w:p>
    <w:p>
      <w:pPr>
        <w:jc w:val="both"/>
        <w:ind w:left="506"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50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50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566" w:hanging="566"/>
        <w:spacing w:after="0"/>
        <w:tabs>
          <w:tab w:leader="none" w:pos="56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229" w:lineRule="exact"/>
        <w:rPr>
          <w:sz w:val="20"/>
          <w:szCs w:val="20"/>
          <w:color w:val="auto"/>
        </w:rPr>
      </w:pPr>
    </w:p>
    <w:p>
      <w:pPr>
        <w:ind w:left="506"/>
        <w:spacing w:after="0" w:line="282" w:lineRule="auto"/>
        <w:rPr>
          <w:sz w:val="20"/>
          <w:szCs w:val="20"/>
          <w:color w:val="auto"/>
        </w:rPr>
      </w:pPr>
      <w:r>
        <w:rPr>
          <w:rFonts w:ascii="Times New Roman" w:cs="Times New Roman" w:eastAsia="Times New Roman" w:hAnsi="Times New Roman"/>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71" w:lineRule="exact"/>
        <w:rPr>
          <w:sz w:val="20"/>
          <w:szCs w:val="20"/>
          <w:color w:val="auto"/>
        </w:rPr>
      </w:pPr>
    </w:p>
    <w:tbl>
      <w:tblPr>
        <w:tblLayout w:type="fixed"/>
        <w:tblInd w:w="526"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8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16"/>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8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25-33</w:t>
            </w:r>
          </w:p>
        </w:tc>
        <w:tc>
          <w:tcPr>
            <w:tcW w:w="60" w:type="dxa"/>
            <w:vAlign w:val="bottom"/>
            <w:shd w:val="clear" w:color="auto" w:fill="CCEEFF"/>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566" w:hanging="566"/>
        <w:spacing w:after="0"/>
        <w:tabs>
          <w:tab w:leader="none" w:pos="56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due to termination of employment agreements</w:t>
      </w:r>
    </w:p>
    <w:p>
      <w:pPr>
        <w:spacing w:after="0" w:line="229"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76"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72" w:lineRule="exact"/>
        <w:rPr>
          <w:sz w:val="20"/>
          <w:szCs w:val="20"/>
          <w:color w:val="auto"/>
        </w:rPr>
      </w:pPr>
    </w:p>
    <w:p>
      <w:pPr>
        <w:ind w:left="566" w:hanging="566"/>
        <w:spacing w:after="0"/>
        <w:tabs>
          <w:tab w:leader="none" w:pos="56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as adjusted to include s by the weighted average number of common shares outstanding during the year. Common shares and preferred shares contingently issuable for little or no cash are included in basic net loss per share on an as issued basis.</w:t>
      </w:r>
    </w:p>
    <w:p>
      <w:pPr>
        <w:spacing w:after="0" w:line="176" w:lineRule="exact"/>
        <w:rPr>
          <w:sz w:val="20"/>
          <w:szCs w:val="20"/>
          <w:color w:val="auto"/>
        </w:rPr>
      </w:pPr>
    </w:p>
    <w:p>
      <w:pPr>
        <w:ind w:left="4526"/>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57" w:right="239" w:bottom="1440" w:gutter="0" w:footer="0" w:header="0"/>
        </w:sectPr>
      </w:pPr>
    </w:p>
    <w:bookmarkStart w:id="42" w:name="page43"/>
    <w:bookmarkEnd w:id="42"/>
    <w:p>
      <w:pPr>
        <w:jc w:val="both"/>
        <w:ind w:left="506"/>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84" w:lineRule="exact"/>
        <w:rPr>
          <w:sz w:val="20"/>
          <w:szCs w:val="20"/>
          <w:color w:val="auto"/>
        </w:rPr>
      </w:pPr>
    </w:p>
    <w:p>
      <w:pPr>
        <w:jc w:val="both"/>
        <w:ind w:left="506" w:right="20"/>
        <w:spacing w:after="0" w:line="282" w:lineRule="auto"/>
        <w:rPr>
          <w:sz w:val="20"/>
          <w:szCs w:val="20"/>
          <w:color w:val="auto"/>
        </w:rPr>
      </w:pPr>
      <w:r>
        <w:rPr>
          <w:rFonts w:ascii="Times New Roman" w:cs="Times New Roman" w:eastAsia="Times New Roman" w:hAnsi="Times New Roman"/>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62"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72" w:lineRule="exact"/>
        <w:rPr>
          <w:sz w:val="20"/>
          <w:szCs w:val="20"/>
          <w:color w:val="auto"/>
        </w:rPr>
      </w:pPr>
    </w:p>
    <w:p>
      <w:pPr>
        <w:ind w:left="566" w:hanging="566"/>
        <w:spacing w:after="0"/>
        <w:tabs>
          <w:tab w:leader="none" w:pos="56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 net:</w:t>
      </w:r>
    </w:p>
    <w:p>
      <w:pPr>
        <w:spacing w:after="0" w:line="229"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2" w:lineRule="exact"/>
        <w:rPr>
          <w:sz w:val="20"/>
          <w:szCs w:val="20"/>
          <w:color w:val="auto"/>
        </w:rPr>
      </w:pPr>
    </w:p>
    <w:p>
      <w:pPr>
        <w:ind w:left="566" w:hanging="566"/>
        <w:spacing w:after="0"/>
        <w:tabs>
          <w:tab w:leader="none" w:pos="56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76"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2" w:lineRule="exact"/>
        <w:rPr>
          <w:sz w:val="20"/>
          <w:szCs w:val="20"/>
          <w:color w:val="auto"/>
        </w:rPr>
      </w:pPr>
    </w:p>
    <w:p>
      <w:pPr>
        <w:ind w:left="566" w:hanging="566"/>
        <w:spacing w:after="0"/>
        <w:tabs>
          <w:tab w:leader="none" w:pos="56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506"/>
        <w:spacing w:after="0" w:line="266"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76" w:lineRule="exact"/>
        <w:rPr>
          <w:sz w:val="20"/>
          <w:szCs w:val="20"/>
          <w:color w:val="auto"/>
        </w:rPr>
      </w:pPr>
    </w:p>
    <w:p>
      <w:pPr>
        <w:jc w:val="both"/>
        <w:ind w:left="506"/>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0" w:lineRule="exact"/>
        <w:rPr>
          <w:sz w:val="20"/>
          <w:szCs w:val="20"/>
          <w:color w:val="auto"/>
        </w:rPr>
      </w:pPr>
    </w:p>
    <w:p>
      <w:pPr>
        <w:jc w:val="both"/>
        <w:ind w:left="506"/>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89" w:lineRule="exact"/>
        <w:rPr>
          <w:sz w:val="20"/>
          <w:szCs w:val="20"/>
          <w:color w:val="auto"/>
        </w:rPr>
      </w:pPr>
    </w:p>
    <w:p>
      <w:pPr>
        <w:ind w:left="4526"/>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3" w:name="page44"/>
    <w:bookmarkEnd w:id="43"/>
    <w:p>
      <w:pPr>
        <w:ind w:left="566" w:hanging="566"/>
        <w:spacing w:after="0"/>
        <w:tabs>
          <w:tab w:leader="none" w:pos="56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221" w:lineRule="exact"/>
        <w:rPr>
          <w:sz w:val="20"/>
          <w:szCs w:val="20"/>
          <w:color w:val="auto"/>
        </w:rPr>
      </w:pPr>
    </w:p>
    <w:p>
      <w:pPr>
        <w:ind w:left="566" w:hanging="566"/>
        <w:spacing w:after="0"/>
        <w:tabs>
          <w:tab w:leader="none" w:pos="56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Costs</w:t>
      </w:r>
    </w:p>
    <w:p>
      <w:pPr>
        <w:spacing w:after="0" w:line="229"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color w:val="auto"/>
        </w:rPr>
        <w:t>Transaction costs incurred in the Merger were charged directly to equity to the extent of cash and net other current assets acquired.</w:t>
      </w:r>
    </w:p>
    <w:p>
      <w:pPr>
        <w:spacing w:after="0" w:line="27" w:lineRule="exact"/>
        <w:rPr>
          <w:sz w:val="20"/>
          <w:szCs w:val="20"/>
          <w:color w:val="auto"/>
        </w:rPr>
      </w:pPr>
    </w:p>
    <w:p>
      <w:pPr>
        <w:ind w:left="506"/>
        <w:spacing w:after="0"/>
        <w:rPr>
          <w:sz w:val="20"/>
          <w:szCs w:val="20"/>
          <w:color w:val="auto"/>
        </w:rPr>
      </w:pPr>
      <w:r>
        <w:rPr>
          <w:rFonts w:ascii="Times New Roman" w:cs="Times New Roman" w:eastAsia="Times New Roman" w:hAnsi="Times New Roman"/>
          <w:sz w:val="18"/>
          <w:szCs w:val="18"/>
          <w:color w:val="auto"/>
        </w:rPr>
        <w:t>Transaction costs in excess of cash acquired were charged to general and administrative expenses.</w:t>
      </w:r>
    </w:p>
    <w:p>
      <w:pPr>
        <w:spacing w:after="0" w:line="203" w:lineRule="exact"/>
        <w:rPr>
          <w:sz w:val="20"/>
          <w:szCs w:val="20"/>
          <w:color w:val="auto"/>
        </w:rPr>
      </w:pPr>
    </w:p>
    <w:p>
      <w:pPr>
        <w:ind w:left="566" w:hanging="566"/>
        <w:spacing w:after="0"/>
        <w:tabs>
          <w:tab w:leader="none" w:pos="56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506"/>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80" w:lineRule="exact"/>
        <w:rPr>
          <w:sz w:val="20"/>
          <w:szCs w:val="20"/>
          <w:color w:val="auto"/>
        </w:rPr>
      </w:pPr>
    </w:p>
    <w:p>
      <w:pPr>
        <w:ind w:left="566" w:hanging="566"/>
        <w:spacing w:after="0"/>
        <w:tabs>
          <w:tab w:leader="none" w:pos="56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jc w:val="both"/>
        <w:ind w:left="506"/>
        <w:spacing w:after="0" w:line="256"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88" w:lineRule="exact"/>
        <w:rPr>
          <w:sz w:val="20"/>
          <w:szCs w:val="20"/>
          <w:color w:val="auto"/>
        </w:rPr>
      </w:pPr>
    </w:p>
    <w:p>
      <w:pPr>
        <w:jc w:val="both"/>
        <w:ind w:left="506"/>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9) and will likely have an insignificant impact on the consolidated statements of comprehensive loss.</w:t>
      </w:r>
    </w:p>
    <w:p>
      <w:pPr>
        <w:spacing w:after="0" w:line="185" w:lineRule="exact"/>
        <w:rPr>
          <w:sz w:val="20"/>
          <w:szCs w:val="20"/>
          <w:color w:val="auto"/>
        </w:rPr>
      </w:pPr>
    </w:p>
    <w:p>
      <w:pPr>
        <w:jc w:val="both"/>
        <w:ind w:left="506"/>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4" w:lineRule="exact"/>
        <w:rPr>
          <w:sz w:val="20"/>
          <w:szCs w:val="20"/>
          <w:color w:val="auto"/>
        </w:rPr>
      </w:pPr>
    </w:p>
    <w:p>
      <w:pPr>
        <w:ind w:left="4526"/>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17145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57" w:right="239" w:bottom="1440" w:gutter="0" w:footer="0" w:header="0"/>
        </w:sectPr>
      </w:pPr>
    </w:p>
    <w:bookmarkStart w:id="44" w:name="page45"/>
    <w:bookmarkEnd w:id="44"/>
    <w:p>
      <w:pPr>
        <w:jc w:val="both"/>
        <w:ind w:left="1540"/>
        <w:spacing w:after="0" w:line="258" w:lineRule="auto"/>
        <w:rPr>
          <w:sz w:val="20"/>
          <w:szCs w:val="20"/>
          <w:color w:val="auto"/>
        </w:rPr>
      </w:pPr>
      <w:r>
        <w:rPr>
          <w:rFonts w:ascii="Times New Roman" w:cs="Times New Roman" w:eastAsia="Times New Roman" w:hAnsi="Times New Roman"/>
          <w:sz w:val="18"/>
          <w:szCs w:val="18"/>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84" w:lineRule="exact"/>
        <w:rPr>
          <w:sz w:val="20"/>
          <w:szCs w:val="20"/>
          <w:color w:val="auto"/>
        </w:rPr>
      </w:pPr>
    </w:p>
    <w:p>
      <w:pPr>
        <w:jc w:val="both"/>
        <w:ind w:left="1540"/>
        <w:spacing w:after="0" w:line="255" w:lineRule="auto"/>
        <w:rPr>
          <w:sz w:val="20"/>
          <w:szCs w:val="20"/>
          <w:color w:val="auto"/>
        </w:rPr>
      </w:pPr>
      <w:r>
        <w:rPr>
          <w:rFonts w:ascii="Times New Roman" w:cs="Times New Roman" w:eastAsia="Times New Roman" w:hAnsi="Times New Roman"/>
          <w:sz w:val="18"/>
          <w:szCs w:val="18"/>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89" w:lineRule="exact"/>
        <w:rPr>
          <w:sz w:val="20"/>
          <w:szCs w:val="20"/>
          <w:color w:val="auto"/>
        </w:rPr>
      </w:pPr>
    </w:p>
    <w:p>
      <w:pPr>
        <w:jc w:val="both"/>
        <w:ind w:left="1540"/>
        <w:spacing w:after="0" w:line="255" w:lineRule="auto"/>
        <w:rPr>
          <w:sz w:val="20"/>
          <w:szCs w:val="20"/>
          <w:color w:val="auto"/>
        </w:rPr>
      </w:pPr>
      <w:r>
        <w:rPr>
          <w:rFonts w:ascii="Times New Roman" w:cs="Times New Roman" w:eastAsia="Times New Roman" w:hAnsi="Times New Roman"/>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8 which upon adoption of the new standard are expected to be classified as equity.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OTHER CURRENT ASSETS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in escrow account (*)</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others</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Purchase Agreement with BOCO</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November 11, 2016, the Company, together with two of its wholly-owned subsidiaries, Stem Cell 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76"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88"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 November 29, 2016, the Sellers completed the sale of the Assets.</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 received $320 from the escrow account and paid $80 to certain consultant relating to BOCO transaction.</w:t>
      </w:r>
    </w:p>
    <w:p>
      <w:pPr>
        <w:spacing w:after="0" w:line="162"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opening balance sheet as of the Merger date included a receivable balance with respect to sale of the Assets of $3.5 which fully collected as of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FIXED ASSETS, NET</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bottom w:val="single" w:sz="8" w:color="CCEEFF"/>
            </w:tcBorders>
          </w:tcPr>
          <w:p>
            <w:pPr>
              <w:spacing w:after="0"/>
              <w:rPr>
                <w:sz w:val="18"/>
                <w:szCs w:val="18"/>
                <w:color w:val="auto"/>
              </w:rPr>
            </w:pPr>
          </w:p>
        </w:tc>
        <w:tc>
          <w:tcPr>
            <w:tcW w:w="25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2"/>
                <w:szCs w:val="22"/>
                <w:color w:val="auto"/>
              </w:rPr>
            </w:pPr>
          </w:p>
        </w:tc>
        <w:tc>
          <w:tcPr>
            <w:tcW w:w="25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ACCRUED LIABILITIES</w:t>
            </w: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29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Government institution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F-14</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6 - CONVERTIBLE LOAN FROM SHAREHOLDERS</w:t>
      </w:r>
    </w:p>
    <w:p>
      <w:pPr>
        <w:spacing w:after="0" w:line="229"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84"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7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76"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On November 28, 2016, upon the consummation of the Merger, the loan was converted into an aggregate of 151,119 shares (2,242,939 shares before the Reverse Split) of Company’s common stock.</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7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fair value of the loan was measured based on observable inputs as the fixed monetary value of the variable number of shares to be issued upon conversion (level 2 measurement).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Secured note to Alpha Capital Anstalt:</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w:t>
      </w:r>
    </w:p>
    <w:p>
      <w:pPr>
        <w:ind w:left="1020" w:firstLine="9"/>
        <w:spacing w:after="0" w:line="261" w:lineRule="auto"/>
        <w:tabs>
          <w:tab w:leader="none" w:pos="12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following the consummation of the Merger and (ii) December 31, 2016. Proceeds from the Note were used for the payment of costs and expenses in connection with the Merger and operational expenses leading to such Closing.</w:t>
      </w:r>
    </w:p>
    <w:p>
      <w:pPr>
        <w:spacing w:after="0" w:line="180"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Securities Exchange Agreement with Alpha Capital:</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80"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Convertible Note was convertible into the Company’s Common Stock any time after November 28, 2017 and until the maturity date of November 28, 2019, based on a conversion price of $9.60 ($0.64 before the Reverse Split), subject to adjustments as provided in the Exchange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80"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84"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also Note 10 – Securities Exchange Agreements with Alpha Capital.</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WARRANT LIABILITIES</w:t>
      </w:r>
    </w:p>
    <w:p>
      <w:pPr>
        <w:spacing w:after="0" w:line="229"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$4.45 ($0.30 before the Reverse Split) per share on their existing 2016 Series A Warrants and the elimination of the anti-dilution price protection in the 2016 Series A Warrants. As a result, the exercise price for all outstanding 2011 Series A Warrants and 2016 Series A and Series B Warrants was reset to of $4.45 ($0.30 before the Reverse Split) per share. Subsequent to the reset of the exercise price, an aggregate of 35,831 (531,814 before the Reverse Split) (from an outstanding aggregate of 38,948 (578,081 before the Reverse Split)) 2011 Series A Warrants were exercised. For the exercise of these warrants, the Company issued 35,831 shares (531,814 shares before the Reverse Split) of its common stock prior to the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2016(*)</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Exercisable Through</w:t>
            </w:r>
          </w:p>
        </w:tc>
      </w:tr>
      <w:tr>
        <w:trPr>
          <w:trHeight w:val="216"/>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Series A (2011)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2016</w:t>
            </w:r>
          </w:p>
        </w:tc>
      </w:tr>
      <w:tr>
        <w:trPr>
          <w:trHeight w:val="216"/>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A (2013)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October 2018</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A (2013)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2023</w:t>
            </w:r>
          </w:p>
        </w:tc>
      </w:tr>
      <w:tr>
        <w:trPr>
          <w:trHeight w:val="216"/>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A (2015)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April 2020</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A (2016)(a)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2018</w:t>
            </w:r>
          </w:p>
        </w:tc>
      </w:tr>
      <w:tr>
        <w:trPr>
          <w:trHeight w:val="234"/>
        </w:trPr>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Series B (2016)(a)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125730</wp:posOffset>
            </wp:positionV>
            <wp:extent cx="16465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0"/>
          <w:szCs w:val="20"/>
          <w:color w:val="auto"/>
        </w:rPr>
      </w:pPr>
    </w:p>
    <w:p>
      <w:pPr>
        <w:ind w:left="440" w:hanging="426"/>
        <w:spacing w:after="0" w:line="261"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warrants data represents the number of shares adjusted to retroactively reflect the 1:15 Reverse Split effected on September 4, 2018.</w:t>
      </w:r>
    </w:p>
    <w:p>
      <w:pPr>
        <w:jc w:val="both"/>
        <w:ind w:left="440" w:hanging="426"/>
        <w:spacing w:after="0" w:line="25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90" w:lineRule="exact"/>
        <w:rPr>
          <w:rFonts w:ascii="Times New Roman" w:cs="Times New Roman" w:eastAsia="Times New Roman" w:hAnsi="Times New Roman"/>
          <w:sz w:val="18"/>
          <w:szCs w:val="18"/>
          <w:color w:val="auto"/>
        </w:rPr>
      </w:pPr>
    </w:p>
    <w:p>
      <w:pPr>
        <w:ind w:left="4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61" w:lineRule="exact"/>
        <w:rPr>
          <w:rFonts w:ascii="Times New Roman" w:cs="Times New Roman" w:eastAsia="Times New Roman" w:hAnsi="Times New Roman"/>
          <w:sz w:val="18"/>
          <w:szCs w:val="18"/>
          <w:color w:val="auto"/>
        </w:rPr>
      </w:pPr>
    </w:p>
    <w:p>
      <w:pPr>
        <w:jc w:val="both"/>
        <w:ind w:left="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83" w:lineRule="exact"/>
        <w:rPr>
          <w:rFonts w:ascii="Times New Roman" w:cs="Times New Roman" w:eastAsia="Times New Roman" w:hAnsi="Times New Roman"/>
          <w:sz w:val="18"/>
          <w:szCs w:val="18"/>
          <w:color w:val="auto"/>
        </w:rPr>
      </w:pPr>
    </w:p>
    <w:p>
      <w:pPr>
        <w:ind w:left="440" w:hanging="426"/>
        <w:spacing w:after="0" w:line="28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an institutional holder executed a cashless exercise of 51 warrants (768 before the Reverse Split) and 24 shares (359 shares before the Reverse Split) of Common Stock were issued in connection therewith.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observable inputs used in the valuation of the derivative warrant liabilities as of December 31,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2"/>
        </w:trPr>
        <w:tc>
          <w:tcPr>
            <w:tcW w:w="27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20" w:type="dxa"/>
            <w:vAlign w:val="bottom"/>
          </w:tcPr>
          <w:p>
            <w:pPr>
              <w:spacing w:after="0"/>
              <w:rPr>
                <w:sz w:val="23"/>
                <w:szCs w:val="23"/>
                <w:color w:val="auto"/>
              </w:rPr>
            </w:pP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2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137160</wp:posOffset>
            </wp:positionV>
            <wp:extent cx="16465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8" w:lineRule="exact"/>
        <w:rPr>
          <w:sz w:val="20"/>
          <w:szCs w:val="20"/>
          <w:color w:val="auto"/>
        </w:rPr>
      </w:pPr>
    </w:p>
    <w:p>
      <w:pPr>
        <w:ind w:left="440" w:hanging="426"/>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540" w:right="660" w:hanging="4526"/>
        <w:spacing w:after="0" w:line="511" w:lineRule="auto"/>
        <w:tabs>
          <w:tab w:leader="none" w:pos="4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Split effected on September 4,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-147320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661" w:right="239" w:bottom="1440" w:gutter="0" w:footer="0" w:header="0"/>
        </w:sectPr>
      </w:pPr>
    </w:p>
    <w:bookmarkStart w:id="49" w:name="page50"/>
    <w:bookmarkEnd w:id="49"/>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observable inputs used in the valuation of the derivative warrant liabilities as of December 31, 2017 and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2"/>
        </w:trPr>
        <w:tc>
          <w:tcPr>
            <w:tcW w:w="2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4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4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2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Series B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Series B (2016)</w:t>
            </w:r>
          </w:p>
        </w:tc>
        <w:tc>
          <w:tcPr>
            <w:tcW w:w="160" w:type="dxa"/>
            <w:vAlign w:val="bottom"/>
            <w:tcBorders>
              <w:bottom w:val="single" w:sz="8" w:color="CCEEFF"/>
            </w:tcBorders>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8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4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9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up to (years)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125730</wp:posOffset>
            </wp:positionV>
            <wp:extent cx="16465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0"/>
          <w:szCs w:val="20"/>
          <w:color w:val="auto"/>
        </w:rPr>
      </w:pPr>
    </w:p>
    <w:p>
      <w:pPr>
        <w:ind w:left="1460" w:right="20" w:hanging="426"/>
        <w:spacing w:after="0" w:line="282"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options data represents the number of shares adjusted to retroactively reflect the 1:15 Reverse Split effected on September 4, 2018.</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Activity in such liabilities measured on a recurring basis is as follows:</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2016</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Revaluation of warrants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Exercise warrants</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214630</wp:posOffset>
            </wp:positionV>
            <wp:extent cx="18097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4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Less than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Derivative warrant</w:t>
      </w:r>
    </w:p>
    <w:p>
      <w:pPr>
        <w:spacing w:after="0" w:line="31"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55"/>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5240" w:space="720"/>
            <w:col w:w="5460"/>
          </w:cols>
          <w:pgMar w:left="240" w:top="66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November 30, 2016</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Revaluation of warrants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Exercise warrants</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197485</wp:posOffset>
            </wp:positionV>
            <wp:extent cx="16465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3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Less than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Derivative warrant</w:t>
      </w:r>
    </w:p>
    <w:p>
      <w:pPr>
        <w:spacing w:after="0" w:line="31"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575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5240" w:space="720"/>
            <w:col w:w="5460"/>
          </w:cols>
          <w:pgMar w:left="240" w:top="661" w:right="239" w:bottom="1440" w:gutter="0" w:footer="0" w:header="0"/>
          <w:type w:val="continuous"/>
        </w:sectPr>
      </w:pPr>
    </w:p>
    <w:p>
      <w:pPr>
        <w:spacing w:after="0" w:line="25" w:lineRule="exact"/>
        <w:rPr>
          <w:sz w:val="20"/>
          <w:szCs w:val="20"/>
          <w:color w:val="auto"/>
        </w:rPr>
      </w:pPr>
    </w:p>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CONTIGENCIES</w:t>
      </w:r>
    </w:p>
    <w:p>
      <w:pPr>
        <w:spacing w:after="0" w:line="229"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0"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2016, the Company entered into an office lease agreement, with a term ending on February 28, 2018. According to the lease agreement, the monthly office lease payment is approximately $3.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2016, the Company entered into a cars lease agreement, which will end on December 31, 2019. According to the lease agreement, the monthly car lease payment is approximately $2.5.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2017, the Company entered into an office lease agreement effective from February 1, 2018, with a term ending on December 31, 2020. According to the lease agreement, the monthly office lease payment is approximately $14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liability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Research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The study in WU includes several phases. The first phase (initial research) was completed. The parties are in the final stage of planning the next phase, including the related various costs. </w:t>
      </w:r>
      <w:r>
        <w:rPr>
          <w:rFonts w:ascii="Times New Roman" w:cs="Times New Roman" w:eastAsia="Times New Roman" w:hAnsi="Times New Roman"/>
          <w:sz w:val="18"/>
          <w:szCs w:val="18"/>
          <w:color w:val="000000"/>
        </w:rPr>
        <w:t>Pursuant to the Research Agreement, all rights, title and interest in the data, information and results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early stage in the ligation process, 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Subsequent Events, below.</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1"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NOTE 9 - SHARE CAPITAL</w:t>
      </w:r>
    </w:p>
    <w:p>
      <w:pPr>
        <w:spacing w:after="0" w:line="22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( 1,000 shares before the Reverse Split) of Common Stock, and confer upon the holder dividend rights on an as converted basis.</w:t>
      </w:r>
    </w:p>
    <w:p>
      <w:pPr>
        <w:spacing w:after="0" w:line="1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On March 2017, an institutional holder exercised, in a cashless transaction, of 52 warrants ( 768 before the Reverse Split) and 24 shares ( 359 shares before the Reverse Split) of Common Stock were issued in connection therewith.</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2017, the Company had 2,734,300 shares (40,583,127 shares before the Reverse Split) of Common Stock issued and outstanding, and 4,001 shares of Series A Convertible Preferred Stock issued and outstanding.</w:t>
      </w:r>
    </w:p>
    <w:p>
      <w:pPr>
        <w:spacing w:after="0" w:line="180"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80"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76"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Immediately following the Reverse Stock Split and the Merger, there were 2,442,646 shares (36,254,240 shares before the Reverse Split) of the Common Stock issued and outstanding, which included certain rights to receive shares of Common Stock or equivalent securities but excludes shares underlying outstanding stock options and warrants and the Convertible Note.</w:t>
      </w:r>
    </w:p>
    <w:p>
      <w:pPr>
        <w:spacing w:after="0" w:line="176"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On December 27, 2016, the Company exchanged 655,962 shares (9,735,925 shares before the Reverse Split)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76"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($5.00 per share before the Reverse Split) or gross proceeds of $3,500. The Company paid the placement agent a fee of $210 plus reimbursement of out-of-pocket expenses, as well as other offering-related expenses.</w:t>
      </w:r>
    </w:p>
    <w:p>
      <w:pPr>
        <w:spacing w:after="0" w:line="180"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per share before the Reverse Split). The gross proceeds to the Company was $10,125,000 before deducting placement agent fees and offering expenses of $922.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Employee stock option grant: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2014, Microbot Israel’s board of directors approved a grant of 26,906 (403,592 stock options before the Reverse Split) (77,846 stock options as retroactively adjusted to reflect the Merger and the Reverse Split) to its CEO, through MEDX Venture Group LLC. Each option was exercisable into an ordinary share, at an exercise price of $12 ($0.8 before the Reverse Split) ($4.2 as retroactively adjusted to reflect the Merger and the Reverse Split). The stock options were fully vested at the date of grant.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 2016, Microbot Israel’s board of directors approved a grant of 33,333 stock options (500,000 stock options before the Reverse Split) (96,482 as retroactively adjusted to reflect the Merger and the Reverse Split)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$20.25 ($1.35 before the Reverse Split) ($7.05 as retroactively adjusted to reflect the Merger and the Reverse Split) at the date of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120,847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6, 2017, the board of directors approved a grant of 12,698 stock options (190,475 stock options before the Reverse Split) to purchase an aggregate of up to 12,698 shares (190,475 shares before the Reverse Split) of Common Stock to certain of its directors, at an exercise price per share of $15.75 ($1.05 before the Reverse Split). The stock options vest over a period of 3 years as outlined in the option agreements. As a result, the Company recognized compensation expenses in the amount of $4 included in general and administrative expenses for the period ended December 31, 2017.</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2017, the board of directors approved a grant of 66,036 stock options (990,543 stock options before the Reverse Split) to purchase an aggregate of up to 66,036 shares (990,543 shares before the Reverse Split) of Common Stock to certain of its employees, at an exercise price per share of $15.3 ($1.02 before the Reverse Split). The stock options vest over a period of 3 years as outlined in the option agreements. As a result, the Company recognized compensation expenses in the amount of $95 included in general and administrative expenses for the period ended December 31, 2017.</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2017, certain employees and consultant exercised 31,453 options (471,794 options before the Reverse Split) to 31,453 ordinary shares (471,794 ordinary shares before the Reverse Split) at exercise price of 0.001 NIS.</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1300" w:top="657" w:right="2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6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15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Aggregate intrinsic</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142,875</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6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15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Aggregate intrinsic</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174,328</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20" w:firstLine="1"/>
        <w:spacing w:after="0" w:line="261" w:lineRule="auto"/>
        <w:tabs>
          <w:tab w:leader="none" w:pos="3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options data represents the number of shares adjusted to retroactively reflect the 1:15 Reverse Split effected on September 4, 2018.</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17145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1" w:right="2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 average remaining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29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 life – years as of</w:t>
            </w: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 exercisable as of</w:t>
            </w:r>
          </w:p>
        </w:tc>
      </w:tr>
      <w:tr>
        <w:trPr>
          <w:trHeight w:val="245"/>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December 31, (**)</w:t>
            </w:r>
          </w:p>
        </w:tc>
        <w:tc>
          <w:tcPr>
            <w:tcW w:w="29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w:t>
            </w: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w:t>
            </w:r>
          </w:p>
        </w:tc>
      </w:tr>
      <w:tr>
        <w:trPr>
          <w:trHeight w:val="250"/>
        </w:trPr>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7"/>
        </w:trPr>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65,029</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96,482</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414,965</w:t>
            </w: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174,328</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174,328</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20" w:firstLine="1"/>
        <w:spacing w:after="0" w:line="261"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options data represents the number of shares adjusted to retroactively reflect the 1:15 Reverse Split effected on September 4, 2018.</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estimated at the date of grant using Black-Scholes options pricing model with the following weighted-average assumptions:</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1"/>
                <w:szCs w:val="21"/>
                <w:color w:val="auto"/>
              </w:rPr>
            </w:pPr>
          </w:p>
        </w:tc>
      </w:t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122.5%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up to (years)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Shares issued to service provider</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4"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During 2017 the Company issued an aggregate of 8, 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Exchange Agreement with Alpha Capital</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17145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1" w:right="239" w:bottom="1440" w:gutter="0" w:footer="0" w:header="0"/>
        </w:sectPr>
      </w:pPr>
    </w:p>
    <w:bookmarkStart w:id="55" w:name="page56"/>
    <w:bookmarkEnd w:id="55"/>
    <w:p>
      <w:pPr>
        <w:jc w:val="both"/>
        <w:ind w:left="1060"/>
        <w:spacing w:after="0" w:line="256" w:lineRule="auto"/>
        <w:rPr>
          <w:sz w:val="20"/>
          <w:szCs w:val="20"/>
          <w:color w:val="auto"/>
        </w:rPr>
      </w:pPr>
      <w:r>
        <w:rPr>
          <w:rFonts w:ascii="Times New Roman" w:cs="Times New Roman" w:eastAsia="Times New Roman" w:hAnsi="Times New Roman"/>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jc w:val="both"/>
        <w:ind w:left="1060"/>
        <w:spacing w:after="0" w:line="256" w:lineRule="auto"/>
        <w:rPr>
          <w:sz w:val="20"/>
          <w:szCs w:val="20"/>
          <w:color w:val="auto"/>
        </w:rPr>
      </w:pPr>
      <w:r>
        <w:rPr>
          <w:rFonts w:ascii="Times New Roman" w:cs="Times New Roman" w:eastAsia="Times New Roman" w:hAnsi="Times New Roman"/>
          <w:sz w:val="18"/>
          <w:szCs w:val="18"/>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88" w:lineRule="exact"/>
        <w:rPr>
          <w:sz w:val="20"/>
          <w:szCs w:val="20"/>
          <w:color w:val="auto"/>
        </w:rPr>
      </w:pPr>
    </w:p>
    <w:p>
      <w:pPr>
        <w:jc w:val="both"/>
        <w:ind w:left="1060"/>
        <w:spacing w:after="0" w:line="256" w:lineRule="auto"/>
        <w:rPr>
          <w:sz w:val="20"/>
          <w:szCs w:val="20"/>
          <w:color w:val="auto"/>
        </w:rPr>
      </w:pPr>
      <w:r>
        <w:rPr>
          <w:rFonts w:ascii="Times New Roman" w:cs="Times New Roman" w:eastAsia="Times New Roman" w:hAnsi="Times New Roman"/>
          <w:sz w:val="18"/>
          <w:szCs w:val="18"/>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88"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In accordance with ASC 480-10-S99-3A (formerly EITF D-98), the Company classified the maximum amount it may be required to pay in the event the repurchase right is exercised ($500) as temporary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 AND DILUTED NET LOSS PER SHARE</w:t>
      </w:r>
    </w:p>
    <w:p>
      <w:pPr>
        <w:spacing w:after="0" w:line="229" w:lineRule="exact"/>
        <w:rPr>
          <w:sz w:val="20"/>
          <w:szCs w:val="20"/>
          <w:color w:val="auto"/>
        </w:rPr>
      </w:pPr>
    </w:p>
    <w:p>
      <w:pPr>
        <w:jc w:val="both"/>
        <w:ind w:left="1060" w:right="2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5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3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Ended December 31,</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44"/>
        </w:trPr>
        <w:tc>
          <w:tcPr>
            <w:tcW w:w="50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shareholders of the Company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shareholders of preferred shares</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used in the calculation of basic net loss per share</w:t>
            </w:r>
          </w:p>
        </w:tc>
        <w:tc>
          <w:tcPr>
            <w:tcW w:w="1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2,201,992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963,047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18" w:lineRule="exact"/>
        <w:rPr>
          <w:sz w:val="20"/>
          <w:szCs w:val="20"/>
          <w:color w:val="auto"/>
        </w:rPr>
      </w:pPr>
    </w:p>
    <w:p>
      <w:pPr>
        <w:ind w:left="1300" w:firstLine="5"/>
        <w:spacing w:after="0" w:line="282" w:lineRule="auto"/>
        <w:tabs>
          <w:tab w:leader="none" w:pos="15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2017 and 2016 shares data represents the number of shares adjusted to retroactively reflect the 1:15 Reverse Split effected on September 4, 2018.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As the inclusion of common share equivalents in the calculation would be anti-dilutive for all periods presented, diluted net loss per share is the same as basic net loss per share.</w:t>
      </w:r>
    </w:p>
    <w:p>
      <w:pPr>
        <w:spacing w:after="0" w:line="162"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RESEARCH AND DEVELOPMENT EXPENSES, NET</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060" w:type="dxa"/>
            <w:vAlign w:val="bottom"/>
            <w:gridSpan w:val="2"/>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Grants received from IIA</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60" w:type="dxa"/>
            <w:vAlign w:val="bottom"/>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1"/>
                <w:szCs w:val="21"/>
                <w:color w:val="auto"/>
              </w:rPr>
            </w:pPr>
          </w:p>
        </w:tc>
        <w:tc>
          <w:tcPr>
            <w:tcW w:w="1280" w:type="dxa"/>
            <w:vAlign w:val="bottom"/>
            <w:gridSpan w:val="2"/>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GENERAL AND ADMINISTRATIVE EXPENSES</w:t>
            </w: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060" w:type="dxa"/>
            <w:vAlign w:val="bottom"/>
            <w:gridSpan w:val="2"/>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Fees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451"/>
              <w:spacing w:after="0"/>
              <w:rPr>
                <w:sz w:val="20"/>
                <w:szCs w:val="20"/>
                <w:color w:val="auto"/>
              </w:rPr>
            </w:pPr>
            <w:r>
              <w:rPr>
                <w:rFonts w:ascii="Times New Roman" w:cs="Times New Roman" w:eastAsia="Times New Roman" w:hAnsi="Times New Roman"/>
                <w:sz w:val="18"/>
                <w:szCs w:val="18"/>
                <w:color w:val="auto"/>
              </w:rPr>
              <w:t>F-25</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FINANCE EXPENSES, NET</w:t>
            </w: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fees and interest</w:t>
            </w:r>
          </w:p>
        </w:tc>
        <w:tc>
          <w:tcPr>
            <w:tcW w:w="24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4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liability</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loss on debt extinguishment</w:t>
            </w: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and interest on convertible loans</w:t>
            </w: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TRANSACTIONS AND BALANCES WITH INTERESTED AND RELATED PARTIES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insurance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Subcontracted work and consulting</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Company is subject to income taxes under the Israeli and U.S. tax laws: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Corporate tax rates</w:t>
      </w:r>
    </w:p>
    <w:p>
      <w:pPr>
        <w:spacing w:after="0" w:line="22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Company is subject to Israeli corporate tax rate of 25% in the year 2016, 24% in 2017 and 23% from 2018. The Company is subject to a blended U.S. tax rate (Federal as well as state corporate tax) of 35%.</w:t>
      </w:r>
    </w:p>
    <w:p>
      <w:pPr>
        <w:spacing w:after="0" w:line="162"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8" w:name="page59"/>
    <w:bookmarkEnd w:id="58"/>
    <w:p>
      <w:pPr>
        <w:ind w:left="1620" w:hanging="315"/>
        <w:spacing w:after="0" w:line="282" w:lineRule="auto"/>
        <w:tabs>
          <w:tab w:leader="none" w:pos="16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61" w:lineRule="exact"/>
        <w:rPr>
          <w:rFonts w:ascii="Times New Roman" w:cs="Times New Roman" w:eastAsia="Times New Roman" w:hAnsi="Times New Roman"/>
          <w:sz w:val="18"/>
          <w:szCs w:val="18"/>
          <w:b w:val="1"/>
          <w:bCs w:val="1"/>
          <w:color w:val="auto"/>
        </w:rPr>
      </w:pPr>
    </w:p>
    <w:p>
      <w:pPr>
        <w:jc w:val="both"/>
        <w:ind w:left="16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rFonts w:ascii="Times New Roman" w:cs="Times New Roman" w:eastAsia="Times New Roman" w:hAnsi="Times New Roman"/>
          <w:sz w:val="18"/>
          <w:szCs w:val="18"/>
          <w:b w:val="1"/>
          <w:bCs w:val="1"/>
          <w:color w:val="auto"/>
        </w:rPr>
      </w:pPr>
    </w:p>
    <w:p>
      <w:pPr>
        <w:jc w:val="both"/>
        <w:ind w:left="1620" w:right="20" w:hanging="315"/>
        <w:spacing w:after="0" w:line="266" w:lineRule="auto"/>
        <w:tabs>
          <w:tab w:leader="none" w:pos="16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6" w:lineRule="exact"/>
        <w:rPr>
          <w:sz w:val="20"/>
          <w:szCs w:val="20"/>
          <w:color w:val="auto"/>
        </w:rPr>
      </w:pPr>
    </w:p>
    <w:tbl>
      <w:tblPr>
        <w:tblLayout w:type="fixed"/>
        <w:tblInd w:w="162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8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488,603</w:t>
            </w:r>
          </w:p>
        </w:tc>
        <w:tc>
          <w:tcPr>
            <w:tcW w:w="4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taxes on income assuming that all income is taxed at the ordinary statutory corporate tax rate in Israel and the effective income tax rate:</w:t>
      </w:r>
    </w:p>
    <w:p>
      <w:pPr>
        <w:spacing w:after="0" w:line="171" w:lineRule="exact"/>
        <w:rPr>
          <w:sz w:val="20"/>
          <w:szCs w:val="20"/>
          <w:color w:val="auto"/>
        </w:rPr>
      </w:pPr>
    </w:p>
    <w:tbl>
      <w:tblPr>
        <w:tblLayout w:type="fixed"/>
        <w:tblInd w:w="1620" w:type="dxa"/>
        <w:tblCellMar>
          <w:top w:w="0" w:type="dxa"/>
          <w:left w:w="0" w:type="dxa"/>
          <w:bottom w:w="0" w:type="dxa"/>
          <w:right w:w="0" w:type="dxa"/>
        </w:tblCellMar>
      </w:tblPr>
      <w:tr>
        <w:trPr>
          <w:trHeight w:val="245"/>
        </w:trPr>
        <w:tc>
          <w:tcPr>
            <w:tcW w:w="5180" w:type="dxa"/>
            <w:vAlign w:val="bottom"/>
          </w:tcPr>
          <w:p>
            <w:pPr>
              <w:spacing w:after="0"/>
              <w:rPr>
                <w:sz w:val="21"/>
                <w:szCs w:val="21"/>
                <w:color w:val="auto"/>
              </w:rPr>
            </w:pPr>
          </w:p>
        </w:tc>
        <w:tc>
          <w:tcPr>
            <w:tcW w:w="27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 in the statements of operations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9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under statutory tax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6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(1,821)</w:t>
            </w:r>
          </w:p>
        </w:tc>
        <w:tc>
          <w:tcPr>
            <w:tcW w:w="9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income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On January 4, 2018, Microbot Medical Ltd. entered into an agreement with CardioSert Ltd. to acquire certain patent-protected technology owned by CardioSert. With the closing of the acquisition expected in April 2018, CardioSert’s issued U.S. patent and three patent applications pending worldwide will be added to Microbot’s patent portfolio which will then have a patent portfolio of 25 issued/allowed patents and 15 patent applications pending worldwide.</w:t>
      </w:r>
    </w:p>
    <w:p>
      <w:pPr>
        <w:spacing w:after="0" w:line="180"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76"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CardioSert agreed to assist Microbot in the development of the Technology for a minimum of one year, for a monthly consultation fee of NIS40,000 covering up to 60 consulting hours per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2018, through March 30, 2018, the Company issued an aggregate of 101,063 shares (1,500,000 shares before the Reverse Split) of its Common Stock upon the conversion of an aggregate of 1,500 shares of its Series A Convertible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Tolling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17145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661"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20" w:type="dxa"/>
            <w:vAlign w:val="bottom"/>
          </w:tcPr>
          <w:p>
            <w:pPr>
              <w:spacing w:after="0"/>
              <w:rPr>
                <w:sz w:val="21"/>
                <w:szCs w:val="21"/>
                <w:color w:val="auto"/>
              </w:rPr>
            </w:pPr>
          </w:p>
        </w:tc>
        <w:tc>
          <w:tcPr>
            <w:tcW w:w="2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Pr>
          <w:p>
            <w:pPr>
              <w:spacing w:after="0"/>
              <w:rPr>
                <w:sz w:val="20"/>
                <w:szCs w:val="20"/>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8,592</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w:t>
            </w: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warrant liability</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w:t>
            </w:r>
          </w:p>
        </w:tc>
        <w:tc>
          <w:tcPr>
            <w:tcW w:w="3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$0.01 par value;</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721,107 shares as of June 30, 2018 and</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of $0.01 par value;</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1,000,000 shares as of June 30, 2018 and December 31,</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2017; issued and outstanding: 1,001 and 4,001 shares as of June 30,</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2018 and December 31, 2017, respectively</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$0.01 par value;</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220,000,000 as of June 30, 2018 and December 31, 2017;</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 2,224,569 and 2,013,193 shares as of June</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2018, and December 31, 2017, respectively</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31,454</w:t>
            </w:r>
          </w:p>
        </w:tc>
        <w:tc>
          <w:tcPr>
            <w:tcW w:w="3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(23,986)</w:t>
            </w:r>
          </w:p>
        </w:tc>
        <w:tc>
          <w:tcPr>
            <w:tcW w:w="38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7,498</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firstLine="8"/>
        <w:spacing w:after="0" w:line="261" w:lineRule="auto"/>
        <w:tabs>
          <w:tab w:leader="none" w:pos="3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Stock Split effected on September 4, 2018, as discussed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4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(expenses), net</w:t>
            </w: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 (*)</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basic and diluted (*)</w:t>
            </w: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2,855,428</w:t>
            </w: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1,940,561</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2,809,754</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Stock Split effected on September 4, 2018, as discussed in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1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A Shares</w:t>
            </w:r>
          </w:p>
        </w:tc>
        <w:tc>
          <w:tcPr>
            <w:tcW w:w="226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22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9,736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**1,788,884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14,713</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(13,035)</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1,696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299,815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12,699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12,702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8,085</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31,787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Cashless exercise of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Extinguishment of convertible notes and issuance</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3,255</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2,676</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2,676</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preferred A shares</w:t>
            </w: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A shares to common stock</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(8,990)</w:t>
            </w:r>
          </w:p>
        </w:tc>
        <w:tc>
          <w:tcPr>
            <w:tcW w:w="120" w:type="dxa"/>
            <w:vAlign w:val="bottom"/>
          </w:tcPr>
          <w:p>
            <w:pPr>
              <w:spacing w:after="0"/>
              <w:rPr>
                <w:sz w:val="12"/>
                <w:szCs w:val="12"/>
                <w:color w:val="auto"/>
              </w:rPr>
            </w:pPr>
          </w:p>
        </w:tc>
        <w:tc>
          <w:tcPr>
            <w:tcW w:w="9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605,705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(7,589)</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(7,589)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December 31, 2017</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4,001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**2,734,300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30,561</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(20,624)</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as consideration-vendor</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A shares to common stock</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202,151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(3,362)</w:t>
            </w: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(3,362)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June 30, 2018</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1,001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**2,945,676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31,454</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2"/>
                <w:szCs w:val="12"/>
                <w:b w:val="1"/>
                <w:bCs w:val="1"/>
                <w:color w:val="auto"/>
              </w:rPr>
              <w:t>(23,986</w:t>
            </w:r>
            <w:r>
              <w:rPr>
                <w:rFonts w:ascii="Times New Roman" w:cs="Times New Roman" w:eastAsia="Times New Roman" w:hAnsi="Times New Roman"/>
                <w:sz w:val="21"/>
                <w:szCs w:val="21"/>
                <w:b w:val="1"/>
                <w:bCs w:val="1"/>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7,498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721,107 common stock classified as temporary equity.</w:t>
      </w:r>
    </w:p>
    <w:p>
      <w:pPr>
        <w:spacing w:after="0" w:line="9" w:lineRule="exact"/>
        <w:rPr>
          <w:sz w:val="20"/>
          <w:szCs w:val="20"/>
          <w:color w:val="auto"/>
        </w:rPr>
      </w:pPr>
    </w:p>
    <w:p>
      <w:pPr>
        <w:ind w:firstLine="8"/>
        <w:spacing w:after="0" w:line="261" w:lineRule="auto"/>
        <w:tabs>
          <w:tab w:leader="none" w:pos="4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Stock Split effected on September 4, 2018, as discussed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(1,893)</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(3,362)</w:t>
            </w: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revaluation of convertible notes,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Financing loss on debt extinguishment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warrant liability</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issued as consideration-vendor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INVESTMENT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2940" w:type="dxa"/>
            <w:vAlign w:val="bottom"/>
            <w:tcBorders>
              <w:top w:val="single" w:sz="8" w:color="CCEEFF"/>
            </w:tcBorders>
            <w:gridSpan w:val="3"/>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Outflow (inflow) in connection with current assets and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 reverse recapitalization, net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8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beginning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2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10,814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5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8,047</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13,078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8,047</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Supplemental disclosure of cash flow information:</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transactions: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Conversion of preferred A shares into common shares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gridSpan w:val="6"/>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2.9 shares of the Company’s common stock, par value $0.01 per share, after giving effect to a one for nine reverse stock split (the “Reverse Stock Split”), for an aggregate of 1,788,884 shares (26,550,974 shares before the Reverse Split described below) of Company’s common Stock issued to the former Microbot Israel shareholders. In addition, all outstanding options to purchase the ordinary shares of Microbot Israel were assumed by the Company and converted into options to purchase an aggregate of 176,182 shares (2,614,916 shares before the Reverse Split) of the Company’s common stock. Additionally, the Company issued an aggregate of 7,802,639 restricted shares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9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7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its subsidiaries are collectively referred to as the “Company”. “StemCells” or “StemCells, Inc.” refers to the Company prior to the Merger.</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not generated revenues from its operations. As of June 30, 2018, the Company had cash and cash equivalent balance of approximately $8,020,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Operating results for the six-month period ended June 30, 2018, are not necessarily indicative of the results that may be expected for the year ended December 31, 2018.</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8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5) and will likely have an insignificant impact on the consolidated statements of comprehensive loss.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CONVERTIBLE LOAN FROM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Secured Note to Alpha Capital Anstalt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 (i) 30 days following the consummation of the Merger and (ii) December 31, 2016. Proceeds from the Note were used for the payment of costs and expenses in connection with the Merger and operational expenses leading to such closing.</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Note bore interest at 6% per annum, payable monthly in arrears on the first of the month, beginning on January 1, 2017 until the principal amount is paid in full. In addition, the Note was secured by a first priority security interest in all of the Company’s intellectual property and certain other general assets pursuant to a Security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Convertible Note was convertible into the Company’s Common Stock any time after November 28, 2017 and until the maturity date of November 28, 2019, based on a conversion price of $9.6 ($0.64 before the Reverse Split), subject to adjustments as provided in the Exchange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 WARRANT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remaining outstanding warrants and terms as of June 30, 2018 and December 31, 2017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 as of</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Outstanding as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(2015)</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(2016) (a)</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(2016) (a)</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Share data represents the number of shares adjusted to retroactively reflect the 1:15 Reverse Split effected on September 4, 2018.</w:t>
      </w:r>
    </w:p>
    <w:p>
      <w:pPr>
        <w:spacing w:after="0" w:line="27" w:lineRule="exact"/>
        <w:rPr>
          <w:sz w:val="20"/>
          <w:szCs w:val="20"/>
          <w:color w:val="auto"/>
        </w:rPr>
      </w:pPr>
    </w:p>
    <w:p>
      <w:pPr>
        <w:jc w:val="both"/>
        <w:ind w:left="980" w:hanging="324"/>
        <w:spacing w:after="0" w:line="25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June 30, 2018 and December 31, 2017, was approximately $14 and $28, respectively.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7" w:name="page68"/>
    <w:bookmarkEnd w:id="67"/>
    <w:p>
      <w:pPr>
        <w:jc w:val="center"/>
        <w:ind w:right="656"/>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62"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84"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In March 2017, an institutional holder executed a cashless exercise of 768 warrants and 359 shares of Common Stock were issued in connection therewith.</w:t>
      </w:r>
    </w:p>
    <w:p>
      <w:pPr>
        <w:spacing w:after="0" w:line="162"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observable inputs used in the valuation of the derivative warrant liabilities as of June 30, 2018 and December 31, 2017(**):</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Series 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21"/>
                <w:szCs w:val="2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2017</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w:t>
            </w:r>
          </w:p>
        </w:tc>
        <w:tc>
          <w:tcPr>
            <w:tcW w:w="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78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June 30, 2018</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068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Share data represents the number of shares adjusted to retroactively reflect the 1:15 Reverse Split effected on September 4, 2018.</w:t>
      </w:r>
    </w:p>
    <w:p>
      <w:pPr>
        <w:spacing w:after="0" w:line="20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observable inputs used in the valuation of the derivative warrant liabilities as of June 30, 2018 and December 31, 2017(*):</w:t>
      </w:r>
    </w:p>
    <w:p>
      <w:pPr>
        <w:spacing w:after="0" w:line="171" w:lineRule="exact"/>
        <w:rPr>
          <w:sz w:val="20"/>
          <w:szCs w:val="20"/>
          <w:color w:val="auto"/>
        </w:rPr>
      </w:pPr>
    </w:p>
    <w:tbl>
      <w:tblPr>
        <w:tblLayout w:type="fixed"/>
        <w:tblInd w:w="4"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33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As of June 30, 2018</w:t>
            </w:r>
          </w:p>
        </w:tc>
        <w:tc>
          <w:tcPr>
            <w:tcW w:w="100" w:type="dxa"/>
            <w:vAlign w:val="bottom"/>
          </w:tcPr>
          <w:p>
            <w:pPr>
              <w:spacing w:after="0"/>
              <w:rPr>
                <w:sz w:val="21"/>
                <w:szCs w:val="21"/>
                <w:color w:val="auto"/>
              </w:rPr>
            </w:pPr>
          </w:p>
        </w:tc>
        <w:tc>
          <w:tcPr>
            <w:tcW w:w="31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r>
      <w:tr>
        <w:trPr>
          <w:trHeight w:val="237"/>
        </w:trPr>
        <w:tc>
          <w:tcPr>
            <w:tcW w:w="3900" w:type="dxa"/>
            <w:vAlign w:val="bottom"/>
          </w:tcPr>
          <w:p>
            <w:pPr>
              <w:spacing w:after="0"/>
              <w:rPr>
                <w:sz w:val="20"/>
                <w:szCs w:val="20"/>
                <w:color w:val="auto"/>
              </w:rPr>
            </w:pPr>
          </w:p>
        </w:tc>
        <w:tc>
          <w:tcPr>
            <w:tcW w:w="16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Series B (2016)</w:t>
            </w: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Series A (2016)</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Series B (2016)</w:t>
            </w:r>
          </w:p>
        </w:tc>
        <w:tc>
          <w:tcPr>
            <w:tcW w:w="160" w:type="dxa"/>
            <w:vAlign w:val="bottom"/>
          </w:tcPr>
          <w:p>
            <w:pPr>
              <w:spacing w:after="0"/>
              <w:rPr>
                <w:sz w:val="20"/>
                <w:szCs w:val="20"/>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up to (years)</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068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Split effected on September 4, 2018.</w:t>
      </w:r>
    </w:p>
    <w:p>
      <w:pPr>
        <w:spacing w:after="0" w:line="225" w:lineRule="exact"/>
        <w:rPr>
          <w:rFonts w:ascii="Times New Roman" w:cs="Times New Roman" w:eastAsia="Times New Roman" w:hAnsi="Times New Roman"/>
          <w:sz w:val="18"/>
          <w:szCs w:val="18"/>
          <w:color w:val="auto"/>
        </w:rPr>
      </w:pPr>
    </w:p>
    <w:p>
      <w:pPr>
        <w:ind w:left="49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5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Derivative Warrant</w:t>
            </w:r>
          </w:p>
        </w:tc>
      </w:tr>
      <w:tr>
        <w:trPr>
          <w:trHeight w:val="245"/>
        </w:trPr>
        <w:tc>
          <w:tcPr>
            <w:tcW w:w="4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2017</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warrants</w:t>
            </w:r>
          </w:p>
        </w:tc>
        <w:tc>
          <w:tcPr>
            <w:tcW w:w="240" w:type="dxa"/>
            <w:vAlign w:val="bottom"/>
          </w:tcPr>
          <w:p>
            <w:pPr>
              <w:spacing w:after="0"/>
              <w:rPr>
                <w:sz w:val="20"/>
                <w:szCs w:val="20"/>
                <w:color w:val="auto"/>
              </w:rPr>
            </w:pPr>
          </w:p>
        </w:tc>
        <w:tc>
          <w:tcPr>
            <w:tcW w:w="140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30, 2018</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Warrant</w:t>
            </w:r>
          </w:p>
        </w:tc>
      </w:tr>
      <w:tr>
        <w:trPr>
          <w:trHeight w:val="265"/>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warrants</w:t>
            </w:r>
          </w:p>
        </w:tc>
        <w:tc>
          <w:tcPr>
            <w:tcW w:w="10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2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warrants</w:t>
            </w:r>
          </w:p>
        </w:tc>
        <w:tc>
          <w:tcPr>
            <w:tcW w:w="1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2017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CCEEFF"/>
              <w:bottom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June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 Agreements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December 2016, the Company entered into car lease agreements, which will end on December 31, 2019. According to the lease agreement, the monthly car lease payment is approximately $2.5.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2017, the Company entered into an office lease agreement effective from February 1, 2018, with a term ending on December 31, 2020.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 to the lease agreement, the monthly office lease payment is approximately $14.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Liability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Research Agreement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9" w:name="page70"/>
    <w:bookmarkEnd w:id="69"/>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8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Due to the early stage in the ligation process, 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Tolling and Standstill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Ltd. (“CardioSert”) to acquire certain patent-protected technology owned by CardioSert (the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common shares (100,000 common shares before the Reverse Split) estimated of $74. (see note 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57"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Agreement with Mr Simon Sharon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Effective as of April 1, 2018, the Company hired Simon Sharon as the Company’s Chief Technology Officer.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SHARE CAPITAL</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 of the Series A Convertible Preferred Stock, par value $0.01 per share, issued by the Company in December 2016 and in May 2017 (the “Series A Convertible Preferred Stock”), is convertible, at the option of the holder, into 1,000 shares of Common Stock, and confer upon the holder dividend rights on an as converted basis.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2017, an institutional holder exercised, in a cashless transaction, 52 warrants (768 warrants before the spilt) and 24 shares (359 shares before the Reverse Split) of Common Stock were issued in connection therewith.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December 27, 2016, the Company exchanged 655,962 shares (9,735,925 shares before the Reverse Split) or rights to acquire shares of its Common Stock, for 656 shares (9,736 shares before the Reverse Split) of a newly designated class of Series A Convertible Preferred Stock.</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 Grant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1" w:name="page72"/>
    <w:bookmarkEnd w:id="71"/>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$339 and $0 included in general and administrative expenses for the period ended June 30, 2018 and 2017 respectively.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$231 and $0 included in general and administrative expenses for the period ended June 30, 2018 and 2017 respectively.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$41 and $0 included in general and administrative expenses for the period ended June 30, 2018 and 2017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options vest over a period of 3 years as outlined in the option agreements. As a result, the Company recognized compensation expenses in the amount of $211 and $0 included in general and administrative expenses and research and development expenses for the period ended June 30, 2018 and 2017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2017, certain employees and consultant exercised 31,453 options (471,794 options before the Reverse Split) to 31,453 ordinary shares at exercise price of 0.001 NIS.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2018, an employee exercised options to purchase 2,487 (37,300 shares of common stock before the Reverse Split) at an exercise price of $0.001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820" w:type="dxa"/>
            <w:vAlign w:val="bottom"/>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414,965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412,478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expected-to-vest at end of period</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205,024</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137160</wp:posOffset>
            </wp:positionV>
            <wp:extent cx="16465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8" w:lineRule="exact"/>
        <w:rPr>
          <w:sz w:val="20"/>
          <w:szCs w:val="20"/>
          <w:color w:val="auto"/>
        </w:rPr>
      </w:pPr>
    </w:p>
    <w:p>
      <w:pPr>
        <w:ind w:left="4900" w:right="760" w:hanging="4526"/>
        <w:spacing w:after="0" w:line="564" w:lineRule="auto"/>
        <w:tabs>
          <w:tab w:leader="none" w:pos="7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represents the number of shares adjusted to retroactively reflect the 1:15 Reverse Split effected on September 4, 2018. 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-176530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57" w:right="239" w:bottom="1440" w:gutter="0" w:footer="0" w:header="0"/>
        </w:sectPr>
      </w:pPr>
    </w:p>
    <w:bookmarkStart w:id="72" w:name="page73"/>
    <w:bookmarkEnd w:id="72"/>
    <w:p>
      <w:pPr>
        <w:jc w:val="center"/>
        <w:ind w:right="656"/>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16" w:lineRule="exact"/>
        <w:rPr>
          <w:sz w:val="20"/>
          <w:szCs w:val="20"/>
          <w:color w:val="auto"/>
        </w:rPr>
      </w:pPr>
    </w:p>
    <w:tbl>
      <w:tblPr>
        <w:tblLayout w:type="fixed"/>
        <w:tblInd w:w="384"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820" w:type="dxa"/>
            <w:vAlign w:val="bottom"/>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414,965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expected-to-vest at end of period</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142,875</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137160</wp:posOffset>
            </wp:positionV>
            <wp:extent cx="16465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8"/>
          <w:szCs w:val="18"/>
          <w:color w:val="auto"/>
        </w:rPr>
        <w:t>(*) Share data represents the number of shares adjusted to retroactively reflect the 1:15 Reverse Split effected on September 4, 2018.</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June 30, 2018 and December 31, 2017 respectively.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stock options outstanding as of June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 options</w:t>
            </w:r>
          </w:p>
        </w:tc>
        <w:tc>
          <w:tcPr>
            <w:tcW w:w="0" w:type="dxa"/>
            <w:vAlign w:val="bottom"/>
          </w:tcPr>
          <w:p>
            <w:pPr>
              <w:spacing w:after="0"/>
              <w:rPr>
                <w:sz w:val="1"/>
                <w:szCs w:val="1"/>
                <w:color w:val="auto"/>
              </w:rPr>
            </w:pPr>
          </w:p>
        </w:tc>
      </w:tr>
      <w:tr>
        <w:trPr>
          <w:trHeight w:val="216"/>
        </w:trPr>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life – years as</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0" w:type="dxa"/>
            <w:vAlign w:val="bottom"/>
          </w:tcPr>
          <w:p>
            <w:pPr>
              <w:spacing w:after="0"/>
              <w:rPr>
                <w:sz w:val="1"/>
                <w:szCs w:val="1"/>
                <w:color w:val="auto"/>
              </w:rPr>
            </w:pPr>
          </w:p>
        </w:tc>
      </w:tr>
      <w:tr>
        <w:trPr>
          <w:trHeight w:val="189"/>
        </w:trPr>
        <w:tc>
          <w:tcPr>
            <w:tcW w:w="1580" w:type="dxa"/>
            <w:vAlign w:val="bottom"/>
            <w:gridSpan w:val="2"/>
            <w:vMerge w:val="continue"/>
          </w:tcPr>
          <w:p>
            <w:pPr>
              <w:spacing w:after="0"/>
              <w:rPr>
                <w:sz w:val="16"/>
                <w:szCs w:val="16"/>
                <w:color w:val="auto"/>
              </w:rPr>
            </w:pPr>
          </w:p>
        </w:tc>
        <w:tc>
          <w:tcPr>
            <w:tcW w:w="160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rPr>
              <w:t>outstanding as</w:t>
            </w:r>
          </w:p>
        </w:tc>
        <w:tc>
          <w:tcPr>
            <w:tcW w:w="160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60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44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rPr>
              <w:t>of December</w:t>
            </w:r>
          </w:p>
        </w:tc>
        <w:tc>
          <w:tcPr>
            <w:tcW w:w="144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of June 30,</w:t>
            </w:r>
          </w:p>
        </w:tc>
        <w:tc>
          <w:tcPr>
            <w:tcW w:w="122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of December</w:t>
            </w:r>
          </w:p>
        </w:tc>
        <w:tc>
          <w:tcPr>
            <w:tcW w:w="0" w:type="dxa"/>
            <w:vAlign w:val="bottom"/>
          </w:tcPr>
          <w:p>
            <w:pPr>
              <w:spacing w:after="0"/>
              <w:rPr>
                <w:sz w:val="1"/>
                <w:szCs w:val="1"/>
                <w:color w:val="auto"/>
              </w:rPr>
            </w:pPr>
          </w:p>
        </w:tc>
      </w:tr>
      <w:tr>
        <w:trPr>
          <w:trHeight w:val="272"/>
        </w:trPr>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June 30, 2018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320" w:type="dxa"/>
            <w:vAlign w:val="bottom"/>
          </w:tcPr>
          <w:p>
            <w:pPr>
              <w:spacing w:after="0"/>
              <w:rPr>
                <w:sz w:val="23"/>
                <w:szCs w:val="2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31, 2017</w:t>
            </w:r>
          </w:p>
        </w:tc>
        <w:tc>
          <w:tcPr>
            <w:tcW w:w="2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31, 2017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77,846</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77,846</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77,846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3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9.25</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9.75</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32,133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72,508</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72,508</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9.25</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9.75</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18,127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66,036</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66,036</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14,376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62,542</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65,029</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8.25</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62,542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65,029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412,478</w:t>
            </w: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414,965</w:t>
            </w: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205,024</w:t>
            </w: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068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18" w:lineRule="exact"/>
        <w:rPr>
          <w:sz w:val="20"/>
          <w:szCs w:val="20"/>
          <w:color w:val="auto"/>
        </w:rPr>
      </w:pPr>
    </w:p>
    <w:p>
      <w:pPr>
        <w:ind w:left="444" w:hanging="444"/>
        <w:spacing w:after="0"/>
        <w:tabs>
          <w:tab w:leader="none" w:pos="4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0.01</w:t>
      </w:r>
    </w:p>
    <w:p>
      <w:pPr>
        <w:spacing w:after="0" w:line="27" w:lineRule="exact"/>
        <w:rPr>
          <w:sz w:val="20"/>
          <w:szCs w:val="20"/>
          <w:color w:val="auto"/>
        </w:rPr>
      </w:pPr>
    </w:p>
    <w:p>
      <w:pPr>
        <w:ind w:left="4"/>
        <w:spacing w:after="0"/>
        <w:tabs>
          <w:tab w:leader="none" w:pos="423"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Share data represents the number of shares adjusted to retroactively reflect the 1:15 Reverse Split effected on September 4, 2018.</w:t>
      </w:r>
    </w:p>
    <w:p>
      <w:pPr>
        <w:spacing w:after="0" w:line="20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Compensation expense recorded by the Company in respect of its stock-based employee compensation awards in accordance with ASC 718-10 for the six-month ended June 31, 2018 and the year ended December 2017 was $ 822 and $ 254, respectively.</w:t>
      </w:r>
    </w:p>
    <w:p>
      <w:pPr>
        <w:spacing w:after="0" w:line="16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57" w:right="239" w:bottom="1440" w:gutter="0" w:footer="0" w:header="0"/>
        </w:sectPr>
      </w:pPr>
    </w:p>
    <w:bookmarkStart w:id="73" w:name="page74"/>
    <w:bookmarkEnd w:id="73"/>
    <w:p>
      <w:pPr>
        <w:jc w:val="center"/>
        <w:ind w:right="66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estimated at the date of grant using Black-Scholes options pricing model with the following weighted-average assumptions: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1"/>
                <w:szCs w:val="21"/>
                <w:color w:val="auto"/>
              </w:rPr>
            </w:pPr>
          </w:p>
        </w:tc>
        <w:tc>
          <w:tcPr>
            <w:tcW w:w="2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48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up to (years)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issued to service provider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Exchange Agreement with Alpha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six-month ended June 30, 2018, the holder of the Series A Convertible Preferred Stock converted 3,000 shares of the Series A Convertible Preferred Stock for 202,151 shares (3,000,000 shares before the Reverse Split) of Common Stock, pursuant to the terms of conversion of the Series A Convertible Preferred Stock.</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57"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8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8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accordance with ASC 480-10-S99-3A (formerly EITF D-98), the Company classified the maximum amount it may be required to pay in the event the repurchase right is exercised ($500) as temporary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BASIC AND DILUTED NET LOSS PER SHARE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shareholders of the Company</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(1,893)</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shareholders of preferred shares</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used in the calculation of basic net loss per</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common shares (*)</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2,855,428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1,940,561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2,809,754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1,877,701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 data represents the number of shares adjusted to retroactively reflect the 1:15 Reverse Split effected on September 4, 2018.</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the inclusion of common share equivalents in the calculation would be anti-dilutive for all periods presented, diluted net loss per share is the same as basic net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TAXES ON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income taxes under the Israeli and U.S. tax laws: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tax rates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Israeli corporate tax rate of 23% from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a Federal tax rate of 21% starting from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data)</w:t>
      </w:r>
    </w:p>
    <w:p>
      <w:pPr>
        <w:spacing w:after="0" w:line="20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w:t>
      </w:r>
    </w:p>
    <w:p>
      <w:pPr>
        <w:spacing w:after="0" w:line="2" w:lineRule="exact"/>
        <w:rPr>
          <w:sz w:val="20"/>
          <w:szCs w:val="20"/>
          <w:color w:val="auto"/>
        </w:rPr>
      </w:pPr>
    </w:p>
    <w:p>
      <w:pPr>
        <w:jc w:val="both"/>
        <w:ind w:left="660" w:hanging="4"/>
        <w:spacing w:after="0" w:line="253" w:lineRule="auto"/>
        <w:tabs>
          <w:tab w:leader="none" w:pos="9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NOL carryforwards created in tax years beginning after December 31, 2017.</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June 30, 2018, the Company’s assessment of the Tax Act is incomplete, and the Company has not yet been able to make reasonable estimates of the effects. Therefore, no provisional adjustments were recorded.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six and three-month period ended June 30, 2018, the Company generated net operating losses in Israel of approximately $1,170 and $776 respectively which may be carried forward and offset against taxable income in the future for an indefinite period.</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six and three-month period ended June 30, 2018, the Company generated net operating losses in the U.S. of approximately $1,416 and $694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491,965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103,313</w:t>
            </w:r>
          </w:p>
        </w:tc>
        <w:tc>
          <w:tcPr>
            <w:tcW w:w="60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taxes on income assuming that all income is taxed at the ordinary statutory corporate tax rate in Israel and the effective income tax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42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 in the statements of operations</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6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under statutory tax rate</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773</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w:t>
            </w:r>
          </w:p>
        </w:tc>
        <w:tc>
          <w:tcPr>
            <w:tcW w:w="164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(773)</w:t>
            </w:r>
          </w:p>
        </w:tc>
        <w:tc>
          <w:tcPr>
            <w:tcW w:w="4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164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income tax</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F-44</w:t>
            </w: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431800</wp:posOffset>
            </wp:positionV>
            <wp:extent cx="2315210" cy="875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3152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164465</wp:posOffset>
            </wp:positionV>
            <wp:extent cx="1449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157480</wp:posOffset>
            </wp:positionV>
            <wp:extent cx="14490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paid or payable by Microbot Medical Inc. (the “Company” or the “Registrant”) in connection with the sale of the securities being registered under this registration statement. All amounts shown are estimates except for the Securities and Exchange Commission, or SEC, registration fee and the FINRA filing fee.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Blue-sky qualification fees and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5"/>
        </w:trPr>
        <w:tc>
          <w:tcPr>
            <w:tcW w:w="6660" w:type="dxa"/>
            <w:vAlign w:val="bottom"/>
            <w:gridSpan w:val="3"/>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 be filed by</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Set forth below is information regarding securities issued and options granted by the Company within the past three years that were not registered under the Securities Act of 1933, as amended, and the rules promulgated thereunder (the “Securities Act”). Also included is the consideration, if any, received by the Registrant, for such securities and options and information relating to the Securities Act, or rule of the SEC, under which exemption from registration was claimed. Except with respect to issuances subsequent to September 4, 2018, the below issuances do not reflect the Company’s September 4, 2018 1-for-15 reverse stock split.</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24, 2018, the holder of the Series A Convertible Preferred Stock, par value $0.01 per share (the “Preferred Stock”), of the Company, converted 30 shares of the Preferred Stock for 30,000 shares of the Company’s common stock. Pursuant to the terms of conversion of the Preferred Stock, each such share is convertible, upon request and for no additional consideration, into 1,000 shares of the common stock of the Company. The issuances of the 30,000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2018, the holder of the Preferred Stock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7, 2018, the holder of the Preferred Stock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11, 2018, the holder of the Preferred Stock converted 800 shares of the Preferred Stock for 800,000 shares of the Company’s common stock, pursuant to the terms of conversion of the Preferred Stock.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November 22, 2017 through January 25, 2018, the holder of the Preferred Stock converted an aggregate of 2,436 shares of the Preferred Stock for an aggregate of 2,436,000 shares of the Registrant’s common stock. Pursuant to the terms of conversion of the Preferred Stock, each such share is convertible, upon request and for no additional consideration, into 1,000 shares of the common stock of the Registrant. The issuances of the 2,436,000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11, 2017, the Registrant issued an aggregate of 70,000 shares of the Registrant’s common stock to a consultant as consideration for services.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9" w:name="page80"/>
    <w:bookmarkEnd w:id="7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October 4, 2017 through October 25, 2017, the holder of the Preferred Stock converted an aggregate of 1,600 shares of the Preferred Stock for an aggregate of 1,600,000 shares of the Company’s common stock. Pursuant to the terms of conversion of the Preferred Stock, each such share is convertible, upon request and for no additional consideration, into 1,000 shares of the common stock of the Registrant. The issuances of the 1,600,000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August 7, 2017 through September 19, 2017, the holder of the Preferred Stock converted an aggregate of 2,200 shares of the Preferred Stock for an aggregate of 2,200,000 shares of the Registrant’s common stock. Pursuant to the terms of conversion of the Preferred Stock, each such share is convertible, upon request and for no additional consideration, into 1,000 shares of the common stock of the Registrant. The issuances of the 2,200,000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Between June 19, 2017 and August 7, 2017, the holder of the Preferred Stock converted an aggregate of 2,029 shares of the Preferred Stock for an aggregate of 2,029,000 shares of the Company’s common stock. Pursuant to the terms of conversion of the Preferred Stock, each such share is convertible, upon request and for no additional consideration, into 1,000 shares of the common stock of the Company. The issuances of the 2,029,000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Between May 18, 2017 and June 12, 2017, the holder of the Preferred Stock converted an aggregate of 1,525 shares of the Preferred Stock for an aggregate of 1,525,000 shares of the Company’s common stock. Pursuant to the terms of conversion of the Preferred Stock, each such share is convertible, upon request and for no additional consideration, into 1,000 shares of the common stock of the Company. The issuances of the 1,525,000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26, 2017, the Company issued an aggregate of 50,000 shares of common stock to a consultant.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10, 2017, the Company entered into a Securities Exchange Agreement (the “Exchange Agreement”) with Alpha Capital Anstalt (“Alpha Capital”), pursuant to which the Company agreed to issue 3,255 shares of Series A Convertible Preferred Stock, par value $0.01 per share (the “Preferred Stock”), in exchange for the full satisfaction, termination and cancellation of that outstanding 6% convertible promissory note of the Company in the principal amount of $2,028,767, issued on November 28, 2016 and held by Alpha Capital (the “Convertible Note”). Effective as of May 10, 2017, the Company issued 3,255 shares of Preferred Stock to Alpha Capital pursuant to the Exchange Agreement. The issuance of the 3,255 shares of Preferred Stock was exempt from registration under Section 4(a)(2) and/or 3(a)(9) under the Securities Act.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2017, an institutional holder exercised, in a cashless transaction, 768 warrants and 359 shares of common stock were issued in connection therewith. The issuance of the 359 share of common stock was exempt from registration under Section 4(a)(2) and/or 3(a)(9) under the Securities Act.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as of December 27, 2016, the Company closed on the exchange (the “Exchange”) of approximately 9,735,925 shares or rights to acquire shares of its common stock held by Alpha Capital Anstalt, for 9,736 shares of Preferred Stock. The issuance of the 9,736 shares of Preferred Stock was exempt from registration under Section 4(a)(2) and/or 3(a)(9) under the Securities Act.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issued 26,644,979 shares of common stock to the existing shareholders of Microbot Israel Ltd. (“Microbot Israel”) and assumed options to purchase an aggregate of 2,614,916 shares of common stock of the existing optionholders of Microbot Israel. Additionally, the Company issued an aggregate of 7,802,639 restricted shares of its common stock or rights to receive common stock to certain advisors. Such sales were exempt from registration under Section 4(a)(2) and Regulation D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to this registration statement, which is incorporated by reference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229" w:lineRule="exact"/>
        <w:rPr>
          <w:sz w:val="20"/>
          <w:szCs w:val="20"/>
          <w:color w:val="auto"/>
        </w:rPr>
      </w:pPr>
    </w:p>
    <w:p>
      <w:pPr>
        <w:jc w:val="both"/>
        <w:ind w:right="20" w:firstLine="363"/>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investor.</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(§230.424 of this chapter);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0" w:gutter="0" w:footer="0" w:header="0"/>
        </w:sectPr>
      </w:pPr>
    </w:p>
    <w:bookmarkStart w:id="81" w:name="page82"/>
    <w:bookmarkEnd w:id="8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225" w:lineRule="exact"/>
        <w:rPr>
          <w:sz w:val="20"/>
          <w:szCs w:val="20"/>
          <w:color w:val="auto"/>
        </w:rPr>
      </w:pPr>
    </w:p>
    <w:p>
      <w:pPr>
        <w:ind w:left="900" w:hanging="685"/>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23">
        <w:r>
          <w:rPr>
            <w:rFonts w:ascii="Times New Roman" w:cs="Times New Roman" w:eastAsia="Times New Roman" w:hAnsi="Times New Roman"/>
            <w:sz w:val="18"/>
            <w:szCs w:val="18"/>
            <w:u w:val="single" w:color="auto"/>
            <w:color w:val="0000EE"/>
          </w:rPr>
          <w:t>Agreement and Plan of Merger and Reorganization, dated as of August 15, 2016, by and among StemCells, Inc., C&amp;RD Israel Ltd. and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Microbot Medical Ltd. (incorporated by reference to the Company’s Current Report on Form 8-K filed on August 15, 2016).</w:t>
        </w:r>
      </w:hyperlink>
    </w:p>
    <w:p>
      <w:pPr>
        <w:spacing w:after="0" w:line="162" w:lineRule="exact"/>
        <w:rPr>
          <w:sz w:val="20"/>
          <w:szCs w:val="20"/>
          <w:color w:val="auto"/>
        </w:rPr>
      </w:pPr>
    </w:p>
    <w:p>
      <w:pPr>
        <w:ind w:left="900" w:hanging="685"/>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24">
        <w:r>
          <w:rPr>
            <w:rFonts w:ascii="Times New Roman" w:cs="Times New Roman" w:eastAsia="Times New Roman" w:hAnsi="Times New Roman"/>
            <w:sz w:val="18"/>
            <w:szCs w:val="18"/>
            <w:u w:val="single" w:color="auto"/>
            <w:color w:val="0000EE"/>
          </w:rPr>
          <w:t>Restated Certificate of Incorporation of the Company (incorporated by reference to the Company’s Annual Report on Form 10-K for the fiscal</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year ended December 31, 2006 and filed on March 15, 2007).</w:t>
        </w:r>
      </w:hyperlink>
    </w:p>
    <w:p>
      <w:pPr>
        <w:spacing w:after="0" w:line="162" w:lineRule="exact"/>
        <w:rPr>
          <w:sz w:val="20"/>
          <w:szCs w:val="20"/>
          <w:color w:val="auto"/>
        </w:rPr>
      </w:pPr>
    </w:p>
    <w:p>
      <w:pPr>
        <w:ind w:left="900" w:hanging="685"/>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25">
        <w:r>
          <w:rPr>
            <w:rFonts w:ascii="Times New Roman" w:cs="Times New Roman" w:eastAsia="Times New Roman" w:hAnsi="Times New Roman"/>
            <w:sz w:val="18"/>
            <w:szCs w:val="18"/>
            <w:u w:val="single" w:color="auto"/>
            <w:color w:val="0000EE"/>
          </w:rPr>
          <w:t>Certificate of Amendment to the Restated Certificate of Incorporation of the Company (incorporated by reference to the Company’s Current</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Report on Form 8-K filed on November 29, 2016).</w:t>
        </w:r>
      </w:hyperlink>
    </w:p>
    <w:p>
      <w:pPr>
        <w:spacing w:after="0" w:line="162" w:lineRule="exact"/>
        <w:rPr>
          <w:sz w:val="20"/>
          <w:szCs w:val="20"/>
          <w:color w:val="auto"/>
        </w:rPr>
      </w:pPr>
    </w:p>
    <w:p>
      <w:pPr>
        <w:ind w:left="20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26">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2016).</w:t>
        </w:r>
      </w:hyperlink>
    </w:p>
    <w:p>
      <w:pPr>
        <w:spacing w:after="0" w:line="207"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27">
        <w:r>
          <w:rPr>
            <w:rFonts w:ascii="Times New Roman" w:cs="Times New Roman" w:eastAsia="Times New Roman" w:hAnsi="Times New Roman"/>
            <w:sz w:val="17"/>
            <w:szCs w:val="17"/>
            <w:u w:val="single" w:color="auto"/>
            <w:color w:val="0000EE"/>
          </w:rPr>
          <w:t>Form of Series A Warrant (incorporated by reference to the Registrant’s Current Report on Form 8-K filed on December 16, 2016).</w:t>
        </w:r>
      </w:hyperlink>
    </w:p>
    <w:p>
      <w:pPr>
        <w:spacing w:after="0" w:line="225"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28">
        <w:r>
          <w:rPr>
            <w:rFonts w:ascii="Times New Roman" w:cs="Times New Roman" w:eastAsia="Times New Roman" w:hAnsi="Times New Roman"/>
            <w:sz w:val="17"/>
            <w:szCs w:val="17"/>
            <w:u w:val="single" w:color="auto"/>
            <w:color w:val="0000EE"/>
          </w:rPr>
          <w:t>Form of Series B Warrant (incorporated by reference to the Company’s Current Report on Form 8-K filed on December 16, 2016).</w:t>
        </w:r>
      </w:hyperlink>
    </w:p>
    <w:p>
      <w:pPr>
        <w:spacing w:after="0" w:line="225"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Form of Pre-Funded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Form of Underwriter’s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Opinion of Mintz, Levin, Cohn, Ferris, Glovsky and Popeo P.C.</w:t>
      </w:r>
    </w:p>
    <w:p>
      <w:pPr>
        <w:spacing w:after="0" w:line="225"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9">
        <w:r>
          <w:rPr>
            <w:rFonts w:ascii="Times New Roman" w:cs="Times New Roman" w:eastAsia="Times New Roman" w:hAnsi="Times New Roman"/>
            <w:sz w:val="18"/>
            <w:szCs w:val="18"/>
            <w:u w:val="single" w:color="auto"/>
            <w:color w:val="0000EE"/>
          </w:rPr>
          <w:t>Letter Agreement between the Company and Alpha Capital Anstalt (incorporated by reference from the Current Report on Form 8-K filed with</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the Securities and Exchange Commission on December 23, 2016).</w:t>
        </w:r>
      </w:hyperlink>
    </w:p>
    <w:p>
      <w:pPr>
        <w:spacing w:after="0" w:line="162"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30">
        <w:r>
          <w:rPr>
            <w:rFonts w:ascii="Times New Roman" w:cs="Times New Roman" w:eastAsia="Times New Roman" w:hAnsi="Times New Roman"/>
            <w:sz w:val="18"/>
            <w:szCs w:val="18"/>
            <w:u w:val="single" w:color="auto"/>
            <w:color w:val="0000EE"/>
          </w:rPr>
          <w:t>Securities Exchange Agreement between the Company and Alpha Capital Anstalt (incorporated by reference to the Company’s Current Report</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on Form 8-K filed on November 29, 2016).</w:t>
        </w:r>
      </w:hyperlink>
    </w:p>
    <w:p>
      <w:pPr>
        <w:spacing w:after="0" w:line="162"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31">
        <w:r>
          <w:rPr>
            <w:rFonts w:ascii="Times New Roman" w:cs="Times New Roman" w:eastAsia="Times New Roman" w:hAnsi="Times New Roman"/>
            <w:sz w:val="18"/>
            <w:szCs w:val="18"/>
            <w:u w:val="single" w:color="auto"/>
            <w:color w:val="0000EE"/>
          </w:rPr>
          <w:t>Convertible Promissory Note in favor of Alpha Capital Anstalt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on November 29, 2016).</w:t>
        </w:r>
      </w:hyperlink>
    </w:p>
    <w:p>
      <w:pPr>
        <w:spacing w:after="0" w:line="162"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32">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 Company’s</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Current Report on Form 8-K filed on November 29, 2016).</w:t>
        </w:r>
      </w:hyperlink>
    </w:p>
    <w:p>
      <w:pPr>
        <w:spacing w:after="0" w:line="162" w:lineRule="exact"/>
        <w:rPr>
          <w:sz w:val="20"/>
          <w:szCs w:val="20"/>
          <w:color w:val="auto"/>
        </w:rPr>
      </w:pPr>
    </w:p>
    <w:p>
      <w:pPr>
        <w:ind w:left="16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33">
        <w:r>
          <w:rPr>
            <w:rFonts w:ascii="Times New Roman" w:cs="Times New Roman" w:eastAsia="Times New Roman" w:hAnsi="Times New Roman"/>
            <w:sz w:val="17"/>
            <w:szCs w:val="17"/>
            <w:u w:val="single" w:color="auto"/>
            <w:color w:val="0000EE"/>
          </w:rPr>
          <w:t>Employment Agreement with Harel Gadot (incorporated by reference to the Company’s Current Report on Form 8-K filed on November 29,</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2016).</w:t>
        </w:r>
      </w:hyperlink>
    </w:p>
    <w:p>
      <w:pPr>
        <w:spacing w:after="0" w:line="207"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34">
        <w:r>
          <w:rPr>
            <w:rFonts w:ascii="Times New Roman" w:cs="Times New Roman" w:eastAsia="Times New Roman" w:hAnsi="Times New Roman"/>
            <w:sz w:val="18"/>
            <w:szCs w:val="18"/>
            <w:u w:val="single" w:color="auto"/>
            <w:color w:val="0000EE"/>
          </w:rPr>
          <w:t>Services Agreement with DBN Finance Services Ltd.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November 29, 2016).</w:t>
        </w:r>
      </w:hyperlink>
    </w:p>
    <w:p>
      <w:pPr>
        <w:spacing w:after="0" w:line="162"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35">
        <w:r>
          <w:rPr>
            <w:rFonts w:ascii="Times New Roman" w:cs="Times New Roman" w:eastAsia="Times New Roman" w:hAnsi="Times New Roman"/>
            <w:sz w:val="18"/>
            <w:szCs w:val="18"/>
            <w:u w:val="single" w:color="auto"/>
            <w:color w:val="0000EE"/>
          </w:rPr>
          <w:t>Employment Agreement with Yehezkel Himelfarb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December 8, 2016).</w:t>
        </w:r>
      </w:hyperlink>
    </w:p>
    <w:p>
      <w:pPr>
        <w:spacing w:after="0" w:line="162" w:lineRule="exact"/>
        <w:rPr>
          <w:sz w:val="20"/>
          <w:szCs w:val="20"/>
          <w:color w:val="auto"/>
        </w:rPr>
      </w:pPr>
    </w:p>
    <w:p>
      <w:pPr>
        <w:ind w:left="90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36">
        <w:r>
          <w:rPr>
            <w:rFonts w:ascii="Times New Roman" w:cs="Times New Roman" w:eastAsia="Times New Roman" w:hAnsi="Times New Roman"/>
            <w:sz w:val="18"/>
            <w:szCs w:val="18"/>
            <w:u w:val="single" w:color="auto"/>
            <w:color w:val="0000EE"/>
          </w:rPr>
          <w:t>Securities Exchange Agreement, dated December 16, 2016, by and between StemCells, Inc. and Alpha Capital Anstalt (incorporated by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reference to the Company’s Current Report on Form 8-K filed on December 16, 2016).</w:t>
        </w:r>
      </w:hyperlink>
    </w:p>
    <w:p>
      <w:pPr>
        <w:spacing w:after="0" w:line="162" w:lineRule="exact"/>
        <w:rPr>
          <w:sz w:val="20"/>
          <w:szCs w:val="20"/>
          <w:color w:val="auto"/>
        </w:rPr>
      </w:pPr>
    </w:p>
    <w:p>
      <w:pPr>
        <w:ind w:left="900" w:right="20" w:hanging="73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37">
        <w:r>
          <w:rPr>
            <w:rFonts w:ascii="Times New Roman" w:cs="Times New Roman" w:eastAsia="Times New Roman" w:hAnsi="Times New Roman"/>
            <w:sz w:val="18"/>
            <w:szCs w:val="18"/>
            <w:u w:val="single" w:color="auto"/>
            <w:color w:val="0000EE"/>
          </w:rPr>
          <w:t>Form of Securities Purchase Agreement, dated January 5, 2017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on January 5, 2017).</w:t>
        </w:r>
      </w:hyperlink>
    </w:p>
    <w:p>
      <w:pPr>
        <w:spacing w:after="0" w:line="162" w:lineRule="exact"/>
        <w:rPr>
          <w:sz w:val="20"/>
          <w:szCs w:val="20"/>
          <w:color w:val="auto"/>
        </w:rPr>
      </w:pPr>
    </w:p>
    <w:p>
      <w:pPr>
        <w:ind w:left="12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38">
        <w:r>
          <w:rPr>
            <w:rFonts w:ascii="Times New Roman" w:cs="Times New Roman" w:eastAsia="Times New Roman" w:hAnsi="Times New Roman"/>
            <w:sz w:val="18"/>
            <w:szCs w:val="18"/>
            <w:u w:val="single" w:color="auto"/>
            <w:color w:val="0000EE"/>
          </w:rPr>
          <w:t>Placement Agreement, dated January 4, 2017 (incorporated by reference to the Company’s Current Report on Form 8-K filed on January 5,</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2017).</w:t>
        </w:r>
      </w:hyperlink>
    </w:p>
    <w:p>
      <w:pPr>
        <w:spacing w:after="0" w:line="207" w:lineRule="exact"/>
        <w:rPr>
          <w:sz w:val="20"/>
          <w:szCs w:val="20"/>
          <w:color w:val="auto"/>
        </w:rPr>
      </w:pPr>
    </w:p>
    <w:p>
      <w:pPr>
        <w:jc w:val="both"/>
        <w:ind w:left="900" w:hanging="77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39">
        <w:r>
          <w:rPr>
            <w:rFonts w:ascii="Times New Roman" w:cs="Times New Roman" w:eastAsia="Times New Roman" w:hAnsi="Times New Roman"/>
            <w:sz w:val="18"/>
            <w:szCs w:val="18"/>
            <w:u w:val="single" w:color="auto"/>
            <w:color w:val="0000EE"/>
          </w:rPr>
          <w:t>Asset Purchase Agreement, dated November 11, 2016, by and among StemCells, Inc., Stem Cell Sciences Holdings Limited, Stemcells</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California, Inc., and Boco Silicon Valley, Inc. (incorporated by reference to the Company’s Annual Report on Form 10-K for the fiscal year</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ended December 31, 2016 and filed on March 21, 2017).</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hanging="776"/>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40">
        <w:r>
          <w:rPr>
            <w:rFonts w:ascii="Times New Roman" w:cs="Times New Roman" w:eastAsia="Times New Roman" w:hAnsi="Times New Roman"/>
            <w:sz w:val="18"/>
            <w:szCs w:val="18"/>
            <w:u w:val="single" w:color="auto"/>
            <w:color w:val="0000EE"/>
          </w:rPr>
          <w:t>Escrow Agreement, dated as of November 11, 2016, by and among BOCO Silicon Valley, Inc., StemCells, Inc., Continental Stock Transfer &amp;</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Trust Company, Kenneth B. Stratton and Alpha Capital Anstalt (incorporated by reference to the Company’s Annual Report on Form 10-K for</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the fiscal year ended December 31, 2016 and filed on March 21, 2017).</w:t>
        </w:r>
      </w:hyperlink>
    </w:p>
    <w:p>
      <w:pPr>
        <w:spacing w:after="0" w:line="176" w:lineRule="exact"/>
        <w:rPr>
          <w:rFonts w:ascii="Times New Roman" w:cs="Times New Roman" w:eastAsia="Times New Roman" w:hAnsi="Times New Roman"/>
          <w:sz w:val="18"/>
          <w:szCs w:val="18"/>
          <w:u w:val="single" w:color="auto"/>
          <w:color w:val="0000EE"/>
        </w:rPr>
      </w:pPr>
    </w:p>
    <w:p>
      <w:pPr>
        <w:jc w:val="center"/>
        <w:ind w:right="14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80" w:top="657" w:right="239" w:bottom="90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15"/>
                <w:szCs w:val="15"/>
                <w:color w:val="auto"/>
              </w:rPr>
            </w:pPr>
          </w:p>
        </w:tc>
        <w:tc>
          <w:tcPr>
            <w:tcW w:w="10380" w:type="dxa"/>
            <w:vAlign w:val="bottom"/>
            <w:tcBorders>
              <w:top w:val="single" w:sz="8" w:color="auto"/>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Contract Research Agreement, dated January 27, 2017, with The Washington University (incorporated by reference to the Company’s Annual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Report on Form 10-K for the fiscal year ended December 31, 2016 and filed on March 21,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 21,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43">
              <w:r>
                <w:rPr>
                  <w:rFonts w:ascii="Times New Roman" w:cs="Times New Roman" w:eastAsia="Times New Roman" w:hAnsi="Times New Roman"/>
                  <w:sz w:val="18"/>
                  <w:szCs w:val="18"/>
                  <w:color w:val="0000EE"/>
                  <w:w w:val="94"/>
                </w:rPr>
                <w:t>2017).</w:t>
              </w:r>
            </w:hyperlink>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Microbot Medical Inc. 2017 Equity Incentive Plan (incorporated by reference to the Company’s Quarterly Report on Form 10-Q for the Quarter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ended September 30, 2017, filed on November 14,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Letter Agreement, by and between the Company and Martin McGlynn, dated January 10,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Quarterly Report on Form 10-Q for the Quarter ended March 31, 2016, filed on May 10, 2016).</w:t>
              </w:r>
            </w:hyperlink>
          </w:p>
        </w:tc>
        <w:tc>
          <w:tcPr>
            <w:tcW w:w="3500" w:type="dxa"/>
            <w:vAlign w:val="bottom"/>
            <w:gridSpan w:val="8"/>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Severance Buy-Out Agreement, Compromise and Release, by and between StemCells, Inc. and Ken Stratton,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Severance Buy-Out Agreement, Compromise and Release, by and between StemCells, Inc. and Gregory Schiffman, dated June 6,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(incorporated by reference to the Company’s Quarterly Report on Form 10-Q for the Quarter ended June 30, 2016, filed on August 15, 2016).</w:t>
              </w:r>
            </w:hyperlink>
          </w:p>
        </w:tc>
        <w:tc>
          <w:tcPr>
            <w:tcW w:w="180" w:type="dxa"/>
            <w:vAlign w:val="bottom"/>
            <w:gridSpan w:val="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Severance Buy-Out Agreement, Compromise and Release, by and between StemCells, Inc. and Ian Massey,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Cooperation and Consulting Agreement, by and between StemCells, Inc. and Ken Stratton,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Cooperation and Consulting Agreement, by and between StemCells, Inc. and Gregory Schiffman, dated June 6, 2016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to the Company’s Quarterly Report on Form 10-Q for the Quarter ended June 30, 2016, filed on August 15, 2016).</w:t>
              </w:r>
            </w:hyperlink>
          </w:p>
        </w:tc>
        <w:tc>
          <w:tcPr>
            <w:tcW w:w="2140" w:type="dxa"/>
            <w:vAlign w:val="bottom"/>
            <w:gridSpan w:val="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Cooperation and Consulting Agreement, by and between StemCells, Inc. and Ian Massey,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Trust Agreement, by and between StemCells, Inc. and David A. Bradlow, dated June 16,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Securities Exchange Agreement, dated May 10, 2017, by and between the Company and Capital Anstalt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Company’s Current Report on Form 8-K filed on January 8,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4"/>
                <w:szCs w:val="24"/>
                <w:color w:val="auto"/>
              </w:rPr>
            </w:pPr>
          </w:p>
        </w:tc>
        <w:tc>
          <w:tcPr>
            <w:tcW w:w="10380" w:type="dxa"/>
            <w:vAlign w:val="bottom"/>
            <w:gridSpan w:val="1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Asset Purchase Agreement, dated July 13, 2016, by and between StemCells, Inc. and Miltenyi Biotec, Inc.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Company’s Current Report on Form 8-K filed on August 15, 2016).</w:t>
              </w:r>
            </w:hyperlink>
          </w:p>
        </w:tc>
        <w:tc>
          <w:tcPr>
            <w:tcW w:w="54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Settlement Agreement, dated as of July 29, 2016, by and between BMR-Pacific Research Center LP and StemCells, Inc.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reference to the Company’s Current Report on Form 8-K filed on August 15, 2016).</w:t>
              </w:r>
            </w:hyperlink>
          </w:p>
        </w:tc>
        <w:tc>
          <w:tcPr>
            <w:tcW w:w="4340" w:type="dxa"/>
            <w:vAlign w:val="bottom"/>
            <w:gridSpan w:val="9"/>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Agreement, dated January 4, 2018, by and between CardioSert Ltd. and Microbot Medical Ltd.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Current Report on Form 8-K filed on January 8, 2018).</w:t>
              </w:r>
            </w:hyperlink>
          </w:p>
        </w:tc>
        <w:tc>
          <w:tcPr>
            <w:tcW w:w="6420" w:type="dxa"/>
            <w:vAlign w:val="bottom"/>
            <w:gridSpan w:val="1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Subsidiaries of the Company (incorporated by reference to the Company’s Annual Report on Form 10-K for the fiscal year ended December 31,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2016 and filed on March 21, 2017).</w:t>
              </w:r>
            </w:hyperlink>
          </w:p>
        </w:tc>
        <w:tc>
          <w:tcPr>
            <w:tcW w:w="7820" w:type="dxa"/>
            <w:vAlign w:val="bottom"/>
            <w:gridSpan w:val="16"/>
          </w:tcPr>
          <w:p>
            <w:pPr>
              <w:spacing w:after="0"/>
              <w:rPr>
                <w:sz w:val="17"/>
                <w:szCs w:val="17"/>
                <w:color w:val="auto"/>
              </w:rPr>
            </w:pPr>
          </w:p>
        </w:tc>
      </w:tr>
      <w:tr>
        <w:trPr>
          <w:trHeight w:val="453"/>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23.1†</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Consent of Mintz, Levin, Cohn, Ferris, Glovsky and Popeo, P.C. Reference is made to Exhibit 5.1.</w:t>
            </w:r>
          </w:p>
        </w:tc>
      </w:tr>
      <w:tr>
        <w:trPr>
          <w:trHeight w:val="39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6020" w:type="dxa"/>
            <w:vAlign w:val="bottom"/>
            <w:gridSpan w:val="12"/>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10380" w:type="dxa"/>
            <w:vAlign w:val="bottom"/>
            <w:gridSpan w:val="18"/>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Power of Attorney (contained on the signature page).</w:t>
              </w:r>
            </w:hyperlink>
          </w:p>
        </w:tc>
      </w:tr>
      <w:tr>
        <w:trPr>
          <w:trHeight w:val="453"/>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38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w:t>
            </w:r>
          </w:p>
        </w:tc>
        <w:tc>
          <w:tcPr>
            <w:tcW w:w="6560" w:type="dxa"/>
            <w:vAlign w:val="bottom"/>
            <w:gridSpan w:val="15"/>
          </w:tcPr>
          <w:p>
            <w:pPr>
              <w:spacing w:after="0"/>
              <w:rPr>
                <w:sz w:val="24"/>
                <w:szCs w:val="24"/>
                <w:color w:val="auto"/>
              </w:rPr>
            </w:pPr>
          </w:p>
        </w:tc>
      </w:tr>
      <w:tr>
        <w:trPr>
          <w:trHeight w:val="43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43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r>
      <w:tr>
        <w:trPr>
          <w:trHeight w:val="43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r>
      <w:tr>
        <w:trPr>
          <w:trHeight w:val="43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Labels.</w:t>
            </w:r>
          </w:p>
        </w:tc>
      </w:tr>
      <w:tr>
        <w:trPr>
          <w:trHeight w:val="43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10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5" w:lineRule="exact"/>
        <w:rPr>
          <w:sz w:val="20"/>
          <w:szCs w:val="20"/>
          <w:color w:val="auto"/>
        </w:rPr>
      </w:pPr>
    </w:p>
    <w:p>
      <w:pPr>
        <w:ind w:left="1040" w:hanging="624"/>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Hingham, Commonwealth of Massachusetts, on November 8, 2018.</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Harel Gadot and Yehezkel (Hezi) Himelfarb, and each of them, as his true and lawful attorneys-in-fact and agents, with full power of substitution and resubstitution, for him and in his name, place and stead, in any and all capacities, to sign any and all amendments (including post-effective amendments and registration statements filed pursuant to Rule 462)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657" w:right="239" w:bottom="1440" w:gutter="0" w:footer="0" w:header="0"/>
        </w:sectPr>
      </w:pP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9640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Harel Gadot</w:t>
      </w:r>
    </w:p>
    <w:p>
      <w:pPr>
        <w:spacing w:after="0" w:line="200" w:lineRule="exact"/>
        <w:rPr>
          <w:sz w:val="20"/>
          <w:szCs w:val="20"/>
          <w:color w:val="auto"/>
        </w:rPr>
      </w:pPr>
    </w:p>
    <w:p>
      <w:pPr>
        <w:spacing w:after="0" w:line="2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David Ben Naim</w:t>
      </w:r>
    </w:p>
    <w:p>
      <w:pPr>
        <w:spacing w:after="0" w:line="200" w:lineRule="exact"/>
        <w:rPr>
          <w:sz w:val="20"/>
          <w:szCs w:val="20"/>
          <w:color w:val="auto"/>
        </w:rPr>
      </w:pPr>
    </w:p>
    <w:p>
      <w:pPr>
        <w:spacing w:after="0" w:line="2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i w:val="1"/>
          <w:iCs w:val="1"/>
          <w:color w:val="auto"/>
        </w:rPr>
        <w:t>/s/ Yehezkel (Hezi) Himelfarb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9640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Yehezkel (Hezi) Himelfarb</w:t>
      </w: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Yoav Waizer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Yoav Waizer</w:t>
      </w: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Yoseph Bornstein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Pratipatti Laxminarain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Pratipatti Laxminarain</w:t>
      </w: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Scott Burell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Scott Burell</w:t>
      </w: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/s/ Martin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640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Martin Madden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57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23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160" w:type="dxa"/>
            <w:vAlign w:val="bottom"/>
          </w:tcPr>
          <w:p>
            <w:pPr>
              <w:spacing w:after="0"/>
              <w:rPr>
                <w:sz w:val="20"/>
                <w:szCs w:val="20"/>
                <w:color w:val="auto"/>
              </w:rPr>
            </w:pPr>
          </w:p>
        </w:tc>
      </w:tr>
      <w:tr>
        <w:trPr>
          <w:trHeight w:val="641"/>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23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160" w:type="dxa"/>
            <w:vAlign w:val="bottom"/>
          </w:tcPr>
          <w:p>
            <w:pPr>
              <w:spacing w:after="0"/>
              <w:rPr>
                <w:sz w:val="20"/>
                <w:szCs w:val="20"/>
                <w:color w:val="auto"/>
              </w:rPr>
            </w:pPr>
          </w:p>
        </w:tc>
      </w:tr>
      <w:tr>
        <w:trPr>
          <w:trHeight w:val="66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 General Manager and 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283210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620" w:space="720"/>
            <w:col w:w="8080"/>
          </w:cols>
          <w:pgMar w:left="240" w:top="657" w:right="239" w:bottom="1440" w:gutter="0" w:footer="0" w:header="0"/>
          <w:type w:val="continuous"/>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April 2, 2018, except Note 1D, as to which the date is November 8, 2018, relating to the consolidated financial statements of Microbot Medical, Inc. as of December 31, 2017 and 2016 and for each of the years then ended, appearing in the Prospectus, which is a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77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Brightman Almagor Zohar &amp;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of Deloitte Touche Tohmatsu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upperLetter"/>
      <w:start w:val="1"/>
    </w:lvl>
  </w:abstractNum>
  <w:abstractNum w:abstractNumId="22">
    <w:nsid w:val="70A64E2A"/>
    <w:multiLevelType w:val="hybridMultilevel"/>
    <w:lvl w:ilvl="0">
      <w:lvlJc w:val="left"/>
      <w:lvlText w:val="%1."/>
      <w:numFmt w:val="upperLetter"/>
      <w:start w:val="2"/>
    </w:lvl>
  </w:abstractNum>
  <w:abstractNum w:abstractNumId="23">
    <w:nsid w:val="6A2342EC"/>
    <w:multiLevelType w:val="hybridMultilevel"/>
    <w:lvl w:ilvl="0">
      <w:lvlJc w:val="left"/>
      <w:lvlText w:val="%1."/>
      <w:numFmt w:val="upperLetter"/>
      <w:start w:val="3"/>
    </w:lvl>
  </w:abstractNum>
  <w:abstractNum w:abstractNumId="24">
    <w:nsid w:val="2A487CB0"/>
    <w:multiLevelType w:val="hybridMultilevel"/>
    <w:lvl w:ilvl="0">
      <w:lvlJc w:val="left"/>
      <w:lvlText w:val="%1."/>
      <w:numFmt w:val="upperLetter"/>
      <w:start w:val="4"/>
    </w:lvl>
  </w:abstractNum>
  <w:abstractNum w:abstractNumId="25">
    <w:nsid w:val="1D4ED43B"/>
    <w:multiLevelType w:val="hybridMultilevel"/>
    <w:lvl w:ilvl="0">
      <w:lvlJc w:val="left"/>
      <w:lvlText w:val="%1."/>
      <w:numFmt w:val="upperLetter"/>
      <w:start w:val="1"/>
    </w:lvl>
  </w:abstractNum>
  <w:abstractNum w:abstractNumId="26">
    <w:nsid w:val="725A06FB"/>
    <w:multiLevelType w:val="hybridMultilevel"/>
    <w:lvl w:ilvl="0">
      <w:lvlJc w:val="left"/>
      <w:lvlText w:val="%1."/>
      <w:numFmt w:val="upperLetter"/>
      <w:start w:val="2"/>
    </w:lvl>
  </w:abstractNum>
  <w:abstractNum w:abstractNumId="27">
    <w:nsid w:val="2CD89A32"/>
    <w:multiLevelType w:val="hybridMultilevel"/>
    <w:lvl w:ilvl="0">
      <w:lvlJc w:val="left"/>
      <w:lvlText w:val="%1."/>
      <w:numFmt w:val="upperLetter"/>
      <w:start w:val="3"/>
    </w:lvl>
  </w:abstractNum>
  <w:abstractNum w:abstractNumId="28">
    <w:nsid w:val="57E4CCAF"/>
    <w:multiLevelType w:val="hybridMultilevel"/>
    <w:lvl w:ilvl="0">
      <w:lvlJc w:val="left"/>
      <w:lvlText w:val="%1."/>
      <w:numFmt w:val="upperLetter"/>
      <w:start w:val="4"/>
    </w:lvl>
  </w:abstractNum>
  <w:abstractNum w:abstractNumId="29">
    <w:nsid w:val="7A6D8D3C"/>
    <w:multiLevelType w:val="hybridMultilevel"/>
    <w:lvl w:ilvl="0">
      <w:lvlJc w:val="left"/>
      <w:lvlText w:val="%1."/>
      <w:numFmt w:val="upperLetter"/>
      <w:start w:val="5"/>
    </w:lvl>
  </w:abstractNum>
  <w:abstractNum w:abstractNumId="30">
    <w:nsid w:val="4B588F54"/>
    <w:multiLevelType w:val="hybridMultilevel"/>
    <w:lvl w:ilvl="0">
      <w:lvlJc w:val="left"/>
      <w:lvlText w:val="%1."/>
      <w:numFmt w:val="upperLetter"/>
      <w:start w:val="6"/>
    </w:lvl>
  </w:abstractNum>
  <w:abstractNum w:abstractNumId="31">
    <w:nsid w:val="542289EC"/>
    <w:multiLevelType w:val="hybridMultilevel"/>
    <w:lvl w:ilvl="0">
      <w:lvlJc w:val="left"/>
      <w:lvlText w:val="%1."/>
      <w:numFmt w:val="upperLetter"/>
      <w:start w:val="7"/>
    </w:lvl>
  </w:abstractNum>
  <w:abstractNum w:abstractNumId="32">
    <w:nsid w:val="6DE91B18"/>
    <w:multiLevelType w:val="hybridMultilevel"/>
    <w:lvl w:ilvl="0">
      <w:lvlJc w:val="left"/>
      <w:lvlText w:val="%1."/>
      <w:numFmt w:val="upperLetter"/>
      <w:start w:val="8"/>
    </w:lvl>
  </w:abstractNum>
  <w:abstractNum w:abstractNumId="33">
    <w:nsid w:val="38437FDB"/>
    <w:multiLevelType w:val="hybridMultilevel"/>
    <w:lvl w:ilvl="0">
      <w:lvlJc w:val="left"/>
      <w:lvlText w:val="%1."/>
      <w:numFmt w:val="upperLetter"/>
      <w:start w:val="9"/>
    </w:lvl>
  </w:abstractNum>
  <w:abstractNum w:abstractNumId="34">
    <w:nsid w:val="7644A45C"/>
    <w:multiLevelType w:val="hybridMultilevel"/>
    <w:lvl w:ilvl="0">
      <w:lvlJc w:val="left"/>
      <w:lvlText w:val="%1."/>
      <w:numFmt w:val="upperLetter"/>
      <w:start w:val="10"/>
    </w:lvl>
  </w:abstractNum>
  <w:abstractNum w:abstractNumId="35">
    <w:nsid w:val="32FFF902"/>
    <w:multiLevelType w:val="hybridMultilevel"/>
    <w:lvl w:ilvl="0">
      <w:lvlJc w:val="left"/>
      <w:lvlText w:val="%1."/>
      <w:numFmt w:val="upperLetter"/>
      <w:start w:val="11"/>
    </w:lvl>
  </w:abstractNum>
  <w:abstractNum w:abstractNumId="36">
    <w:nsid w:val="684A481A"/>
    <w:multiLevelType w:val="hybridMultilevel"/>
    <w:lvl w:ilvl="0">
      <w:lvlJc w:val="left"/>
      <w:lvlText w:val="%1."/>
      <w:numFmt w:val="upperLetter"/>
      <w:start w:val="12"/>
    </w:lvl>
  </w:abstractNum>
  <w:abstractNum w:abstractNumId="37">
    <w:nsid w:val="579478FE"/>
    <w:multiLevelType w:val="hybridMultilevel"/>
    <w:lvl w:ilvl="0">
      <w:lvlJc w:val="left"/>
      <w:lvlText w:val="%1."/>
      <w:numFmt w:val="upperLetter"/>
      <w:start w:val="13"/>
    </w:lvl>
  </w:abstractNum>
  <w:abstractNum w:abstractNumId="38">
    <w:nsid w:val="749ABB43"/>
    <w:multiLevelType w:val="hybridMultilevel"/>
    <w:lvl w:ilvl="0">
      <w:lvlJc w:val="left"/>
      <w:lvlText w:val="%1."/>
      <w:numFmt w:val="upperLetter"/>
      <w:start w:val="14"/>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upperLetter"/>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upperLetter"/>
      <w:start w:val="1"/>
    </w:lvl>
  </w:abstractNum>
  <w:abstractNum w:abstractNumId="53">
    <w:nsid w:val="180115BE"/>
    <w:multiLevelType w:val="hybridMultilevel"/>
    <w:lvl w:ilvl="0">
      <w:lvlJc w:val="left"/>
      <w:lvlText w:val="%1."/>
      <w:numFmt w:val="upperLetter"/>
      <w:start w:val="3"/>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3"/>
    </w:lvl>
  </w:abstractNum>
  <w:abstractNum w:abstractNumId="59">
    <w:nsid w:val="D34B6A8"/>
    <w:multiLevelType w:val="hybridMultilevel"/>
    <w:lvl w:ilvl="0">
      <w:lvlJc w:val="left"/>
      <w:lvlText w:val="(%1)"/>
      <w:numFmt w:val="decimal"/>
      <w:start w:val="1"/>
    </w:lvl>
    <w:lvl w:ilvl="1">
      <w:lvlJc w:val="left"/>
      <w:lvlText w:val="(%2)"/>
      <w:numFmt w:val="lowerRoman"/>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1"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23" Type="http://schemas.openxmlformats.org/officeDocument/2006/relationships/hyperlink" Target="http://www.sec.gov/Archives/edgar/data/883975/000119312516682077/d161430dex21.htm" TargetMode="External"/><Relationship Id="rId124" Type="http://schemas.openxmlformats.org/officeDocument/2006/relationships/hyperlink" Target="http://www.sec.gov/Archives/edgar/data/883975/000095013407005808/f27726exv3w1.htm" TargetMode="External"/><Relationship Id="rId125" Type="http://schemas.openxmlformats.org/officeDocument/2006/relationships/hyperlink" Target="http://www.sec.gov/Archives/edgar/data/883975/000119312516779597/d296933dex31.htm" TargetMode="External"/><Relationship Id="rId126" Type="http://schemas.openxmlformats.org/officeDocument/2006/relationships/hyperlink" Target="http://www.sec.gov/Archives/edgar/data/883975/000129993316002374/exhibit1.htm" TargetMode="External"/><Relationship Id="rId127" Type="http://schemas.openxmlformats.org/officeDocument/2006/relationships/hyperlink" Target="http://www.sec.gov/Archives/edgar/data/883975/000119312516501361/d68391dex41.htm" TargetMode="External"/><Relationship Id="rId128" Type="http://schemas.openxmlformats.org/officeDocument/2006/relationships/hyperlink" Target="http://www.sec.gov/Archives/edgar/data/883975/000119312516501361/d68391dex42.htm" TargetMode="External"/><Relationship Id="rId129" Type="http://schemas.openxmlformats.org/officeDocument/2006/relationships/hyperlink" Target="http://www.sec.gov/Archives/edgar/data/883975/000119312516779597/d296933dex101.htm" TargetMode="External"/><Relationship Id="rId130" Type="http://schemas.openxmlformats.org/officeDocument/2006/relationships/hyperlink" Target="http://www.sec.gov/Archives/edgar/data/883975/000119312516779597/d296933dex102.htm" TargetMode="External"/><Relationship Id="rId131" Type="http://schemas.openxmlformats.org/officeDocument/2006/relationships/hyperlink" Target="http://www.sec.gov/Archives/edgar/data/883975/000119312516779597/d296933dex103.htm" TargetMode="External"/><Relationship Id="rId132" Type="http://schemas.openxmlformats.org/officeDocument/2006/relationships/hyperlink" Target="http://www.sec.gov/Archives/edgar/data/883975/000119312516779597/d296933dex104.htm" TargetMode="External"/><Relationship Id="rId133" Type="http://schemas.openxmlformats.org/officeDocument/2006/relationships/hyperlink" Target="http://www.sec.gov/Archives/edgar/data/883975/000119312516779597/d296933dex105.htm" TargetMode="External"/><Relationship Id="rId134" Type="http://schemas.openxmlformats.org/officeDocument/2006/relationships/hyperlink" Target="http://www.sec.gov/Archives/edgar/data/883975/000119312516779597/d296933dex106.htm" TargetMode="External"/><Relationship Id="rId135" Type="http://schemas.openxmlformats.org/officeDocument/2006/relationships/hyperlink" Target="http://www.sec.gov/Archives/edgar/data/883975/000100944816000078/exhibit101.htm" TargetMode="External"/><Relationship Id="rId136" Type="http://schemas.openxmlformats.org/officeDocument/2006/relationships/hyperlink" Target="http://www.sec.gov/Archives/edgar/data/883975/000100944816000082/exhibit101.htm" TargetMode="External"/><Relationship Id="rId137" Type="http://schemas.openxmlformats.org/officeDocument/2006/relationships/hyperlink" Target="http://www.sec.gov/Archives/edgar/data/883975/000119312517003127/d288153dex101.htm" TargetMode="External"/><Relationship Id="rId138" Type="http://schemas.openxmlformats.org/officeDocument/2006/relationships/hyperlink" Target="http://www.sec.gov/Archives/edgar/data/883975/000119312517003127/d288153dex102.htm" TargetMode="External"/><Relationship Id="rId139" Type="http://schemas.openxmlformats.org/officeDocument/2006/relationships/hyperlink" Target="http://www.sec.gov/Archives/edgar/data/883975/000149315217002678/ex10-11.htm" TargetMode="External"/><Relationship Id="rId140" Type="http://schemas.openxmlformats.org/officeDocument/2006/relationships/hyperlink" Target="http://www.sec.gov/Archives/edgar/data/883975/000149315217002678/ex10-12.htm" TargetMode="External"/><Relationship Id="rId142" Type="http://schemas.openxmlformats.org/officeDocument/2006/relationships/hyperlink" Target="http://www.sec.gov/Archives/edgar/data/883975/000149315217002678/ex10-13.htm" TargetMode="External"/><Relationship Id="rId143" Type="http://schemas.openxmlformats.org/officeDocument/2006/relationships/hyperlink" Target="http://www.sec.gov/Archives/edgar/data/883975/000149315217002678/ex10-14.htm" TargetMode="External"/><Relationship Id="rId144" Type="http://schemas.openxmlformats.org/officeDocument/2006/relationships/hyperlink" Target="http://www.sec.gov/Archives/edgar/data/883975/000149315217013222/ex10-1.htm" TargetMode="External"/><Relationship Id="rId145" Type="http://schemas.openxmlformats.org/officeDocument/2006/relationships/hyperlink" Target="http://www.sec.gov/Archives/edgar/data/883975/000119312516585591/d184554dex101.htm" TargetMode="External"/><Relationship Id="rId146" Type="http://schemas.openxmlformats.org/officeDocument/2006/relationships/hyperlink" Target="http://www.sec.gov/Archives/edgar/data/883975/000119312516681927/d398404dex101.htm" TargetMode="External"/><Relationship Id="rId147" Type="http://schemas.openxmlformats.org/officeDocument/2006/relationships/hyperlink" Target="http://www.sec.gov/Archives/edgar/data/883975/000119312516681927/d398404dex102.htm" TargetMode="External"/><Relationship Id="rId148" Type="http://schemas.openxmlformats.org/officeDocument/2006/relationships/hyperlink" Target="http://www.sec.gov/Archives/edgar/data/883975/000119312516681927/d398404dex103.htm" TargetMode="External"/><Relationship Id="rId149" Type="http://schemas.openxmlformats.org/officeDocument/2006/relationships/hyperlink" Target="http://www.sec.gov/Archives/edgar/data/883975/000119312516681927/d398404dex104.htm" TargetMode="External"/><Relationship Id="rId150" Type="http://schemas.openxmlformats.org/officeDocument/2006/relationships/hyperlink" Target="http://www.sec.gov/Archives/edgar/data/883975/000119312516681927/d398404dex105.htm" TargetMode="External"/><Relationship Id="rId151" Type="http://schemas.openxmlformats.org/officeDocument/2006/relationships/hyperlink" Target="http://www.sec.gov/Archives/edgar/data/883975/000119312516681927/d398404dex106.htm" TargetMode="External"/><Relationship Id="rId152" Type="http://schemas.openxmlformats.org/officeDocument/2006/relationships/hyperlink" Target="http://www.sec.gov/Archives/edgar/data/883975/000119312516681927/d398404dex107.htm" TargetMode="External"/><Relationship Id="rId153" Type="http://schemas.openxmlformats.org/officeDocument/2006/relationships/hyperlink" Target="http://www.sec.gov/Archives/edgar/data/883975/000149315217005017/ex10-1.htm" TargetMode="External"/><Relationship Id="rId154" Type="http://schemas.openxmlformats.org/officeDocument/2006/relationships/hyperlink" Target="http://www.sec.gov/Archives/edgar/data/883975/000119312516682077/d161430dex104.htm" TargetMode="External"/><Relationship Id="rId155" Type="http://schemas.openxmlformats.org/officeDocument/2006/relationships/hyperlink" Target="http://www.sec.gov/Archives/edgar/data/883975/000119312516682077/d161430dex105.htm" TargetMode="External"/><Relationship Id="rId156" Type="http://schemas.openxmlformats.org/officeDocument/2006/relationships/hyperlink" Target="http://www.sec.gov/Archives/edgar/data/883975/000149315218000286/ex10-1.htm" TargetMode="External"/><Relationship Id="rId157" Type="http://schemas.openxmlformats.org/officeDocument/2006/relationships/hyperlink" Target="http://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2019-12-05T23:47:54Z</dcterms:created>
  <dcterms:modified xsi:type="dcterms:W3CDTF">2019-12-05T23:47:54Z</dcterms:modified>
</cp:coreProperties>
</file>