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447"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 ended: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1999</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0-19871</w:t>
      </w:r>
    </w:p>
    <w:p>
      <w:pPr>
        <w:ind w:left="8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0" w:lineRule="exact"/>
        <w:rPr>
          <w:sz w:val="24"/>
          <w:szCs w:val="24"/>
          <w:color w:val="auto"/>
        </w:rPr>
      </w:pPr>
    </w:p>
    <w:p>
      <w:pPr>
        <w:sectPr>
          <w:pgSz w:w="11900" w:h="16838" w:orient="portrait"/>
          <w:cols w:equalWidth="0" w:num="2">
            <w:col w:w="4980" w:space="720"/>
            <w:col w:w="4519"/>
          </w:cols>
          <w:pgMar w:left="240" w:top="447" w:right="1440" w:bottom="0"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CYTOTHERAPEUTICS, INC.</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0" w:gutter="0" w:footer="0" w:header="0"/>
          <w:type w:val="continuous"/>
        </w:sectPr>
      </w:pPr>
    </w:p>
    <w:p>
      <w:pPr>
        <w:spacing w:after="0" w:line="218"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94-3078125</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820" w:space="720"/>
            <w:col w:w="3679"/>
          </w:cols>
          <w:pgMar w:left="240" w:top="447" w:right="1440" w:bottom="0" w:gutter="0" w:footer="0" w:header="0"/>
          <w:type w:val="continuous"/>
        </w:sectPr>
      </w:pPr>
    </w:p>
    <w:p>
      <w:pPr>
        <w:spacing w:after="0" w:line="24"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525 DEL REY AVENUE SUITE C</w:t>
      </w:r>
    </w:p>
    <w:p>
      <w:pPr>
        <w:spacing w:after="0" w:line="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SUNNYVALE, CA 94086</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0" w:gutter="0" w:footer="0" w:header="0"/>
          <w:type w:val="continuous"/>
        </w:sectPr>
      </w:pPr>
    </w:p>
    <w:p>
      <w:pPr>
        <w:jc w:val="center"/>
        <w:ind w:right="1659"/>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(408) 731-8670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940" w:val="left"/>
          <w:tab w:leader="none" w:pos="1360" w:val="left"/>
        </w:tabs>
        <w:rPr>
          <w:sz w:val="20"/>
          <w:szCs w:val="20"/>
          <w:color w:val="auto"/>
        </w:rPr>
      </w:pPr>
      <w:r>
        <w:rPr>
          <w:rFonts w:ascii="Courier New" w:cs="Courier New" w:eastAsia="Courier New" w:hAnsi="Courier New"/>
          <w:sz w:val="18"/>
          <w:szCs w:val="18"/>
          <w:color w:val="auto"/>
        </w:rPr>
        <w:t>Yes |X|</w:t>
        <w:tab/>
        <w:t>No</w:t>
      </w:r>
      <w:r>
        <w:rPr>
          <w:sz w:val="20"/>
          <w:szCs w:val="20"/>
          <w:color w:val="auto"/>
        </w:rPr>
        <w:tab/>
      </w:r>
      <w:r>
        <w:rPr>
          <w:rFonts w:ascii="Courier New" w:cs="Courier New" w:eastAsia="Courier New" w:hAnsi="Courier New"/>
          <w:sz w:val="16"/>
          <w:szCs w:val="16"/>
          <w:color w:val="auto"/>
        </w:rPr>
        <w:t>|_|</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At October 31, 1999, there were 19,153,534 shares of Common Stock, $.01 par value, issued and outstanding. There were no issued and outstanding shares of Preferred Stock.</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6260" w:type="dxa"/>
            <w:vAlign w:val="bottom"/>
          </w:tcPr>
          <w:p>
            <w:pPr>
              <w:ind w:left="2780"/>
              <w:spacing w:after="0"/>
              <w:rPr>
                <w:sz w:val="20"/>
                <w:szCs w:val="20"/>
                <w:color w:val="auto"/>
              </w:rPr>
            </w:pPr>
            <w:r>
              <w:rPr>
                <w:rFonts w:ascii="Courier New" w:cs="Courier New" w:eastAsia="Courier New" w:hAnsi="Courier New"/>
                <w:sz w:val="18"/>
                <w:szCs w:val="18"/>
                <w:color w:val="auto"/>
              </w:rPr>
              <w:t>Page 1 of 16</w:t>
            </w:r>
          </w:p>
        </w:tc>
        <w:tc>
          <w:tcPr>
            <w:tcW w:w="1160" w:type="dxa"/>
            <w:vAlign w:val="bottom"/>
          </w:tcPr>
          <w:p>
            <w:pPr>
              <w:spacing w:after="0"/>
              <w:rPr>
                <w:sz w:val="17"/>
                <w:szCs w:val="17"/>
                <w:color w:val="auto"/>
              </w:rPr>
            </w:pPr>
          </w:p>
        </w:tc>
      </w:tr>
      <w:tr>
        <w:trPr>
          <w:trHeight w:val="783"/>
        </w:trPr>
        <w:tc>
          <w:tcPr>
            <w:tcW w:w="800" w:type="dxa"/>
            <w:vAlign w:val="bottom"/>
          </w:tcPr>
          <w:p>
            <w:pPr>
              <w:spacing w:after="0"/>
              <w:rPr>
                <w:sz w:val="24"/>
                <w:szCs w:val="24"/>
                <w:color w:val="auto"/>
              </w:rPr>
            </w:pPr>
          </w:p>
        </w:tc>
        <w:tc>
          <w:tcPr>
            <w:tcW w:w="6260" w:type="dxa"/>
            <w:vAlign w:val="bottom"/>
          </w:tcPr>
          <w:p>
            <w:pPr>
              <w:ind w:left="2260"/>
              <w:spacing w:after="0"/>
              <w:rPr>
                <w:sz w:val="20"/>
                <w:szCs w:val="20"/>
                <w:color w:val="auto"/>
              </w:rPr>
            </w:pPr>
            <w:r>
              <w:rPr>
                <w:rFonts w:ascii="Courier New" w:cs="Courier New" w:eastAsia="Courier New" w:hAnsi="Courier New"/>
                <w:sz w:val="18"/>
                <w:szCs w:val="18"/>
                <w:color w:val="auto"/>
              </w:rPr>
              <w:t>CYTOTHERAPEUTICS, INC.</w:t>
            </w:r>
          </w:p>
        </w:tc>
        <w:tc>
          <w:tcPr>
            <w:tcW w:w="116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260" w:type="dxa"/>
            <w:vAlign w:val="bottom"/>
          </w:tcPr>
          <w:p>
            <w:pPr>
              <w:ind w:left="3220"/>
              <w:spacing w:after="0"/>
              <w:rPr>
                <w:sz w:val="20"/>
                <w:szCs w:val="20"/>
                <w:color w:val="auto"/>
              </w:rPr>
            </w:pPr>
            <w:r>
              <w:rPr>
                <w:rFonts w:ascii="Courier New" w:cs="Courier New" w:eastAsia="Courier New" w:hAnsi="Courier New"/>
                <w:sz w:val="18"/>
                <w:szCs w:val="18"/>
                <w:color w:val="auto"/>
              </w:rPr>
              <w:t>INDEX</w:t>
            </w:r>
          </w:p>
        </w:tc>
        <w:tc>
          <w:tcPr>
            <w:tcW w:w="1160" w:type="dxa"/>
            <w:vAlign w:val="bottom"/>
          </w:tcPr>
          <w:p>
            <w:pPr>
              <w:spacing w:after="0"/>
              <w:rPr>
                <w:sz w:val="24"/>
                <w:szCs w:val="24"/>
                <w:color w:val="auto"/>
              </w:rPr>
            </w:pPr>
          </w:p>
        </w:tc>
      </w:tr>
      <w:tr>
        <w:trPr>
          <w:trHeight w:val="405"/>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Page Number</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260" w:type="dxa"/>
            <w:vAlign w:val="bottom"/>
          </w:tcPr>
          <w:p>
            <w:pPr>
              <w:ind w:left="60"/>
              <w:spacing w:after="0"/>
              <w:rPr>
                <w:sz w:val="20"/>
                <w:szCs w:val="20"/>
                <w:color w:val="auto"/>
              </w:rPr>
            </w:pPr>
            <w:r>
              <w:rPr>
                <w:rFonts w:ascii="Courier New" w:cs="Courier New" w:eastAsia="Courier New" w:hAnsi="Courier New"/>
                <w:sz w:val="18"/>
                <w:szCs w:val="18"/>
                <w:color w:val="auto"/>
              </w:rPr>
              <w:t>Financial Statements</w:t>
            </w:r>
          </w:p>
        </w:tc>
        <w:tc>
          <w:tcPr>
            <w:tcW w:w="116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8"/>
                <w:szCs w:val="18"/>
                <w:color w:val="auto"/>
              </w:rPr>
              <w:t>Condensed Consolidated Balance Sheets (unaudited)</w:t>
            </w:r>
          </w:p>
        </w:tc>
        <w:tc>
          <w:tcPr>
            <w:tcW w:w="116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6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September 30, 1999 and December 31, 1998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800" w:type="dxa"/>
            <w:vAlign w:val="bottom"/>
          </w:tcPr>
          <w:p>
            <w:pPr>
              <w:spacing w:after="0"/>
              <w:rPr>
                <w:sz w:val="24"/>
                <w:szCs w:val="24"/>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8"/>
                <w:szCs w:val="18"/>
                <w:color w:val="auto"/>
                <w:w w:val="96"/>
              </w:rPr>
              <w:t>Condensed Consolidated Statements of Operations (unaudited)</w:t>
            </w:r>
          </w:p>
        </w:tc>
        <w:tc>
          <w:tcPr>
            <w:tcW w:w="116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6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Three and nine months ended September 30, 1999 and 1998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800" w:type="dxa"/>
            <w:vAlign w:val="bottom"/>
          </w:tcPr>
          <w:p>
            <w:pPr>
              <w:spacing w:after="0"/>
              <w:rPr>
                <w:sz w:val="24"/>
                <w:szCs w:val="24"/>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8"/>
                <w:szCs w:val="18"/>
                <w:color w:val="auto"/>
                <w:w w:val="96"/>
              </w:rPr>
              <w:t>Condensed Consolidated Statements of Cash Flows (unaudited)</w:t>
            </w:r>
          </w:p>
        </w:tc>
        <w:tc>
          <w:tcPr>
            <w:tcW w:w="116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6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Nine months ended September 30, 1999 and 1998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800" w:type="dxa"/>
            <w:vAlign w:val="bottom"/>
          </w:tcPr>
          <w:p>
            <w:pPr>
              <w:spacing w:after="0"/>
              <w:rPr>
                <w:sz w:val="24"/>
                <w:szCs w:val="24"/>
                <w:color w:val="auto"/>
              </w:rPr>
            </w:pPr>
          </w:p>
        </w:tc>
        <w:tc>
          <w:tcPr>
            <w:tcW w:w="74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Notes to Condensed Consolidated Financial Statements (unaudited)   6-7</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260" w:type="dxa"/>
            <w:vAlign w:val="bottom"/>
          </w:tcPr>
          <w:p>
            <w:pPr>
              <w:ind w:left="60"/>
              <w:spacing w:after="0"/>
              <w:rPr>
                <w:sz w:val="20"/>
                <w:szCs w:val="20"/>
                <w:color w:val="auto"/>
              </w:rPr>
            </w:pPr>
            <w:r>
              <w:rPr>
                <w:rFonts w:ascii="Courier New" w:cs="Courier New" w:eastAsia="Courier New" w:hAnsi="Courier New"/>
                <w:sz w:val="18"/>
                <w:szCs w:val="18"/>
                <w:color w:val="auto"/>
              </w:rPr>
              <w:t>Management's Discussion and Analysis of Financial</w:t>
            </w:r>
          </w:p>
        </w:tc>
        <w:tc>
          <w:tcPr>
            <w:tcW w:w="116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6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Condition and Results of Operations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8-14</w:t>
            </w:r>
          </w:p>
        </w:tc>
      </w:tr>
      <w:tr>
        <w:trPr>
          <w:trHeight w:val="405"/>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PART II. OTHER INFORMATION</w:t>
            </w:r>
          </w:p>
        </w:tc>
        <w:tc>
          <w:tcPr>
            <w:tcW w:w="116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26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260" w:type="dxa"/>
            <w:vAlign w:val="bottom"/>
          </w:tcPr>
          <w:p>
            <w:pPr>
              <w:ind w:left="60"/>
              <w:spacing w:after="0"/>
              <w:rPr>
                <w:sz w:val="20"/>
                <w:szCs w:val="20"/>
                <w:color w:val="auto"/>
              </w:rPr>
            </w:pPr>
            <w:r>
              <w:rPr>
                <w:rFonts w:ascii="Courier New" w:cs="Courier New" w:eastAsia="Courier New" w:hAnsi="Courier New"/>
                <w:sz w:val="18"/>
                <w:szCs w:val="18"/>
                <w:color w:val="auto"/>
              </w:rPr>
              <w:t>Exhibits and Reports on Form 8-K</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SIGNATURES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bl>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2 of 16</w:t>
      </w:r>
    </w:p>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22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September 30, 1999</w:t>
            </w:r>
          </w:p>
        </w:tc>
        <w:tc>
          <w:tcPr>
            <w:tcW w:w="1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 1998</w:t>
            </w:r>
          </w:p>
        </w:tc>
      </w:tr>
      <w:tr>
        <w:trPr>
          <w:trHeight w:val="203"/>
        </w:trPr>
        <w:tc>
          <w:tcPr>
            <w:tcW w:w="6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19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(footnote 1)</w:t>
            </w:r>
          </w:p>
        </w:tc>
      </w:tr>
      <w:tr>
        <w:trPr>
          <w:trHeight w:val="203"/>
        </w:trPr>
        <w:tc>
          <w:tcPr>
            <w:tcW w:w="6060" w:type="dxa"/>
            <w:vAlign w:val="bottom"/>
          </w:tcPr>
          <w:p>
            <w:pPr>
              <w:spacing w:after="0"/>
              <w:rPr>
                <w:sz w:val="17"/>
                <w:szCs w:val="17"/>
                <w:color w:val="auto"/>
              </w:rPr>
            </w:pPr>
          </w:p>
        </w:tc>
        <w:tc>
          <w:tcPr>
            <w:tcW w:w="22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3,688,923</w:t>
            </w:r>
          </w:p>
        </w:tc>
        <w:tc>
          <w:tcPr>
            <w:tcW w:w="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7,864,788</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2,603,560</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9,520,939</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Receivables from collaborative agreement</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224,210</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206,609</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698,472</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841,674</w:t>
            </w:r>
          </w:p>
        </w:tc>
      </w:tr>
      <w:tr>
        <w:trPr>
          <w:trHeight w:val="203"/>
        </w:trPr>
        <w:tc>
          <w:tcPr>
            <w:tcW w:w="6060" w:type="dxa"/>
            <w:vAlign w:val="bottom"/>
          </w:tcPr>
          <w:p>
            <w:pPr>
              <w:spacing w:after="0"/>
              <w:rPr>
                <w:sz w:val="17"/>
                <w:szCs w:val="17"/>
                <w:color w:val="auto"/>
              </w:rPr>
            </w:pPr>
          </w:p>
        </w:tc>
        <w:tc>
          <w:tcPr>
            <w:tcW w:w="22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7,215,165</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18,434,010</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580" w:type="dxa"/>
            <w:vAlign w:val="bottom"/>
          </w:tcPr>
          <w:p>
            <w:pPr>
              <w:spacing w:after="0"/>
              <w:rPr>
                <w:sz w:val="24"/>
                <w:szCs w:val="24"/>
                <w:color w:val="auto"/>
              </w:rPr>
            </w:pP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6,196,720</w:t>
            </w:r>
          </w:p>
        </w:tc>
        <w:tc>
          <w:tcPr>
            <w:tcW w:w="48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8,356,009</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5,797,696</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6,075,663</w:t>
            </w:r>
          </w:p>
        </w:tc>
      </w:tr>
      <w:tr>
        <w:trPr>
          <w:trHeight w:val="203"/>
        </w:trPr>
        <w:tc>
          <w:tcPr>
            <w:tcW w:w="6060" w:type="dxa"/>
            <w:vAlign w:val="bottom"/>
          </w:tcPr>
          <w:p>
            <w:pPr>
              <w:spacing w:after="0"/>
              <w:rPr>
                <w:sz w:val="17"/>
                <w:szCs w:val="17"/>
                <w:color w:val="auto"/>
              </w:rPr>
            </w:pPr>
          </w:p>
        </w:tc>
        <w:tc>
          <w:tcPr>
            <w:tcW w:w="22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ind w:left="960"/>
              <w:spacing w:after="0"/>
              <w:rPr>
                <w:sz w:val="20"/>
                <w:szCs w:val="20"/>
                <w:color w:val="auto"/>
              </w:rPr>
            </w:pPr>
            <w:r>
              <w:rPr>
                <w:rFonts w:ascii="Courier New" w:cs="Courier New" w:eastAsia="Courier New" w:hAnsi="Courier New"/>
                <w:sz w:val="18"/>
                <w:szCs w:val="18"/>
                <w:color w:val="auto"/>
              </w:rPr>
              <w:t>Total assets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19,209,581</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32,865,682</w:t>
            </w:r>
          </w:p>
        </w:tc>
      </w:tr>
      <w:tr>
        <w:trPr>
          <w:trHeight w:val="203"/>
        </w:trPr>
        <w:tc>
          <w:tcPr>
            <w:tcW w:w="6060" w:type="dxa"/>
            <w:vAlign w:val="bottom"/>
          </w:tcPr>
          <w:p>
            <w:pPr>
              <w:spacing w:after="0"/>
              <w:rPr>
                <w:sz w:val="17"/>
                <w:szCs w:val="17"/>
                <w:color w:val="auto"/>
              </w:rPr>
            </w:pPr>
          </w:p>
        </w:tc>
        <w:tc>
          <w:tcPr>
            <w:tcW w:w="22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1,824,427</w:t>
            </w:r>
          </w:p>
        </w:tc>
        <w:tc>
          <w:tcPr>
            <w:tcW w:w="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1,730,741</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revenue</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2,500,000</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Current maturities of capitalized lease obligations</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315,000</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317,083</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maturities of long term debt</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6060" w:type="dxa"/>
            <w:vAlign w:val="bottom"/>
          </w:tcPr>
          <w:p>
            <w:pPr>
              <w:spacing w:after="0"/>
              <w:rPr>
                <w:sz w:val="17"/>
                <w:szCs w:val="17"/>
                <w:color w:val="auto"/>
              </w:rPr>
            </w:pPr>
          </w:p>
        </w:tc>
        <w:tc>
          <w:tcPr>
            <w:tcW w:w="22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2,139,427</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5,547,824</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less current maturities</w:t>
            </w:r>
          </w:p>
        </w:tc>
        <w:tc>
          <w:tcPr>
            <w:tcW w:w="580" w:type="dxa"/>
            <w:vAlign w:val="bottom"/>
          </w:tcPr>
          <w:p>
            <w:pPr>
              <w:spacing w:after="0"/>
              <w:rPr>
                <w:sz w:val="24"/>
                <w:szCs w:val="24"/>
                <w:color w:val="auto"/>
              </w:rPr>
            </w:pP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3,052,917</w:t>
            </w:r>
          </w:p>
        </w:tc>
        <w:tc>
          <w:tcPr>
            <w:tcW w:w="48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3,261,667</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 term debt, less current maturities</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rent</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371,121</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222,673</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Redeemable stock</w:t>
            </w:r>
          </w:p>
        </w:tc>
        <w:tc>
          <w:tcPr>
            <w:tcW w:w="580" w:type="dxa"/>
            <w:vAlign w:val="bottom"/>
          </w:tcPr>
          <w:p>
            <w:pPr>
              <w:spacing w:after="0"/>
              <w:rPr>
                <w:sz w:val="24"/>
                <w:szCs w:val="24"/>
                <w:color w:val="auto"/>
              </w:rPr>
            </w:pP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5,248,610</w:t>
            </w:r>
          </w:p>
        </w:tc>
        <w:tc>
          <w:tcPr>
            <w:tcW w:w="48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5,248,610</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Common stock to be issued</w:t>
            </w:r>
          </w:p>
        </w:tc>
        <w:tc>
          <w:tcPr>
            <w:tcW w:w="580" w:type="dxa"/>
            <w:vAlign w:val="bottom"/>
          </w:tcPr>
          <w:p>
            <w:pPr>
              <w:spacing w:after="0"/>
              <w:rPr>
                <w:sz w:val="24"/>
                <w:szCs w:val="24"/>
                <w:color w:val="auto"/>
              </w:rPr>
            </w:pP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187,500</w:t>
            </w:r>
          </w:p>
        </w:tc>
        <w:tc>
          <w:tcPr>
            <w:tcW w:w="48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187,500</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184,690</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178,003</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Additional paid in capital</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123,483,420</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122,861,606</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58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(1,308,858)</w:t>
            </w:r>
          </w:p>
        </w:tc>
        <w:tc>
          <w:tcPr>
            <w:tcW w:w="4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(1,472,919)</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58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(114,147,844)</w:t>
            </w:r>
          </w:p>
        </w:tc>
        <w:tc>
          <w:tcPr>
            <w:tcW w:w="4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(103,664,084)</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Unrealized loss on marketable securities</w:t>
            </w:r>
          </w:p>
        </w:tc>
        <w:tc>
          <w:tcPr>
            <w:tcW w:w="58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(1,402)</w:t>
            </w:r>
          </w:p>
        </w:tc>
        <w:tc>
          <w:tcPr>
            <w:tcW w:w="4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(5,198)</w:t>
            </w:r>
          </w:p>
        </w:tc>
      </w:tr>
      <w:tr>
        <w:trPr>
          <w:trHeight w:val="203"/>
        </w:trPr>
        <w:tc>
          <w:tcPr>
            <w:tcW w:w="6060" w:type="dxa"/>
            <w:vAlign w:val="bottom"/>
          </w:tcPr>
          <w:p>
            <w:pPr>
              <w:spacing w:after="0"/>
              <w:rPr>
                <w:sz w:val="17"/>
                <w:szCs w:val="17"/>
                <w:color w:val="auto"/>
              </w:rPr>
            </w:pPr>
          </w:p>
        </w:tc>
        <w:tc>
          <w:tcPr>
            <w:tcW w:w="22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Accumulated other comprehensive loss</w:t>
            </w:r>
          </w:p>
        </w:tc>
        <w:tc>
          <w:tcPr>
            <w:tcW w:w="58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(114,149,246)</w:t>
            </w:r>
          </w:p>
        </w:tc>
        <w:tc>
          <w:tcPr>
            <w:tcW w:w="4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(103,669,282)</w:t>
            </w:r>
          </w:p>
        </w:tc>
      </w:tr>
      <w:tr>
        <w:trPr>
          <w:trHeight w:val="203"/>
        </w:trPr>
        <w:tc>
          <w:tcPr>
            <w:tcW w:w="6060" w:type="dxa"/>
            <w:vAlign w:val="bottom"/>
          </w:tcPr>
          <w:p>
            <w:pPr>
              <w:spacing w:after="0"/>
              <w:rPr>
                <w:sz w:val="17"/>
                <w:szCs w:val="17"/>
                <w:color w:val="auto"/>
              </w:rPr>
            </w:pPr>
          </w:p>
        </w:tc>
        <w:tc>
          <w:tcPr>
            <w:tcW w:w="22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5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8,210,006</w:t>
            </w:r>
          </w:p>
        </w:tc>
        <w:tc>
          <w:tcPr>
            <w:tcW w:w="4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17,897,408</w:t>
            </w:r>
          </w:p>
        </w:tc>
      </w:tr>
      <w:tr>
        <w:trPr>
          <w:trHeight w:val="203"/>
        </w:trPr>
        <w:tc>
          <w:tcPr>
            <w:tcW w:w="6060" w:type="dxa"/>
            <w:vAlign w:val="bottom"/>
          </w:tcPr>
          <w:p>
            <w:pPr>
              <w:spacing w:after="0"/>
              <w:rPr>
                <w:sz w:val="17"/>
                <w:szCs w:val="17"/>
                <w:color w:val="auto"/>
              </w:rPr>
            </w:pPr>
          </w:p>
        </w:tc>
        <w:tc>
          <w:tcPr>
            <w:tcW w:w="22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ind w:left="96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19,209,581</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32,865,682</w:t>
            </w:r>
          </w:p>
        </w:tc>
      </w:tr>
      <w:tr>
        <w:trPr>
          <w:trHeight w:val="203"/>
        </w:trPr>
        <w:tc>
          <w:tcPr>
            <w:tcW w:w="6060" w:type="dxa"/>
            <w:vAlign w:val="bottom"/>
          </w:tcPr>
          <w:p>
            <w:pPr>
              <w:spacing w:after="0"/>
              <w:rPr>
                <w:sz w:val="17"/>
                <w:szCs w:val="17"/>
                <w:color w:val="auto"/>
              </w:rPr>
            </w:pPr>
          </w:p>
        </w:tc>
        <w:tc>
          <w:tcPr>
            <w:tcW w:w="22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16</w:t>
      </w:r>
    </w:p>
    <w:p>
      <w:pPr>
        <w:sectPr>
          <w:pgSz w:w="11900" w:h="16838" w:orient="portrait"/>
          <w:cols w:equalWidth="0" w:num="1">
            <w:col w:w="10220"/>
          </w:cols>
          <w:pgMar w:left="240" w:top="717" w:right="14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300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Three Months Ended</w:t>
            </w:r>
          </w:p>
        </w:tc>
        <w:tc>
          <w:tcPr>
            <w:tcW w:w="380" w:type="dxa"/>
            <w:vAlign w:val="bottom"/>
          </w:tcPr>
          <w:p>
            <w:pPr>
              <w:spacing w:after="0"/>
              <w:rPr>
                <w:sz w:val="17"/>
                <w:szCs w:val="17"/>
                <w:color w:val="auto"/>
              </w:rPr>
            </w:pPr>
          </w:p>
        </w:tc>
        <w:tc>
          <w:tcPr>
            <w:tcW w:w="28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3"/>
          </w:tcPr>
          <w:p>
            <w:pPr>
              <w:jc w:val="right"/>
              <w:ind w:right="912"/>
              <w:spacing w:after="0" w:line="203" w:lineRule="exact"/>
              <w:rPr>
                <w:sz w:val="20"/>
                <w:szCs w:val="20"/>
                <w:color w:val="auto"/>
              </w:rPr>
            </w:pPr>
            <w:r>
              <w:rPr>
                <w:rFonts w:ascii="Courier New" w:cs="Courier New" w:eastAsia="Courier New" w:hAnsi="Courier New"/>
                <w:sz w:val="18"/>
                <w:szCs w:val="18"/>
                <w:color w:val="auto"/>
              </w:rPr>
              <w:t>September 30,</w:t>
            </w:r>
          </w:p>
        </w:tc>
        <w:tc>
          <w:tcPr>
            <w:tcW w:w="380" w:type="dxa"/>
            <w:vAlign w:val="bottom"/>
          </w:tcPr>
          <w:p>
            <w:pPr>
              <w:spacing w:after="0"/>
              <w:rPr>
                <w:sz w:val="17"/>
                <w:szCs w:val="17"/>
                <w:color w:val="auto"/>
              </w:rPr>
            </w:pPr>
          </w:p>
        </w:tc>
        <w:tc>
          <w:tcPr>
            <w:tcW w:w="28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36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1998</w:t>
            </w:r>
          </w:p>
        </w:tc>
        <w:tc>
          <w:tcPr>
            <w:tcW w:w="380" w:type="dxa"/>
            <w:vAlign w:val="bottom"/>
          </w:tcPr>
          <w:p>
            <w:pPr>
              <w:spacing w:after="0"/>
              <w:rPr>
                <w:sz w:val="17"/>
                <w:szCs w:val="17"/>
                <w:color w:val="auto"/>
              </w:rPr>
            </w:pPr>
          </w:p>
        </w:tc>
        <w:tc>
          <w:tcPr>
            <w:tcW w:w="13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1999</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28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Revenue from collaborative arrangements</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2,539,557</w:t>
            </w: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5,021,707</w:t>
            </w:r>
          </w:p>
        </w:tc>
        <w:tc>
          <w:tcPr>
            <w:tcW w:w="360" w:type="dxa"/>
            <w:vAlign w:val="bottom"/>
          </w:tcPr>
          <w:p>
            <w:pPr>
              <w:ind w:left="14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6,289,120</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1,584,879</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4,282,313</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8,432,262</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13,699,332</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1,027,357</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1,281,076</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3,195,672</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3,692,331</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Wind-down</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4,078,034</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4,078,034</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6,690,270</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5,563,389</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15,705,968</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17,391,663</w:t>
            </w:r>
          </w:p>
        </w:tc>
      </w:tr>
      <w:tr>
        <w:trPr>
          <w:trHeight w:val="203"/>
        </w:trPr>
        <w:tc>
          <w:tcPr>
            <w:tcW w:w="428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Loss from operations</w:t>
            </w:r>
          </w:p>
        </w:tc>
        <w:tc>
          <w:tcPr>
            <w:tcW w:w="36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(6,690,270)</w:t>
            </w:r>
          </w:p>
        </w:tc>
        <w:tc>
          <w:tcPr>
            <w:tcW w:w="36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(3,023,832)</w:t>
            </w:r>
          </w:p>
        </w:tc>
        <w:tc>
          <w:tcPr>
            <w:tcW w:w="17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(10,684,261)</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(11,102,543)</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97,783</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280,965</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504,114</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1,026,461</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(51,782)</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(124,813)</w:t>
            </w:r>
          </w:p>
        </w:tc>
        <w:tc>
          <w:tcPr>
            <w:tcW w:w="3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(236,836)</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(358,508)</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loss</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(66,777)</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(66,777)</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(20,776)</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156,152</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200,501</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667,953</w:t>
            </w:r>
          </w:p>
        </w:tc>
      </w:tr>
      <w:tr>
        <w:trPr>
          <w:trHeight w:val="203"/>
        </w:trPr>
        <w:tc>
          <w:tcPr>
            <w:tcW w:w="428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16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($ 6,711,046)</w:t>
            </w:r>
          </w:p>
        </w:tc>
        <w:tc>
          <w:tcPr>
            <w:tcW w:w="16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($ 2,867,680)</w:t>
            </w:r>
          </w:p>
        </w:tc>
        <w:tc>
          <w:tcPr>
            <w:tcW w:w="17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($10,483,760)</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($10,434,590)</w:t>
            </w:r>
          </w:p>
        </w:tc>
      </w:tr>
      <w:tr>
        <w:trPr>
          <w:trHeight w:val="203"/>
        </w:trPr>
        <w:tc>
          <w:tcPr>
            <w:tcW w:w="428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Basic and diluted net loss per share</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w w:val="83"/>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0.36)</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w w:val="83"/>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0.16)</w:t>
            </w: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0.56)</w:t>
            </w:r>
          </w:p>
        </w:tc>
        <w:tc>
          <w:tcPr>
            <w:tcW w:w="360" w:type="dxa"/>
            <w:vAlign w:val="bottom"/>
          </w:tcPr>
          <w:p>
            <w:pPr>
              <w:ind w:left="140"/>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0.57)</w:t>
            </w:r>
          </w:p>
        </w:tc>
      </w:tr>
      <w:tr>
        <w:trPr>
          <w:trHeight w:val="203"/>
        </w:trPr>
        <w:tc>
          <w:tcPr>
            <w:tcW w:w="428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Shares used in computing basic and</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net loss per share</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18,712,632</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18,275,784</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18,560,675</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18,224,748</w:t>
            </w:r>
          </w:p>
        </w:tc>
      </w:tr>
      <w:tr>
        <w:trPr>
          <w:trHeight w:val="203"/>
        </w:trPr>
        <w:tc>
          <w:tcPr>
            <w:tcW w:w="428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16</w:t>
      </w:r>
    </w:p>
    <w:p>
      <w:pPr>
        <w:sectPr>
          <w:pgSz w:w="11900" w:h="16838" w:orient="portrait"/>
          <w:cols w:equalWidth="0" w:num="1">
            <w:col w:w="10860"/>
          </w:cols>
          <w:pgMar w:left="240" w:top="717" w:right="79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32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(unaudited)</w:t>
            </w:r>
          </w:p>
        </w:tc>
        <w:tc>
          <w:tcPr>
            <w:tcW w:w="32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380" w:type="dxa"/>
            <w:vAlign w:val="bottom"/>
          </w:tcPr>
          <w:p>
            <w:pPr>
              <w:spacing w:after="0"/>
              <w:rPr>
                <w:sz w:val="17"/>
                <w:szCs w:val="17"/>
                <w:color w:val="auto"/>
              </w:rPr>
            </w:pPr>
          </w:p>
        </w:tc>
        <w:tc>
          <w:tcPr>
            <w:tcW w:w="3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loss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($10,483,760)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($10,434,590)</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Adjustments to reconcile net loss to</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cash used for operating activities:</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1,603,691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1,617,494</w:t>
            </w:r>
          </w:p>
        </w:tc>
      </w:tr>
      <w:tr>
        <w:trPr>
          <w:trHeight w:val="203"/>
        </w:trPr>
        <w:tc>
          <w:tcPr>
            <w:tcW w:w="6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Write down of fixed assets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800,000</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Compensation expense relating to the grant</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of stock options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244,337</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405,739</w:t>
            </w:r>
          </w:p>
        </w:tc>
      </w:tr>
      <w:tr>
        <w:trPr>
          <w:trHeight w:val="203"/>
        </w:trPr>
        <w:tc>
          <w:tcPr>
            <w:tcW w:w="6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Loss on sale of fixed assets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66,777</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(1,978,807)</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(1,352,414)</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(9,747,762)</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(9,763,771)</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11,317,482</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20,701,919</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Purchases of marketable securities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(4,397,676)</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(15,183,133)</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 of property, plant and equipment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(131,660)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(2,101,121)</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the sale of fixed assets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84,450</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 of other assets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(138,090)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(696,002)</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provided by investing activities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6,734,505</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2,721,663</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the exercise of stock options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548,225</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194,863</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financing transactions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1,259,300</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Principal payments under capitalized lease obligations</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 mortgage payable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(1,710,833)</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(1,064,156)</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in) provided by financing activities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(1,162,608)</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390,007</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cash and cash equivalents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(4,175,865)</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(6,652,101)</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January 1</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7,864,788</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15,941,701</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Cash and cash equivalents, September 30</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3,688,923</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9,289,600</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16</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 (UNAUDITED)</w:t>
      </w:r>
    </w:p>
    <w:p>
      <w:pPr>
        <w:spacing w:after="0"/>
        <w:rPr>
          <w:sz w:val="20"/>
          <w:szCs w:val="20"/>
          <w:color w:val="auto"/>
        </w:rPr>
      </w:pPr>
      <w:r>
        <w:rPr>
          <w:rFonts w:ascii="Courier New" w:cs="Courier New" w:eastAsia="Courier New" w:hAnsi="Courier New"/>
          <w:sz w:val="18"/>
          <w:szCs w:val="18"/>
          <w:color w:val="auto"/>
        </w:rPr>
        <w:t>September 30, 1999 and 1998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BASIS OF PRESENTATION</w:t>
      </w:r>
    </w:p>
    <w:p>
      <w:pPr>
        <w:spacing w:after="0" w:line="207" w:lineRule="exact"/>
        <w:rPr>
          <w:sz w:val="20"/>
          <w:szCs w:val="20"/>
          <w:color w:val="auto"/>
        </w:rPr>
      </w:pPr>
    </w:p>
    <w:p>
      <w:pPr>
        <w:ind w:left="640" w:right="1879"/>
        <w:spacing w:after="0" w:line="270"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and nine months ended September 30, 1999 are not necessarily indicative of the results that may be expected for the entire fiscal year ending December 31, 1999.</w:t>
      </w:r>
    </w:p>
    <w:p>
      <w:pPr>
        <w:spacing w:after="0" w:line="389"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The balance sheet at December 31, 1998 has been derived from the audited financial statements at that date but does not include all of the information and footnotes required by generally accepted accounting principles for complete financial statements.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For further information, refer to the audited financial statements and footnotes thereto as of December 31, 1998 included in the Company's Annual Report to Stockholders and the Annual Report on Form 10-K filed with the Securities and Exchange Commission.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NET LOSS PER SHARE</w:t>
      </w:r>
    </w:p>
    <w:p>
      <w:pPr>
        <w:spacing w:after="0" w:line="207"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Net loss per share is computed using the weighted average number of shares of common stock outstanding. Common equivalent shares from stock options and warrants are excluded as their effect is antidilutive.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ADOPTION OF NEW ACCOUNTING PRONOUNCEMENT</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As of January 1, 1998, the Company adopted Statement 130, Reporting Comprehensive Income. Statement 130 establishes new rules for reporting and display of comprehensive income and its components; however, the adoption of this Statement had no impact on the Company's net income or shareholders' equity. Statement 130 requires unrealized gains or losses on the Company's available-for-sale securities, which prior to adoption were reported separately in shareholders' equity to be included in other comprehensive income.</w:t>
      </w:r>
    </w:p>
    <w:p>
      <w:pPr>
        <w:spacing w:after="0" w:line="212" w:lineRule="exact"/>
        <w:rPr>
          <w:sz w:val="20"/>
          <w:szCs w:val="20"/>
          <w:color w:val="auto"/>
        </w:rPr>
      </w:pPr>
    </w:p>
    <w:p>
      <w:pPr>
        <w:ind w:left="640" w:right="2099"/>
        <w:spacing w:after="0" w:line="275" w:lineRule="auto"/>
        <w:rPr>
          <w:sz w:val="20"/>
          <w:szCs w:val="20"/>
          <w:color w:val="auto"/>
        </w:rPr>
      </w:pPr>
      <w:r>
        <w:rPr>
          <w:rFonts w:ascii="Courier New" w:cs="Courier New" w:eastAsia="Courier New" w:hAnsi="Courier New"/>
          <w:sz w:val="16"/>
          <w:szCs w:val="16"/>
          <w:color w:val="auto"/>
        </w:rPr>
        <w:t>For the three months ended September 30, 1999 and 1998, total comprehensive loss amounted to $6,700,000 and $2,853,000, respectively. For the first nine months of 1999 and 1998, total comprehensive loss amounted to $10,480,000 and $10,415,000,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REDEEMABLE STOCK</w:t>
      </w:r>
    </w:p>
    <w:p>
      <w:pPr>
        <w:spacing w:after="0" w:line="207" w:lineRule="exact"/>
        <w:rPr>
          <w:sz w:val="20"/>
          <w:szCs w:val="20"/>
          <w:color w:val="auto"/>
        </w:rPr>
      </w:pPr>
    </w:p>
    <w:p>
      <w:pPr>
        <w:ind w:left="640" w:right="2099"/>
        <w:spacing w:after="0" w:line="237" w:lineRule="auto"/>
        <w:rPr>
          <w:sz w:val="20"/>
          <w:szCs w:val="20"/>
          <w:color w:val="auto"/>
        </w:rPr>
      </w:pPr>
      <w:r>
        <w:rPr>
          <w:rFonts w:ascii="Courier New" w:cs="Courier New" w:eastAsia="Courier New" w:hAnsi="Courier New"/>
          <w:sz w:val="18"/>
          <w:szCs w:val="18"/>
          <w:color w:val="auto"/>
        </w:rPr>
        <w:t>All such shares are held by Genentech, Inc. See Management's Discussion and Analysis of Financial Condition and Results of Operations regarding Genentech, Inc. and the impact on the Company's liquidity and capital resources.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16</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NOTE 5. WIND-DOWN OF ENCAPSULATED CELL TECHNOLOGY</w:t>
      </w:r>
    </w:p>
    <w:p>
      <w:pPr>
        <w:spacing w:after="0" w:line="207"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In July 1999, the Company announced plans for the restructuring of its operations to wind down operations relating to its encapsulated cell technology and to focus its resources on the research and development of its proprietary stem cell technology platform. The Company terminated approximately 68 full time employees and, in October, relocated its corporate headquarters to Sunnyvale, California. The Company has incurred or accrued for approximately $4.1 million of employee separation, wind down and relocation expenses during the third quarter. To date substantially all of the Company's revenues and the substantial majority of the Company's costs have been recognized or incurred in connection with the Company's encapsulated cell technology programs. The costs of the Company's stem cell programs are included in such costs and are not accounted for separately.</w:t>
      </w:r>
    </w:p>
    <w:p>
      <w:pPr>
        <w:spacing w:after="0" w:line="207"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Refer to the Management's Discussion and Analysis of Financial Condition and Results of Operations section for additional discussion relating to the Company's collaborative agreements and its liquidity and capital resources.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The Company is currently negotiating for the sale and/or license of its encapsulated cell technology intellectual property portfolio as well as the sale of its excess fixed assets. Based on these activities, the Company has recorded a valuation reserve for the fixed assets and has also increased its patent reserve. The proceeds from these activities are expected to be used to fund the Company's continuing operations, which will be focused on stem cell research and development.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CONTINGENCIES</w:t>
      </w:r>
    </w:p>
    <w:p>
      <w:pPr>
        <w:spacing w:after="0" w:line="207"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In July 1999, the Rhode Island Partnership for Science and Technology ("RIPSAT") alleged that the Company is in default under a funding agreement entered into with RIPSAT in 1989, and demanded payment of approximately $2.6 million. RIPSAT has since notified the Company demanding payment of the $2.6 million within thirty days (the notice period). While the Company has responded to RIPSAT that the Company is not in default under this agreement and expects to contest any attempt by RIPSAT to realize on its demand, it may be necessary or desirable for the Company to resolve its dispute with RIPSAT in connection with any possible transaction involving disposition of the Company's Rhode Island based assets, including, without limitation, the Company's pilot manufacturing plant, which is financed by bonds insured by a Rhode Island state agency, and the Company has therefore engaged in settlement discussions with RIPSAT. There can be no assurance that this dispute will be resolved on a basis satisfactory to the Company. Any settlement payment to RIPSAT could have a material adverse effect on the Company's liquidity and capital resources.</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16</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discussion of the financial condition and results of operations of the Company for the three and nine months ended September 30, 1999 and 1998 should be read in conjunction with the accompanying unaudited condensed consolidated financial statements and the related footnotes thereto.</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statements contained in this report, other than statements of historical fact, constitute forward-looking statements. Such statements include, without limitation, all statements as to expectation or belief and statements as to the Company's future results of operations, the progress of the Company's product development and clinical programs, the need for, and timing of, additional capital and capital expenditures, partnering prospects, resolution of disputed claims, possible sales of assets or out-licensing of technology, the need for additional intellectual property rights, effects of regulations, the need for additional facilities and potential market opportunities. The Company's actual results may vary materially from those contained in such forward-looking statements because of risks to which the Company is subject, such as failure to obtain a corporate partner or partners to support the Company's stem cell programs, negotiations with Genentech, Inc. and RIPSAT, the Company's ability to realize proceeds from the transfer or sale of its intellectual property rights, equipment or facilities related to its encapsulated cell technology program, risks of delays in research, development and clinical testing programs, obsolescence of the Company's technology, lack of available funding, competition from third parties, intellectual property rights of third parties, failure of the Company's collaborators to perform, regulatory constraints, litigation and other risks to which the Company is subject. See "Cautionary Factors Relevant to Forward-Looking-Information" filed herewith as Exhibit 99 and incorporated herein by reference.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Since its inception in August 1988, the Company has been primarily engaged in research and development of human therapeutic products. No revenues have been derived from the sale of any products, and the Company does not expect to receive revenues from product sales for at least several years. The Company has not commercialized any product and in order for the Company to commercialize any product the Company must, among other things, substantially increase its research and development expenditures as research and product development efforts accelerate and clinical trials are initiated or broadened.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There can be no assurance that such financing or partnering revenues will be available when needed or on terms acceptable to the Company. The Company's results of operations have varied significantly from year to year and quarter to quarter and may vary significantly in the future due to the occurrence of material, nonrecurring events, including without limitation, the receipt of one-time, nonrecurring licensing payments, the initiation or termination of research collaborations and the winding-down of terminated research and development programs.</w:t>
      </w: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16</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Three months ended September 30, 1999 and 1998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quarters ended September 30, 1999 and 1998, revenues from collaborative agreements totaled $0 and $2,540,000, respectively. The decrease in revenues resulted from the June 1999 termination of a Development, Marketing and License Agreement with AstraZeneca Group plc, which was signed in March 1995 (the "Astra Agreement" ).</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Research and development expenses totaled $1,585,000 for the three months ended September 30, 1999, compared with $4,282,000 for the same period in 1998. The decrease of $2,697,000, or 63%, from 1998 to 1999 was primarily attributable to the wind-down of research activities relating to the Company's encapsulated cell technology.</w:t>
      </w:r>
    </w:p>
    <w:p>
      <w:pPr>
        <w:spacing w:after="0" w:line="20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General and administrative expenses were $1,027,000 for the three months ended September 30, 1999, compared with $1,281,000 for the same period in 1998. The decrease of $254,000, or 20%, from 1998 to 1999 was primarily attributable to the Company's reduction in general and administrative personnel.</w:t>
      </w:r>
    </w:p>
    <w:p>
      <w:pPr>
        <w:spacing w:after="0" w:line="182"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Wind-down expenses totaled $4,100,000 for the three months ended September 30,1999, compared with $0 for the same period in 1998. The wind-down expenses relate to the wind-down of the Company's encapsulated cell technology research and the Company's other Rhode Island operations and the preparations for the transfer of the Company's corporate headquarters to Sunnyvale, California.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income for the three months ended September 30, 1999 and 1998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$98,000 and $281,000, respectively. The decrease in interest income in 1999 was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attributable to the lower average investment balances during such period,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$8,426,000 vs. $19,478,000 in the third quarter of 1999 and 1998, respectively.</w:t>
      </w:r>
    </w:p>
    <w:p>
      <w:pPr>
        <w:spacing w:after="0" w:line="22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Interest expense was $52,000 for the three months ended September 30, 1999, compared with $125,000 for the same period in 1998. The decrease in 1999 was attributable to lower outstanding debt and capital lease balances in 1999 compared to 1998.</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Net loss for the three months ended September 30, 1999 was $6,711,000, or $0.36 per share, as compared to net loss of $2,868,000, or $0.16 per share, for the comparable period in 1998. The increase in net loss of $3,843,000, or 134%, from 1998 to 1999 is primarily attributable to the elimination of revenue from the Astra Agreement due to the June 1999 termination of this agreement, as well as the Company's incurring substantial wind-down costs associated with the restructuring of the Company's operations and preparations for the transfer of the Company's corporate headquarters to Sunnyvale, California.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Nine months ended September 30, 1999 and 1998</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the nine months ended September 30, 1999 and 1998, revenues from collaborative agreements totaled $5,022,000 and $6,289,000. The decrease in revenues of $1,267,000, or 20%, was attributable to the elimination of funding from the Astra Agreement for the third quarter of 1999, which, as noted above, was terminated in June 1999.</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16</w:t>
      </w:r>
    </w:p>
    <w:p>
      <w:pPr>
        <w:sectPr>
          <w:pgSz w:w="11900" w:h="16838" w:orient="portrait"/>
          <w:cols w:equalWidth="0" w:num="1">
            <w:col w:w="10219"/>
          </w:cols>
          <w:pgMar w:left="240" w:top="717" w:right="1440" w:bottom="144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Research and development expenses totaled $8,432,000 for the nine months ended September 30, 1999, compared with $13,699,000 for the same period in 1998. The decrease of $5,267,000, or 38%, from 1998 to 1999 was primarily attributable to a reduction in spending on research agreements and a reduction in research and development personnel expenses in the first half of the year and the wind-down of research activities relating to the Company's encapsulated cell technology in the third quarter as a result of the termination of the Astra Agreement in June 1999.</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were $3,196,000 for the nine months ended September 30, 1999, compared with $3,692,000 for the same period in 1998. The decrease of $496,000 or 13%, from 1998 to 1999 was primarily attributable to the Company's reduction in general and administrative personnel and the wind-down of its encapsulated cell technology.</w:t>
      </w: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Wind-down expenses totaled $4,100,000 for the nine months ended September 30,1999, compared with $0 for the same period in 1998. The wind-down expenses relate to the wind-down of the Company's encapsulated cell technology research and the Company's other Rhode Island operations and the preparations for the transfer of the Company's corporate headquarters to Sunnyvale, California.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income for the nine months ended September 30, 1999 and 1998 was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$504,000 and $1,206,000, respectively. The decrease in interest income in 1999 was attributable to the lower average investment balance during such period. The average investment balances were $12,350,000 and $23,192,000 for the first nine months of 1999 and 1998, respectively.</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Interest expense was $237,000 for the nine months ended September 30, 1999, compared with $359,000 for the same period in 1998. The decrease in 1999 was attributable to lower outstanding debt and capital lease balances in 1999 compared to 1998.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loss for the nine months ended September 30, 1999 was $10,484,000, or $0.56 per share, as compared to a net loss of $10,435,000, or $0.57 per share, for the comparable period in 1998. However, as noted above, in the fourth quarter of 1999 the Company expects to receive no revenue from collaborative research; as a result, results for the first nine months will not be indicative of results for the balance of the year.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had unrestricted cash, cash equivalents and marketable securities totaling $6,292,000 at September 30, 1999. Cash equivalents and marketable securities are invested in agencies of the U.S. government, investment grade corporate bonds and money market funds.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liquidity and capital resources have been and will continue to be significantly affected by the Company's relationship with corporate partners. In March 1995, the Company signed a collaborative research and development agreement with AstraZeneca for the development and marketing of certain encapsulated-cell products to</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10 of 16</w:t>
      </w:r>
    </w:p>
    <w:p>
      <w:pPr>
        <w:sectPr>
          <w:pgSz w:w="11900" w:h="16838" w:orient="portrait"/>
          <w:cols w:equalWidth="0" w:num="1">
            <w:col w:w="10219"/>
          </w:cols>
          <w:pgMar w:left="240" w:top="723" w:right="1440" w:bottom="1440" w:gutter="0" w:footer="0" w:header="0"/>
        </w:sectPr>
      </w:pPr>
    </w:p>
    <w:bookmarkStart w:id="9" w:name="page10"/>
    <w:bookmarkEnd w:id="9"/>
    <w:p>
      <w:pPr>
        <w:ind w:right="1779"/>
        <w:spacing w:after="0" w:line="269" w:lineRule="auto"/>
        <w:rPr>
          <w:sz w:val="20"/>
          <w:szCs w:val="20"/>
          <w:color w:val="auto"/>
        </w:rPr>
      </w:pPr>
      <w:r>
        <w:rPr>
          <w:rFonts w:ascii="Courier New" w:cs="Courier New" w:eastAsia="Courier New" w:hAnsi="Courier New"/>
          <w:sz w:val="16"/>
          <w:szCs w:val="16"/>
          <w:color w:val="auto"/>
        </w:rPr>
        <w:t>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executed its right to terminate the agreement.</w:t>
      </w:r>
    </w:p>
    <w:p>
      <w:pPr>
        <w:spacing w:after="0" w:line="200" w:lineRule="exact"/>
        <w:rPr>
          <w:sz w:val="20"/>
          <w:szCs w:val="20"/>
          <w:color w:val="auto"/>
        </w:rPr>
      </w:pPr>
    </w:p>
    <w:p>
      <w:pPr>
        <w:spacing w:after="0" w:line="3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third quarter of 1999, the Company announced plans for the restructuring of its operations to wind down operations relating to its encapsulated cell technology and to focus its resources on the research and development of its proprietary stem cell technology platform. The Company terminated approximately 68 full time employees and in October 1999, relocated its corporate headquarters to Sunnyvale, California. The Company has incurred or accrued for approximately $4.1 million of employee separation, wind down and relocation expenses during the third quarter of 1999.</w:t>
      </w:r>
    </w:p>
    <w:p>
      <w:pPr>
        <w:spacing w:after="0" w:line="21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 is currently engaged in discussions regarding the sale and/or license of its encapsulated cell technology intellectual property portfolio as well as the sale of its excess fixed assets. Based on these activities the Company has recorded a valuation reserve on the fixed assets and has also increased its patent reserve. However, there can be no assurance that the Company will successfully conclude these negotiations. Any proceeds from these activities are expected to be used to fund the Company's continuing operations, which will be focused on stem cell research and development. Failure to achieve the proceeds within currently anticipated time frames would have a material adverse effect on the Company's liquidity and capital resources.</w:t>
      </w:r>
    </w:p>
    <w:p>
      <w:pPr>
        <w:spacing w:after="0" w:line="3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July 1999, the Rhode Island Partnership for Science and Technology ("RIPSAT") alleged that the Company is in default under a funding agreement entered into with RIPSAT in 1989, and demanded payment of approximately $2.6 million. RIPSAT has since notified the Company demanding payment of the $2.6 million within thirty days</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11 of 16</w:t>
      </w:r>
    </w:p>
    <w:p>
      <w:pPr>
        <w:sectPr>
          <w:pgSz w:w="11900" w:h="16838" w:orient="portrait"/>
          <w:cols w:equalWidth="0" w:num="1">
            <w:col w:w="10219"/>
          </w:cols>
          <w:pgMar w:left="240" w:top="723" w:right="1440" w:bottom="144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(the notice period). While the Company has responded to RIPSAT that the Company is not in default under this agreement and expects to contest any attempt by RIPSAT to realize on its demand, it may be necessary or desirable for the Company to resolve its dispute with RIPSAT in connection with any possible transaction involving disposition of the Company's Rhode Island based assets, including, without limitation, the Company's pilot manufacturing plant, which is financed by bonds insured by a Rhode Island state agency, and the Company has therefore engaged in settlement discussions with RIPSAT. There can be no assurance that this dispute will be resolved on a basis satisfactory to the Company. Any settlement payment to RIPSAT could have a material adverse effect on the Company's liquidity and capital resources.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liquidity and capital resources have also been affected by the termination of the Company's collaborative development and licensing agreement with Genentech, Inc. relating to the development of products for the treatment of Parkinson's disease. On May 21, 1998, Genentech exercised its right to terminate the Parkinson's collaboration and demanded that the Company redeem, at a price of $10.01 per share, shares of the Company's redeemable Common Stock held by Genentech in an amount equal to the amount of funds invested by Genentech to acquire such stock less the amount expended by the Company on the terminated program. Any such redemption will have a material adverse effect on the Company's liquidity and capital resources.</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continues to have substantial outstanding obligations in regard to its facilities in Rhode Island, including lease payments and operating costs of approximately $950,000 per year associated with its Science and Administration Facility (the "SAF") in Lincoln, Rhode Island, and debt service payments and operating costs of approximately $1,000,000 per year with respect to the Company's pilot manufacturing facility, also located in Lincoln, Rhode Island. The Company is currently seeking to sublicense the SAF and sell its pilot manufacturing facility, but there can be no assurance that the Company will succeed in these efforts. Failure to succeed in these efforts within a reasonable time period will have a material adverse effect on the Company's liquidity and capital resources.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1996, the Company secured an equipment loan facility with a bank (the "Lender") in the amount of $2,000,000 (the "Credit Facility"). The current balance on this Credit Facility as of September 30, 1999 was $0. On August 5, 1999 the Company made a payment of approximately $752,000, of principal and interest, to the Lender to retire the Credit Facility rather than seek a waiver by the Lender of the Company's violation of a loan covenant requiring the Company to maintain unrestricted liquidity in an amount equal to or in excess of $10 million.</w:t>
      </w:r>
    </w:p>
    <w:p>
      <w:pPr>
        <w:spacing w:after="0" w:line="212"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 has limited liquidity and capital resources and must obtain significant additional capital resources in the near future in order to sustain its product development efforts. 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laboratory and office facilities, establishment of production capabilities and for general and administrative expenses. The Company's ability to obtain additional capital will be substantially dependent on the Company's ability to obtain partnering support for its stem cell technology and, in the near term, on the Company's ability to realize proceeds from the sale or out-licensing of its encapsulated cell intellectual property portfolio and the sale of the Company's excess fixed assets and the Company's pilot manufacturing facility, as well as on the Company's ability to sublease the SAF. There can be no assurance that the Company will succeed in any or all of these efforts, and failure to do so will have a material effect on the Company's liquidity and capital resources. Until the Company's operations generate significant revenues from product sales, the Company must</w:t>
      </w: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12 of 16</w:t>
      </w:r>
    </w:p>
    <w:p>
      <w:pPr>
        <w:sectPr>
          <w:pgSz w:w="11900" w:h="16838" w:orient="portrait"/>
          <w:cols w:equalWidth="0" w:num="1">
            <w:col w:w="10219"/>
          </w:cols>
          <w:pgMar w:left="240" w:top="723" w:right="1440" w:bottom="144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rely on cash reserves and proceeds from equity and debt offerings, proceeds from the transfer or sale of its intellectual property rights, equipment or facilities, government grants and funding from collaborative arrangements, if obtainable, to fund its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intends to pursue opportunities to obtain additional financing in the future through equity and debt financings, lease agreements related to capital equipment, grants and collaborative research arrangements. The source, timing and availability of any future financing will depend principally upon market conditions, interest rates and, more specifically, on the Company's progress in its exploratory, preclinical and clinical development programs.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expects that its existing capital resources, income earned on invested capital, and, if available, proceeds from the sale of assets, out-licensing of technology and subleasing of facilities described above, will be sufficient to fund its operations into the first quarter of 2000. The Company's cash requirements may vary, however, depending on numerous factors. Lack of necessary funds may require the Company to delay, scale back or eliminate some or all of its research and product development programs and/or its capital expenditures or to license its potential products or technologies to third parties.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year 2000 problem results from the fact that computer programs were often written using two digits rather than four to define the applicable year. Computer programs that have date-sensitive software may recognize a date using "00" as the year 1900 rather than the year 2000. The Company has tested its material software applications to determine whether each program is prepared to accommodate date information for the year 2000 and beyond. The Company found all of its material software programs to be year 2000 compliant and does not anticipate any significant disruption of its operations as a result of the failure of any of its software programs to be year 2000 compliant.</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has also tested the status of its facilities systems such as phones, voice mail, heating/air conditioning, electricity and security systems and its laboratory and manufacturing equipment and determined that they are year 2000 compliant. The Company completed this testing in the third quarter of 1999. If any of the additional systems or equipment is found not to be year 2000 compliant, the Company intends to either seek to repair the systems or equipment to cause it to be year 2000 compliant or replace such systems or equipment with year 2000 compliant products. The cost to repair or replace any such system or equipment that is not year 2000 compliant could be material. The Company has also polled its major vendors and suppliers to determine if they are year 2000 compliant and to identify any potential issues. Each of the suppliers and vendors that has responded to the Company's inquiry has confirmed either orally or in writing that it does not believe that its sales of products or provision of services to the Company will be interrupted as a result of the year 2000 issue. As a result of its investigations, the Company does not currently believe that it is reasonably likely that its</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13 of 16</w:t>
      </w:r>
    </w:p>
    <w:p>
      <w:pPr>
        <w:sectPr>
          <w:pgSz w:w="11900" w:h="16838" w:orient="portrait"/>
          <w:cols w:equalWidth="0" w:num="1">
            <w:col w:w="10219"/>
          </w:cols>
          <w:pgMar w:left="240" w:top="723" w:right="1440" w:bottom="1440" w:gutter="0" w:footer="0" w:header="0"/>
        </w:sectPr>
      </w:pPr>
    </w:p>
    <w:bookmarkStart w:id="12" w:name="page13"/>
    <w:bookmarkEnd w:id="12"/>
    <w:p>
      <w:pPr>
        <w:ind w:right="1999"/>
        <w:spacing w:after="0" w:line="237" w:lineRule="auto"/>
        <w:rPr>
          <w:sz w:val="20"/>
          <w:szCs w:val="20"/>
          <w:color w:val="auto"/>
        </w:rPr>
      </w:pPr>
      <w:r>
        <w:rPr>
          <w:rFonts w:ascii="Courier New" w:cs="Courier New" w:eastAsia="Courier New" w:hAnsi="Courier New"/>
          <w:sz w:val="18"/>
          <w:szCs w:val="18"/>
          <w:color w:val="auto"/>
        </w:rPr>
        <w:t>operations will be significantly impacted by the year 2000 issue. Although the Company believes that the cost of remediation associated with achieving year 2000 compliance or the costs associated with system failures will not be significant, there can be no assurance that the failure of one or more of the Company's major suppliers to be year 2000 compliant will not have an adverse effect on the Company's operations or financial results.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New Director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Board of Directors elected Donald Kennedy, Ph.D., as a Director in July 1999. Since 1960, Dr. Kennedy has held a number of academic research, advisory and public policy positions related to health and the environment. Dr. Kennedy currently co-directs the Center for Environmental Science and Policy in the Institute for International Studies at Stanford University in Palo Alto, California.</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to the election of Dr. Kennedy, the Company has also accepted the resignations of two directors, Moses Goddard, M.D., and Richard Ramsden. With the election of Dr. Kennedy and the resignation of Dr. Goddard and Mr. Ramsden, the Company's Board includes five members.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14 of 16</w:t>
      </w:r>
    </w:p>
    <w:p>
      <w:pPr>
        <w:sectPr>
          <w:pgSz w:w="11900" w:h="16838" w:orient="portrait"/>
          <w:cols w:equalWidth="0" w:num="1">
            <w:col w:w="10219"/>
          </w:cols>
          <w:pgMar w:left="240" w:top="72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PART II - ITEM 1</w:t>
      </w:r>
    </w:p>
    <w:p>
      <w:pPr>
        <w:spacing w:after="0" w:line="207"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LEGAL PROCEEDINGS</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AND REPORTS ON FORM 8-K</w:t>
      </w:r>
    </w:p>
    <w:p>
      <w:pPr>
        <w:spacing w:after="0" w:line="201" w:lineRule="exact"/>
        <w:rPr>
          <w:sz w:val="20"/>
          <w:szCs w:val="20"/>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27 - Financial Data Schedule</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99 - Cautionary Factors Relevant to Forward-Looking-Information.</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640"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July 16, 1999, the Company filed a current report on Form 8-K to report its intent to restructure its operations to focus its resources on the research and development of its proprietary stem cell technology platform.</w:t>
      </w:r>
    </w:p>
    <w:p>
      <w:pPr>
        <w:spacing w:after="0" w:line="37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15 of 16</w:t>
      </w:r>
    </w:p>
    <w:p>
      <w:pPr>
        <w:sectPr>
          <w:pgSz w:w="11900" w:h="16838" w:orient="portrait"/>
          <w:cols w:equalWidth="0" w:num="1">
            <w:col w:w="10219"/>
          </w:cols>
          <w:pgMar w:left="240" w:top="717" w:right="1440" w:bottom="1440" w:gutter="0" w:footer="0" w:header="0"/>
        </w:sectPr>
      </w:pPr>
    </w:p>
    <w:bookmarkStart w:id="14" w:name="page15"/>
    <w:bookmarkEnd w:id="1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CYTOTHERAPEUTICS, INC.</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of 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15,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/s/ Richard M. Rose</w:t>
      </w:r>
    </w:p>
    <w:p>
      <w:pPr>
        <w:ind w:left="8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Chief Executive Officer and</w:t>
      </w:r>
    </w:p>
    <w:p>
      <w:pPr>
        <w:spacing w:after="0" w:line="237" w:lineRule="auto"/>
        <w:rPr>
          <w:sz w:val="20"/>
          <w:szCs w:val="20"/>
          <w:color w:val="auto"/>
        </w:rPr>
      </w:pPr>
      <w:r>
        <w:rPr>
          <w:rFonts w:ascii="Courier New" w:cs="Courier New" w:eastAsia="Courier New" w:hAnsi="Courier New"/>
          <w:sz w:val="18"/>
          <w:szCs w:val="18"/>
          <w:color w:val="auto"/>
        </w:rPr>
        <w:t>Acting 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officer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20" w:space="720"/>
            <w:col w:w="5779"/>
          </w:cols>
          <w:pgMar w:left="240" w:top="717" w:right="1440" w:bottom="1440" w:gutter="0" w:footer="0" w:header="0"/>
          <w:type w:val="continuous"/>
        </w:sect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16 of 16</w:t>
      </w:r>
    </w:p>
    <w:p>
      <w:pPr>
        <w:sectPr>
          <w:pgSz w:w="11900" w:h="16838" w:orient="portrait"/>
          <w:cols w:equalWidth="0" w:num="1">
            <w:col w:w="10219"/>
          </w:cols>
          <w:pgMar w:left="240" w:top="717" w:right="1440" w:bottom="1440" w:gutter="0" w:footer="0" w:header="0"/>
          <w:type w:val="continuous"/>
        </w:sectPr>
      </w:pPr>
    </w:p>
    <w:bookmarkStart w:id="15" w:name="page16"/>
    <w:bookmarkEnd w:id="15"/>
    <w:p>
      <w:pPr>
        <w:ind w:left="1160"/>
        <w:spacing w:after="0"/>
        <w:rPr>
          <w:sz w:val="20"/>
          <w:szCs w:val="20"/>
          <w:color w:val="auto"/>
        </w:rPr>
      </w:pPr>
      <w:r>
        <w:rPr>
          <w:rFonts w:ascii="Courier New" w:cs="Courier New" w:eastAsia="Courier New" w:hAnsi="Courier New"/>
          <w:sz w:val="18"/>
          <w:szCs w:val="18"/>
          <w:color w:val="auto"/>
        </w:rPr>
        <w:t>CAUTIONARY FACTORS RELEVANT TO FORWARD-LOOKING INFORMATION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CYTOTHERAPEUTICS, INC. (THE "COMPANY") WISHES TO CAUTION READERS THAT THE FOLLOWING IMPORTANT FACTORS, AMONG OTHERS, IN SOME CASES HAVE AFFECTED AND IN THE FUTURE COULD AFFECT THE COMPANY'S RESULTS AND COULD CAUSE ACTUAL RESULTS AND THE NEEDS AND FINANCIAL CONDITION OF THE COMPANY TO VARY MATERIALLY FROM FORWARD-LOOKING STATEMENTS MADE BY THE COMPANY ON THE BASIS OF MANAGEMENT'S CURRENT EXPECTATIONS. THE BUSINESS IN WHICH THE COMPANY IS ENGAGED IS DEPENDENT ON UNPROVEN TECHNOLOGY, RAPIDLY CHANGING, EXTREMELY COMPETITIVE AND INVOLVES A HIGH DEGREE OF RISK, AND ACCURACY WITH RESPECT TO FORWARD-LOOKING STATEMENTS IS DIFFICULT.</w:t>
      </w:r>
    </w:p>
    <w:p>
      <w:pPr>
        <w:spacing w:after="0" w:line="214"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DEPENDENCE ON ASTRA AND RESULTS OF PHASE IIB CLINICAL TRIAL. The Company's ability to continue development of its encapsulated-cell therapy products is dependent on the willingness of Astra AB to continue to support further development of the Company's encapsulated-cell product for the treatment of chronic pain. While Astra increased its support for this program during 1998 and the first half of 1999 in order to facilitate completion of the Phase IIB clinical trial for this product, Astra has the right to terminate the agreement providing for its support for this product at any time. The Company expects that the results from the Phase IIB clinical trial for this product will be available about mid-1999. The Company expects Astra to make a decision on continued support for the Company's chronic pain program based in substantial part on Astra's review of the results of this trial. Should Astra determine to terminate the program or seek to reduce its support for the program or to otherwise adversely modify the terms of the Company's relationship with Astra, any such action would have a material, adverse effect on the Company's liquidity and capital resources and would likely result in the Company's inability to continue to fund further development of its proposed encapsulated-cell products.</w:t>
      </w:r>
    </w:p>
    <w:p>
      <w:pPr>
        <w:spacing w:after="0" w:line="39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NEED TO OBTAIN CORPORATE PARTNER OR PARTNERS TO SUPPORT STEM CELL DEVELOPMENT EFFORTS. The Company's ability to continue to fund the development of its neural and other stem cell technologies will be dependent on the Company's ability to reach appropriate partnering arrangements providing support for the Company's discovery and development efforts. While the Company has engaged, and expects to continue to engage, in discussions regarding such arrangements, the Company has not reached any agreement regarding any such arrangements and there can be no assurance that the Company will be able to obtain any such agreement.</w:t>
      </w:r>
    </w:p>
    <w:p>
      <w:pPr>
        <w:spacing w:after="0" w:line="214"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LACK OF LIQUIDITY AND CAPITAL RESOURCES. The Company has limited liquidity and capital resources and must obtain significant additional capital resources in order to sustain its product development efforts. The Company's ability to obtain additional capital will be substantially dependent on Astra's decision regarding continuation of support for the Company's chronic pain product and the Company's ability to obtain partnering support for its stem cell technology. The Company's liquidity and capital resources will be adversely affected to the extent that the Company is required to redeem common stock of the Company held by Genentech, Inc. under the terms of the Company's partnering agreement with Genentech regarding possible development of an encapsulated-cell product for the treatment of Parkinson's disease, which was terminated by Genentech in May 1998. Under this agreement, if upon termination of the agreement the $8.3 million received by the Company from the sale of the Company's Common Stock to Genentech at the commencement of the agreement exceeds by more than $1 million the funds expended by the Company in developing the proposed Parkinson's product, the Company is obligated to repurchase from Genentech for cash consideration shares of the Company's common stock having a value equal to the amount of the overfunding, at the same per share price originally paid by Genentech ($10.01 per share). Genentech has requested that the Company redeem shares of the Common Stock having an aggregate value of at least $3.1 million. The Company is negotiating with Genentech regarding the terms and amount of such redemption (which the Company currently expects may be approximately $3.1 million).</w:t>
      </w:r>
    </w:p>
    <w:p>
      <w:pPr>
        <w:spacing w:after="0" w:line="393"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FUTURE CAPITAL NEEDS; UNCERTAINTY OF ADDITIONAL FUNDING - The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development of the Company's products will require the commitment of substantial resources to conduct the time-consuming research, preclinical development and clinical trials that are necessary for regulatory approvals and to establish</w:t>
      </w:r>
    </w:p>
    <w:p>
      <w:pPr>
        <w:sectPr>
          <w:pgSz w:w="11900" w:h="16838" w:orient="portrait"/>
          <w:cols w:equalWidth="0" w:num="1">
            <w:col w:w="10219"/>
          </w:cols>
          <w:pgMar w:left="240" w:top="339" w:right="1440" w:bottom="0" w:gutter="0" w:footer="0" w:header="0"/>
        </w:sectPr>
      </w:pPr>
    </w:p>
    <w:bookmarkStart w:id="16" w:name="page17"/>
    <w:bookmarkEnd w:id="16"/>
    <w:p>
      <w:pPr>
        <w:ind w:right="1779"/>
        <w:spacing w:after="0" w:line="238" w:lineRule="auto"/>
        <w:rPr>
          <w:sz w:val="20"/>
          <w:szCs w:val="20"/>
          <w:color w:val="auto"/>
        </w:rPr>
      </w:pPr>
      <w:r>
        <w:rPr>
          <w:rFonts w:ascii="Courier New" w:cs="Courier New" w:eastAsia="Courier New" w:hAnsi="Courier New"/>
          <w:sz w:val="18"/>
          <w:szCs w:val="18"/>
          <w:color w:val="auto"/>
        </w:rPr>
        <w:t>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changes in regulations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208"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UNCERTAINTIES OF CLINICAL DEVELOPMENT AND NEW MODE OF THERAPY - None of the Company's proposed products has been approved for commercial sale or entered Phase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adversely affected by government price controls or limitations on reimbursement, be precluded from commercialization by proprietary rights of third parties, by regulatory restrictions,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for a sufficiently long time to be efficacious and commercially viable; (iv) safely permit the therapeutic substances produced by the cells within the membrane to pass through the membrane unto the patient in controlled doses for extended periods; and (v) are sufficiently durable for the intended indication. While clinicians have generally had little difficulty in retrieving the Company's implants, there have been cases where the implant broke on attempted explant. The Company has changed its implantation procedure and its implants and is continuing a program of developing stronger implants. In addition, the viability of implanted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142" w:right="1440" w:bottom="1440" w:gutter="0" w:footer="0" w:header="0"/>
        </w:sectPr>
      </w:pPr>
    </w:p>
    <w:bookmarkStart w:id="17" w:name="page18"/>
    <w:bookmarkEnd w:id="17"/>
    <w:p>
      <w:pPr>
        <w:ind w:right="1779"/>
        <w:spacing w:after="0" w:line="237" w:lineRule="auto"/>
        <w:rPr>
          <w:sz w:val="20"/>
          <w:szCs w:val="20"/>
          <w:color w:val="auto"/>
        </w:rPr>
      </w:pPr>
      <w:r>
        <w:rPr>
          <w:rFonts w:ascii="Courier New" w:cs="Courier New" w:eastAsia="Courier New" w:hAnsi="Courier New"/>
          <w:sz w:val="18"/>
          <w:szCs w:val="18"/>
          <w:color w:val="auto"/>
        </w:rPr>
        <w:t>encapsulated cells varies depending of the cell type, the implantation location and other factors. Lack of viability could restrict certain of the Company's programs to indications where long-term delivery of the therapeutics substances is not required. There can also be no assurance that the products that may be generated in the Company's stem cell programs will: (i) survive and persist in the desired locations, (ii) provide the therapeutic benefits intended, (iii) properly differentiate and integrate into existing tissue in the desired manner, or (iv) not cause tumors or other side effects.</w:t>
      </w:r>
    </w:p>
    <w:p>
      <w:pPr>
        <w:spacing w:after="0" w:line="212"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There has been increasing regulatory concern about the risks of cell transplantation. Certain of these concerns have focused on the use of cells derived from cows (such as are used in the Company's pain program) and cells from primates and pigs. The United Kingdom has adopted a moratorium on all xenotransplantation pending further research and discussion; the EC Commission has introduced a ban on the use of "high-risk material" from cattle and sheep in the Member States of the European Union in the manufacture of pharmaceuticals. In addition, the FDA has proposed guidelines that impose significant constraints on the conduct of clinical trials utilizing xenotransplantion and are likely to significantly affect the cost of producing the Company's products using non-human cells; such costs could make the Company's products cost more to produce than the Company receives for their production. Furthermore, the FDA has published a "Proposed Approach to Regulation of Cellular and Tissue-Based Products" which relates to the use of human cells. The Company cannot presently determine the effects of such actions or what other actions might be taken. Restrictions on the testing or use of cells, whether human or non-human, as human therapeutics, could adversely affect the Company's product development programs and the Company itself and could prevent the Company from producing and/or selling products or make the cost of production by the Company prohibitively high. See "Government Regulation."</w:t>
      </w:r>
    </w:p>
    <w:p>
      <w:pPr>
        <w:spacing w:after="0" w:line="394"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maintain its existing arrangements or to enter into any additional arrangements on terms acceptable to the Company, or successfully perform its obligations under its existing or any additional arrangements. If any of the Company's collaborators terminates its relationship with the Company or fails to perform its obligations in a timely manner, the development or commercialization of the Company's product candidate or research program under such collaborative agreement may be adversely affected. Moreover, as noted above, the Company is particularly dependent on its pain program partner, Astra AB.</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 On the other hand, it is important for the Company to obtain patent protection. This is particularly true in the case of the Company's stem cell technology where the first person or entity to discover and patent a particular stem or progenitor cell may effectively block all others, meaning that it will be critically important to the Company's stem cell development efforts for the Company or its collaborators to be the first to discover any stem cell which the Company is seeking to discover. Failure to be the first to make such a discovery would likely force the Company to terminate or substantially modify its efforts directed toward the discovery of the discovered stem cell, and would likely have a substantial adverse effect on the Company.</w:t>
      </w:r>
    </w:p>
    <w:p>
      <w:pPr>
        <w:spacing w:after="0" w:line="208"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EXISTENCE OF THIRD PARTY PATENTS AND PROPRIETARY RIGHTS; NEED TO OBTAIN LICENSE - A number of pharmaceutical, biotechnology and other companies, universities and research institutions have filed patent applications or have been issued patents relating to cell therapy and encapsulation and other technologies potentially relevant to or required by the Company's expected products. The Company cannot predict which, if any, of such applications will issue as patents or the claims that might be allowed. The Company is aware that a number of entities have filed applications relating to stem and/or progenitor cells. The Company is also aware of a number of third-party patent applications and patents relating to cell encapsulation or claiming use of genetically modified cells to treat disease, disorder or injury. In particular, the Company is aware of a third-party U.S. patent which relates the use of cells for alleviating chronic pain in humans and of two issued U. S. patents claiming certain methods for treating defective, diseased or damaged cells in the mammalian</w:t>
      </w:r>
    </w:p>
    <w:p>
      <w:pPr>
        <w:sectPr>
          <w:pgSz w:w="11900" w:h="16838" w:orient="portrait"/>
          <w:cols w:equalWidth="0" w:num="1">
            <w:col w:w="10219"/>
          </w:cols>
          <w:pgMar w:left="240" w:top="723" w:right="1440" w:bottom="160" w:gutter="0" w:footer="0" w:header="0"/>
        </w:sectPr>
      </w:pPr>
    </w:p>
    <w:bookmarkStart w:id="18" w:name="page19"/>
    <w:bookmarkEnd w:id="18"/>
    <w:p>
      <w:pPr>
        <w:ind w:left="7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019"/>
          </w:cols>
          <w:pgMar w:left="1440" w:top="339" w:right="1440" w:bottom="1440" w:gutter="0" w:footer="0" w:header="0"/>
        </w:sectPr>
      </w:pPr>
    </w:p>
    <w:bookmarkStart w:id="19" w:name="page20"/>
    <w:bookmarkEnd w:id="19"/>
    <w:p>
      <w:pPr>
        <w:ind w:right="1779"/>
        <w:spacing w:after="0" w:line="269" w:lineRule="auto"/>
        <w:rPr>
          <w:sz w:val="20"/>
          <w:szCs w:val="20"/>
          <w:color w:val="auto"/>
        </w:rPr>
      </w:pPr>
      <w:r>
        <w:rPr>
          <w:rFonts w:ascii="Courier New" w:cs="Courier New" w:eastAsia="Courier New" w:hAnsi="Courier New"/>
          <w:sz w:val="16"/>
          <w:szCs w:val="16"/>
          <w:color w:val="auto"/>
        </w:rPr>
        <w:t>CNS by grafting genetically modified cells. The Company cannot predict the effect of existing patent applications and patents on future unencapsulated products. In addition, the Company is aware of third-party patents and patent applications claiming rights to the neurotrophic factors (such as CNTF, NT 4/5, Neurturin, and CT-1) which the Company hopes to deliver with its technology, and to the production of these factors through the use of genetically modified cells. The Company expects to use genetically modified cells to produce these factors for use in its encapsulated products and expects that it may wish to genetically modify its stem/progenitor cells. The Company may also be required to seek licenses in regard to other cell lines, the techniques used in creating, obtaining or maintaining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 in the Company's Annual Report on Form 10-K.</w:t>
      </w:r>
    </w:p>
    <w:p>
      <w:pPr>
        <w:spacing w:after="0" w:line="396"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 See "Government Regulation" in the Company's Annual Report on Form 10-K.</w:t>
      </w:r>
    </w:p>
    <w:p>
      <w:pPr>
        <w:spacing w:after="0" w:line="38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that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 In addition, many suppliers of materials used by the Company in its media, implants, and other components have restricted the use of such materials for implantation into humans; if the Company cannot obtain the necessary materials for its implants, the Company would be adversely affected.</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that has manufactured any membrane-encapsulated cell product on a commercial scale. There can be no assurance that the Company will be able to develop the capability of manufacturing any of its proposed products at a cost or in the quantities necessary to make a commercially viable product, if at all.</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w:t>
      </w: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767" w:gutter="0" w:footer="0" w:header="0"/>
        </w:sectPr>
      </w:pPr>
    </w:p>
    <w:bookmarkStart w:id="20" w:name="page21"/>
    <w:bookmarkEnd w:id="20"/>
    <w:p>
      <w:pPr>
        <w:ind w:right="1879"/>
        <w:spacing w:after="0" w:line="237" w:lineRule="auto"/>
        <w:rPr>
          <w:sz w:val="20"/>
          <w:szCs w:val="20"/>
          <w:color w:val="auto"/>
        </w:rPr>
      </w:pPr>
      <w:r>
        <w:rPr>
          <w:rFonts w:ascii="Courier New" w:cs="Courier New" w:eastAsia="Courier New" w:hAnsi="Courier New"/>
          <w:sz w:val="18"/>
          <w:szCs w:val="18"/>
          <w:color w:val="auto"/>
        </w:rPr>
        <w:t>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 in the Company's Annual Report on Form 10-K.</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215"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 Cost Control" in the Company's Annual Report on Form 10-K.</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42</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2020-02-22T17:49:24Z</dcterms:created>
  <dcterms:modified xsi:type="dcterms:W3CDTF">2020-02-22T17:49:24Z</dcterms:modified>
</cp:coreProperties>
</file>