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Laxminarain Prattipati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MICROBOT MEDICAL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 GROVE STREET, SUITE 388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BRAINTREE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Microbot Medical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MBOT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1.28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74,218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74,218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74,218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as follows and in accordance with the terms of the Issuer's 2020 Omnibus Performance Award Plan, as amended: (a) on May 2, 2024, the option shall vest and shall become exercisable with respect to 25% of the common stock; and (b) on a quarterly basis over the next 30 months, the option shall equally vest and become exercisable with respect to the remaining 75% of the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Prattipati Laxminarain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25204" TargetMode="External"/><Relationship Id="rId4" Type="http://schemas.openxmlformats.org/officeDocument/2006/relationships/hyperlink" Target="http://www.sec.gov/cgi-bin/browse-edgar?action=getcompany&amp;CIK=000088397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3442</Characters>
  <CharactersWithSpaces>4019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