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480" w:type="dxa"/>
            <w:vAlign w:val="bottom"/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75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75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5435600</wp:posOffset>
            </wp:positionH>
            <wp:positionV relativeFrom="paragraph">
              <wp:posOffset>-632460</wp:posOffset>
            </wp:positionV>
            <wp:extent cx="58420" cy="645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4095750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-1749425</wp:posOffset>
            </wp:positionH>
            <wp:positionV relativeFrom="paragraph">
              <wp:posOffset>16510</wp:posOffset>
            </wp:positionV>
            <wp:extent cx="7325360" cy="48044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5360" cy="48044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460"/>
            <w:col w:w="8780"/>
          </w:cols>
          <w:pgMar w:left="240" w:top="222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KOSHY GEORGE</w:t>
        </w:r>
      </w:hyperlink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STEMCELLS, INC.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3155 PORTER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STEMCELLS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STEM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6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07/21/2006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9" w:right="720" w:hanging="9"/>
        <w:spacing w:after="0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549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11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4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accounting officer</w:t>
      </w:r>
    </w:p>
    <w:p>
      <w:pPr>
        <w:spacing w:after="0" w:line="3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71" w:space="720"/>
            <w:col w:w="3469"/>
          </w:cols>
          <w:pgMar w:left="240" w:top="222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40" w:type="dxa"/>
            <w:vAlign w:val="bottom"/>
            <w:gridSpan w:val="7"/>
          </w:tcPr>
          <w:p>
            <w:pPr>
              <w:jc w:val="center"/>
              <w:ind w:right="20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</w:tcPr>
          <w:p>
            <w:pPr>
              <w:ind w:left="30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PALO ALTO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94304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gridSpan w:val="7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5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</w:tcPr>
          <w:p>
            <w:pPr>
              <w:ind w:left="8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5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1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07/21/2007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100,218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(right</w:t>
            </w:r>
          </w:p>
        </w:tc>
        <w:tc>
          <w:tcPr>
            <w:tcW w:w="540" w:type="dxa"/>
            <w:vAlign w:val="bottom"/>
          </w:tcPr>
          <w:p>
            <w:pPr>
              <w:ind w:left="3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jc w:val="right"/>
              <w:ind w:right="135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07/21/2006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100,218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07/21/2016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jc w:val="right"/>
              <w:ind w:right="181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100,218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to purchase)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07/21/2007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69,782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Appreciation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3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jc w:val="right"/>
              <w:ind w:right="135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07/01/2006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1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69,782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07/21/2016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jc w:val="right"/>
              <w:ind w:right="221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69,782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4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(3)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Right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520"/>
          </w:cols>
          <w:pgMar w:left="240" w:top="222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Employee Incentive Stock Option; vests 1/4 on the first anniversary of the grant and 1/48 per month thereafter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appreciation right; vests 1/4 on the first anniversary of the grant and 1/48 per month thereafter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Appreciation Right will be settled in cash upon exercise, with reference to price of Common Stock at that time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George Koshy by Iris Brest,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3175</wp:posOffset>
            </wp:positionV>
            <wp:extent cx="120713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71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 in 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-14605</wp:posOffset>
            </wp:positionV>
            <wp:extent cx="70421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2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9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07/26/2006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-635</wp:posOffset>
            </wp:positionH>
            <wp:positionV relativeFrom="paragraph">
              <wp:posOffset>3175</wp:posOffset>
            </wp:positionV>
            <wp:extent cx="4895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5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760" w:space="400"/>
            <w:col w:w="2360"/>
          </w:cols>
          <w:pgMar w:left="240" w:top="222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960" w:firstLine="3"/>
        <w:spacing w:after="0" w:line="311" w:lineRule="auto"/>
        <w:tabs>
          <w:tab w:leader="none" w:pos="178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2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57780" TargetMode="External"/><Relationship Id="rId13" Type="http://schemas.openxmlformats.org/officeDocument/2006/relationships/hyperlink" Target="http://www.sec.gov/cgi-bin/browse-edgar?action=getcompany&amp;CIK=000088397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2019-12-24T01:28:17Z</dcterms:created>
  <dcterms:modified xsi:type="dcterms:W3CDTF">2019-12-24T01:28:17Z</dcterms:modified>
</cp:coreProperties>
</file>