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 - 102)</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INFORMATION TO BE INCLUDED IN STATEMENTS FILED PURSUANT TO 13d-1(b), (c)</w:t>
      </w:r>
    </w:p>
    <w:p>
      <w:pPr>
        <w:ind w:left="1160"/>
        <w:spacing w:after="0" w:line="238" w:lineRule="auto"/>
        <w:rPr>
          <w:sz w:val="20"/>
          <w:szCs w:val="20"/>
          <w:color w:val="auto"/>
        </w:rPr>
      </w:pPr>
      <w:r>
        <w:rPr>
          <w:rFonts w:ascii="Courier New" w:cs="Courier New" w:eastAsia="Courier New" w:hAnsi="Courier New"/>
          <w:sz w:val="18"/>
          <w:szCs w:val="18"/>
          <w:color w:val="auto"/>
        </w:rPr>
        <w:t>AND (d) AND AMENDMENTS THERETO FILED PURSUANT TO 13d-2(b)</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StemCells,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85857R105</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4, 2001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ind w:left="960" w:hanging="952"/>
        <w:spacing w:after="0" w:line="238"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Millennium Partners, L.P.</w:t>
      </w:r>
    </w:p>
    <w:p>
      <w:pPr>
        <w:spacing w:after="0" w:line="201"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900" w:hanging="944"/>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Cayman Islands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4"/>
          <w:szCs w:val="24"/>
          <w:color w:val="auto"/>
        </w:rPr>
      </w:pPr>
    </w:p>
    <w:p>
      <w:pPr>
        <w:ind w:left="1900" w:right="7359" w:hanging="1892"/>
        <w:spacing w:after="0" w:line="536" w:lineRule="auto"/>
        <w:tabs>
          <w:tab w:leader="none" w:pos="95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2,534,183</w:t>
      </w: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900" w:right="6939" w:hanging="1892"/>
        <w:spacing w:after="0" w:line="536" w:lineRule="auto"/>
        <w:tabs>
          <w:tab w:leader="none" w:pos="95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2,534,183</w:t>
      </w:r>
    </w:p>
    <w:p>
      <w:pPr>
        <w:ind w:left="1900" w:right="6739" w:hanging="1892"/>
        <w:spacing w:after="0" w:line="470" w:lineRule="auto"/>
        <w:tabs>
          <w:tab w:leader="none" w:pos="95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ectPr>
          <w:pgSz w:w="11900" w:h="16838" w:orient="portrait"/>
          <w:cols w:equalWidth="0" w:num="1">
            <w:col w:w="10219"/>
          </w:cols>
          <w:pgMar w:left="240" w:top="244" w:right="1440" w:bottom="0" w:gutter="0" w:footer="0" w:header="0"/>
        </w:sectPr>
      </w:pPr>
    </w:p>
    <w:bookmarkStart w:id="1" w:name="page2"/>
    <w:bookmarkEnd w:id="1"/>
    <w:p>
      <w:pPr>
        <w:ind w:left="1900"/>
        <w:spacing w:after="0"/>
        <w:rPr>
          <w:sz w:val="20"/>
          <w:szCs w:val="20"/>
          <w:color w:val="auto"/>
        </w:rPr>
      </w:pPr>
      <w:r>
        <w:rPr>
          <w:rFonts w:ascii="Courier New" w:cs="Courier New" w:eastAsia="Courier New" w:hAnsi="Courier New"/>
          <w:sz w:val="18"/>
          <w:szCs w:val="18"/>
          <w:color w:val="auto"/>
        </w:rPr>
        <w:t>2,534,183</w:t>
      </w:r>
    </w:p>
    <w:p>
      <w:pPr>
        <w:spacing w:after="0" w:line="201"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w:t>
      </w:r>
    </w:p>
    <w:p>
      <w:pPr>
        <w:ind w:left="960"/>
        <w:spacing w:after="0"/>
        <w:tabs>
          <w:tab w:leader="none" w:pos="378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[x]</w:t>
      </w:r>
    </w:p>
    <w:p>
      <w:pPr>
        <w:spacing w:after="0" w:line="207" w:lineRule="exact"/>
        <w:rPr>
          <w:sz w:val="20"/>
          <w:szCs w:val="20"/>
          <w:color w:val="auto"/>
        </w:rPr>
      </w:pPr>
    </w:p>
    <w:p>
      <w:pPr>
        <w:ind w:left="1900" w:right="4099" w:hanging="1892"/>
        <w:spacing w:after="0" w:line="470" w:lineRule="auto"/>
        <w:tabs>
          <w:tab w:leader="none" w:pos="95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9.99%</w:t>
      </w:r>
    </w:p>
    <w:p>
      <w:pPr>
        <w:spacing w:after="0" w:line="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PN</w:t>
      </w:r>
    </w:p>
    <w:p>
      <w:pPr>
        <w:spacing w:after="0" w:line="201" w:lineRule="exact"/>
        <w:rPr>
          <w:sz w:val="20"/>
          <w:szCs w:val="20"/>
          <w:color w:val="auto"/>
        </w:rPr>
      </w:pPr>
    </w:p>
    <w:p>
      <w:pPr>
        <w:jc w:val="right"/>
        <w:ind w:right="3999"/>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36" w:right="1440" w:bottom="1440" w:gutter="0" w:footer="0" w:header="0"/>
        </w:sectPr>
      </w:pPr>
    </w:p>
    <w:bookmarkStart w:id="2" w:name="page3"/>
    <w:bookmarkEnd w:id="2"/>
    <w:p>
      <w:pPr>
        <w:ind w:right="1879" w:firstLine="1053"/>
        <w:spacing w:after="0" w:line="237" w:lineRule="auto"/>
        <w:rPr>
          <w:sz w:val="20"/>
          <w:szCs w:val="20"/>
          <w:color w:val="auto"/>
        </w:rPr>
      </w:pPr>
      <w:r>
        <w:rPr>
          <w:rFonts w:ascii="Courier New" w:cs="Courier New" w:eastAsia="Courier New" w:hAnsi="Courier New"/>
          <w:sz w:val="18"/>
          <w:szCs w:val="18"/>
          <w:color w:val="auto"/>
        </w:rPr>
        <w:t>This statement is filed pursuant to Rule 13d-2(d) with respect to the shares of common stock (the "Common Stock") of StemCells, Inc. (the "Issuer") beneficially owned by Millennium Partners, L.P. as of December 19, 2001 and amends and supplements the Schedule 13G dated September 11, 2000, as previously amended (the "Schedule 13G"), previously filed by the reporting person in connection with its beneficial ownership of shares of Common Stock. Except as set forth herein, the Schedule 13G is unmodified.</w:t>
      </w: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999" w:firstLine="1053"/>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2000" w:hanging="939"/>
        <w:spacing w:after="0"/>
        <w:tabs>
          <w:tab w:leader="none" w:pos="20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6" w:lineRule="exact"/>
        <w:rPr>
          <w:rFonts w:ascii="Courier New" w:cs="Courier New" w:eastAsia="Courier New" w:hAnsi="Courier New"/>
          <w:sz w:val="18"/>
          <w:szCs w:val="18"/>
          <w:color w:val="auto"/>
        </w:rPr>
      </w:pPr>
    </w:p>
    <w:p>
      <w:pPr>
        <w:ind w:left="200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Ownership Limitation (defined below), the reporting person owns or has the right to acquire: (i) 1,382,853 shares of Common Stock held outright; (ii) 522,725 shares of Common Stock currently issuable to the reporting person upon the exercise of warrants; and (iii) 2,012,833 shares of Common Stock currently issuable to the reporting person upon the conversion of shares of the Company's 3% Cumulative Convertible Preferred Stock (the "Preferred Stock").</w:t>
      </w:r>
    </w:p>
    <w:p>
      <w:pPr>
        <w:spacing w:after="0" w:line="213" w:lineRule="exact"/>
        <w:rPr>
          <w:rFonts w:ascii="Courier New" w:cs="Courier New" w:eastAsia="Courier New" w:hAnsi="Courier New"/>
          <w:sz w:val="18"/>
          <w:szCs w:val="18"/>
          <w:color w:val="auto"/>
        </w:rPr>
      </w:pPr>
    </w:p>
    <w:p>
      <w:pPr>
        <w:ind w:left="2000" w:right="18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Rule 13d-4 under the Securities Exchange Act of 1934, as amended, because the number of shares of Common Stock into which the reporting person's warrants and shares of Preferred Stock are exercisable or convertible, as applicable, are limited, pursuant to the terms of the warrants and certificate of designations covering the Preferred Stock, to that number of shares of Common Stock which would result in the reporting person having aggregate beneficial ownership of 9.99% of the total issued and outstanding shares of Common Stock (the "Ownership Limitation"), the reporting person disclaims beneficial ownership of any and all shares of Common Stock that would cause the reporting person's aggregate beneficial ownership to exceed the Ownership Limitation.</w:t>
      </w:r>
    </w:p>
    <w:p>
      <w:pPr>
        <w:spacing w:after="0" w:line="207" w:lineRule="exact"/>
        <w:rPr>
          <w:rFonts w:ascii="Courier New" w:cs="Courier New" w:eastAsia="Courier New" w:hAnsi="Courier New"/>
          <w:sz w:val="18"/>
          <w:szCs w:val="18"/>
          <w:color w:val="auto"/>
        </w:rPr>
      </w:pPr>
    </w:p>
    <w:p>
      <w:pPr>
        <w:ind w:left="200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Therefore, in accordance with the Ownership Limitation, the reporting person, based upon 24,215,867 shares of common stock outstanding, beneficially owns an aggregate of 2,534,183 shares of Common Stock, and disclaims beneficial ownership of 1,384,228 shares of Common Stock.</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ind w:left="2000" w:hanging="939"/>
        <w:spacing w:after="0"/>
        <w:tabs>
          <w:tab w:leader="none" w:pos="20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20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9.99%</w:t>
      </w:r>
    </w:p>
    <w:p>
      <w:pPr>
        <w:spacing w:after="0" w:line="201" w:lineRule="exact"/>
        <w:rPr>
          <w:rFonts w:ascii="Courier New" w:cs="Courier New" w:eastAsia="Courier New" w:hAnsi="Courier New"/>
          <w:sz w:val="18"/>
          <w:szCs w:val="18"/>
          <w:color w:val="auto"/>
        </w:rPr>
      </w:pPr>
    </w:p>
    <w:p>
      <w:pPr>
        <w:ind w:left="2000" w:hanging="939"/>
        <w:spacing w:after="0"/>
        <w:tabs>
          <w:tab w:leader="none" w:pos="20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440" w:hanging="430"/>
        <w:spacing w:after="0"/>
        <w:tabs>
          <w:tab w:leader="none" w:pos="24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2,534,183 shares of Common Stock.</w:t>
      </w:r>
    </w:p>
    <w:p>
      <w:pPr>
        <w:spacing w:after="0" w:line="207" w:lineRule="exact"/>
        <w:rPr>
          <w:sz w:val="20"/>
          <w:szCs w:val="20"/>
          <w:color w:val="auto"/>
        </w:rPr>
      </w:pPr>
    </w:p>
    <w:p>
      <w:pPr>
        <w:ind w:left="2540" w:right="3259" w:hanging="530"/>
        <w:spacing w:after="0" w:line="470" w:lineRule="auto"/>
        <w:tabs>
          <w:tab w:leader="none" w:pos="2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11" w:lineRule="exact"/>
        <w:rPr>
          <w:rFonts w:ascii="Courier New" w:cs="Courier New" w:eastAsia="Courier New" w:hAnsi="Courier New"/>
          <w:sz w:val="18"/>
          <w:szCs w:val="18"/>
          <w:color w:val="auto"/>
        </w:rPr>
      </w:pPr>
    </w:p>
    <w:p>
      <w:pPr>
        <w:ind w:left="2540" w:right="1999" w:hanging="530"/>
        <w:spacing w:after="0" w:line="470" w:lineRule="auto"/>
        <w:tabs>
          <w:tab w:leader="none" w:pos="264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2,534,183 shares of Common Stock.</w:t>
      </w:r>
    </w:p>
    <w:p>
      <w:pPr>
        <w:spacing w:after="0" w:line="12" w:lineRule="exact"/>
        <w:rPr>
          <w:sz w:val="20"/>
          <w:szCs w:val="20"/>
          <w:color w:val="auto"/>
        </w:rPr>
      </w:pPr>
    </w:p>
    <w:p>
      <w:pPr>
        <w:ind w:left="1900" w:right="3999" w:firstLine="4"/>
        <w:spacing w:after="0" w:line="235" w:lineRule="auto"/>
        <w:tabs>
          <w:tab w:leader="none" w:pos="24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ind w:left="640" w:right="2099" w:hanging="1158"/>
        <w:spacing w:after="0" w:line="236" w:lineRule="auto"/>
        <w:tabs>
          <w:tab w:leader="none" w:pos="620" w:val="left"/>
        </w:tabs>
        <w:rPr>
          <w:sz w:val="20"/>
          <w:szCs w:val="20"/>
          <w:color w:val="auto"/>
        </w:rPr>
      </w:pPr>
      <w:r>
        <w:rPr>
          <w:rFonts w:ascii="Courier New" w:cs="Courier New" w:eastAsia="Courier New" w:hAnsi="Courier New"/>
          <w:sz w:val="18"/>
          <w:szCs w:val="18"/>
          <w:color w:val="auto"/>
        </w:rPr>
        <w:t>Item</w:t>
        <w:tab/>
        <w:t>7. Identification and Classification of the Subsidiary Which Acquired the Security Being Reported on by the Parent Holding Company or Control Person.</w:t>
      </w:r>
    </w:p>
    <w:p>
      <w:pPr>
        <w:spacing w:after="0" w:line="209" w:lineRule="exact"/>
        <w:rPr>
          <w:sz w:val="20"/>
          <w:szCs w:val="20"/>
          <w:color w:val="auto"/>
        </w:rPr>
      </w:pPr>
    </w:p>
    <w:p>
      <w:pPr>
        <w:ind w:left="960" w:right="1879"/>
        <w:spacing w:after="0" w:line="279" w:lineRule="auto"/>
        <w:rPr>
          <w:sz w:val="20"/>
          <w:szCs w:val="20"/>
          <w:color w:val="auto"/>
        </w:rPr>
      </w:pPr>
      <w:r>
        <w:rPr>
          <w:rFonts w:ascii="Courier New" w:cs="Courier New" w:eastAsia="Courier New" w:hAnsi="Courier New"/>
          <w:sz w:val="16"/>
          <w:szCs w:val="16"/>
          <w:color w:val="auto"/>
        </w:rPr>
        <w:t>The following securities referred to in the first paragraph of Item 4(a) above are held by Riverview Group, L.L.C., a Delaware limited liability company, which is a wholly-owned subsidiary of the reporting</w:t>
      </w:r>
    </w:p>
    <w:p>
      <w:pPr>
        <w:sectPr>
          <w:pgSz w:w="11900" w:h="16838" w:orient="portrait"/>
          <w:cols w:equalWidth="0" w:num="1">
            <w:col w:w="10219"/>
          </w:cols>
          <w:pgMar w:left="240" w:top="723" w:right="1440" w:bottom="0" w:gutter="0" w:footer="0" w:header="0"/>
        </w:sectPr>
      </w:pPr>
    </w:p>
    <w:bookmarkStart w:id="3" w:name="page4"/>
    <w:bookmarkEnd w:id="3"/>
    <w:p>
      <w:pPr>
        <w:ind w:left="960" w:right="1879"/>
        <w:spacing w:after="0" w:line="236" w:lineRule="auto"/>
        <w:rPr>
          <w:sz w:val="20"/>
          <w:szCs w:val="20"/>
          <w:color w:val="auto"/>
        </w:rPr>
      </w:pPr>
      <w:r>
        <w:rPr>
          <w:rFonts w:ascii="Courier New" w:cs="Courier New" w:eastAsia="Courier New" w:hAnsi="Courier New"/>
          <w:sz w:val="18"/>
          <w:szCs w:val="18"/>
          <w:color w:val="auto"/>
        </w:rPr>
        <w:t>person: (a) 500,125 of the shares of Common Stock, (b) warrants exercisable into 350,877 shares of Common Stock, and (c) the shares of the Preferred Stock.</w:t>
      </w: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By signing below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142" w:right="1440" w:bottom="1440" w:gutter="0" w:footer="0" w:header="0"/>
        </w:sectPr>
      </w:pPr>
    </w:p>
    <w:bookmarkStart w:id="4" w:name="page5"/>
    <w:bookmarkEnd w:id="4"/>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December 19, 2001</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MILLENNIUM PARTNERS, L.P.</w:t>
      </w:r>
    </w:p>
    <w:p>
      <w:pPr>
        <w:spacing w:after="0" w:line="200" w:lineRule="exact"/>
        <w:rPr>
          <w:sz w:val="20"/>
          <w:szCs w:val="20"/>
          <w:color w:val="auto"/>
        </w:rPr>
      </w:pPr>
    </w:p>
    <w:p>
      <w:pPr>
        <w:spacing w:after="0" w:line="204" w:lineRule="exact"/>
        <w:rPr>
          <w:sz w:val="20"/>
          <w:szCs w:val="20"/>
          <w:color w:val="auto"/>
        </w:rPr>
      </w:pPr>
    </w:p>
    <w:p>
      <w:pPr>
        <w:ind w:left="2860"/>
        <w:spacing w:after="0"/>
        <w:tabs>
          <w:tab w:leader="none" w:pos="3360" w:val="left"/>
        </w:tabs>
        <w:rPr>
          <w:sz w:val="20"/>
          <w:szCs w:val="20"/>
          <w:color w:val="auto"/>
        </w:rPr>
      </w:pPr>
      <w:r>
        <w:rPr>
          <w:rFonts w:ascii="Courier New" w:cs="Courier New" w:eastAsia="Courier New" w:hAnsi="Courier New"/>
          <w:sz w:val="18"/>
          <w:szCs w:val="18"/>
          <w:color w:val="auto"/>
        </w:rPr>
        <w:t>By:</w:t>
        <w:tab/>
        <w:t>/s/ Terry Feeney</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tabs>
          <w:tab w:leader="none" w:pos="4420" w:val="left"/>
        </w:tabs>
        <w:rPr>
          <w:sz w:val="20"/>
          <w:szCs w:val="20"/>
          <w:color w:val="auto"/>
        </w:rPr>
      </w:pPr>
      <w:r>
        <w:rPr>
          <w:rFonts w:ascii="Courier New" w:cs="Courier New" w:eastAsia="Courier New" w:hAnsi="Courier New"/>
          <w:sz w:val="18"/>
          <w:szCs w:val="18"/>
          <w:color w:val="auto"/>
        </w:rPr>
        <w:t>Name:</w:t>
        <w:tab/>
        <w:t>Terry Feeney</w:t>
      </w:r>
    </w:p>
    <w:p>
      <w:pPr>
        <w:ind w:left="3700"/>
        <w:spacing w:after="0" w:line="237" w:lineRule="auto"/>
        <w:rPr>
          <w:sz w:val="20"/>
          <w:szCs w:val="20"/>
          <w:color w:val="auto"/>
        </w:rPr>
      </w:pPr>
      <w:r>
        <w:rPr>
          <w:rFonts w:ascii="Courier New" w:cs="Courier New" w:eastAsia="Courier New" w:hAnsi="Courier New"/>
          <w:sz w:val="18"/>
          <w:szCs w:val="18"/>
          <w:color w:val="auto"/>
        </w:rPr>
        <w:t>Title: Chief Operating Officer</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lvl w:ilvl="1">
      <w:lvlJc w:val="left"/>
      <w:lvlText w:val="(%2)"/>
      <w:numFmt w:val="lowerLetter"/>
      <w:start w:val="1"/>
    </w:lvl>
  </w:abstractNum>
  <w:abstractNum w:abstractNumId="3">
    <w:nsid w:val="2EB141F2"/>
    <w:multiLevelType w:val="hybridMultilevel"/>
    <w:lvl w:ilvl="0">
      <w:lvlJc w:val="left"/>
      <w:lvlText w:val="%1."/>
      <w:numFmt w:val="decimal"/>
      <w:start w:val="5"/>
    </w:lvl>
  </w:abstractNum>
  <w:abstractNum w:abstractNumId="4">
    <w:nsid w:val="41B71EFB"/>
    <w:multiLevelType w:val="hybridMultilevel"/>
    <w:lvl w:ilvl="0">
      <w:lvlJc w:val="left"/>
      <w:lvlText w:val="%1."/>
      <w:numFmt w:val="decimal"/>
      <w:start w:val="10"/>
    </w:lvl>
  </w:abstractNum>
  <w:abstractNum w:abstractNumId="5">
    <w:nsid w:val="79E2A9E3"/>
    <w:multiLevelType w:val="hybridMultilevel"/>
    <w:lvl w:ilvl="0">
      <w:lvlJc w:val="left"/>
      <w:lvlText w:val="%1."/>
      <w:numFmt w:val="decimal"/>
      <w:start w:val="11"/>
    </w:lvl>
  </w:abstractNum>
  <w:abstractNum w:abstractNumId="6">
    <w:nsid w:val="7545E146"/>
    <w:multiLevelType w:val="hybridMultilevel"/>
    <w:lvl w:ilvl="0">
      <w:lvlJc w:val="left"/>
      <w:lvlText w:val="(%1)"/>
      <w:numFmt w:val="lowerLetter"/>
      <w:start w:val="1"/>
    </w:lvl>
    <w:lvl w:ilvl="1">
      <w:lvlJc w:val="left"/>
      <w:lvlText w:val="(%2)"/>
      <w:numFmt w:val="lowerLetter"/>
      <w:start w:val="9"/>
    </w:lvl>
  </w:abstractNum>
  <w:abstractNum w:abstractNumId="7">
    <w:nsid w:val="515F007C"/>
    <w:multiLevelType w:val="hybridMultilevel"/>
    <w:lvl w:ilvl="0">
      <w:lvlJc w:val="left"/>
      <w:lvlText w:val="(%1)"/>
      <w:numFmt w:val="lowerRoman"/>
      <w:start w:val="2"/>
    </w:lvl>
  </w:abstractNum>
  <w:abstractNum w:abstractNumId="8">
    <w:nsid w:val="5BD062C2"/>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2019-12-13T21:47:56Z</dcterms:created>
  <dcterms:modified xsi:type="dcterms:W3CDTF">2019-12-13T21:47:56Z</dcterms:modified>
</cp:coreProperties>
</file>