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Young Rodney KB</w:t>
              </w:r>
            </w:hyperlink>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Borders>
              <w:bottom w:val="single" w:sz="8" w:color="0000EE"/>
            </w:tcBorders>
            <w:gridSpan w:val="4"/>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tcPr>
          <w:p>
            <w:pPr>
              <w:spacing w:after="0"/>
              <w:rPr>
                <w:sz w:val="4"/>
                <w:szCs w:val="4"/>
                <w:color w:val="auto"/>
              </w:rPr>
            </w:pPr>
          </w:p>
        </w:tc>
        <w:tc>
          <w:tcPr>
            <w:tcW w:w="8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continue"/>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20" w:type="dxa"/>
            <w:vAlign w:val="bottom"/>
            <w:gridSpan w:val="7"/>
            <w:vMerge w:val="continue"/>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gridSpan w:val="2"/>
            <w:vMerge w:val="restart"/>
          </w:tcPr>
          <w:p>
            <w:pPr>
              <w:ind w:left="720"/>
              <w:spacing w:after="0"/>
              <w:rPr>
                <w:sz w:val="20"/>
                <w:szCs w:val="20"/>
                <w:color w:val="auto"/>
              </w:rPr>
            </w:pPr>
            <w:r>
              <w:rPr>
                <w:rFonts w:ascii="Arial" w:cs="Arial" w:eastAsia="Arial" w:hAnsi="Arial"/>
                <w:sz w:val="18"/>
                <w:szCs w:val="18"/>
                <w:color w:val="0000FF"/>
              </w:rPr>
              <w:t>CFO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7"/>
              </w:rPr>
              <w:t>STEMCELLS, INC.</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06/01/2011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198" w:lineRule="exact"/>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8"/>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20"/>
              <w:spacing w:after="0"/>
              <w:rPr>
                <w:sz w:val="20"/>
                <w:szCs w:val="20"/>
                <w:color w:val="auto"/>
              </w:rPr>
            </w:pPr>
            <w:r>
              <w:rPr>
                <w:rFonts w:ascii="Arial" w:cs="Arial" w:eastAsia="Arial" w:hAnsi="Arial"/>
                <w:sz w:val="18"/>
                <w:szCs w:val="18"/>
                <w:color w:val="0000FF"/>
              </w:rPr>
              <w:t>06/01/2011</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20,000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0.6579</w:t>
            </w:r>
          </w:p>
        </w:tc>
        <w:tc>
          <w:tcPr>
            <w:tcW w:w="1240" w:type="dxa"/>
            <w:vAlign w:val="bottom"/>
            <w:tcBorders>
              <w:bottom w:val="single" w:sz="8" w:color="2C2C2C"/>
            </w:tcBorders>
            <w:gridSpan w:val="2"/>
          </w:tcPr>
          <w:p>
            <w:pPr>
              <w:jc w:val="center"/>
              <w:ind w:right="214"/>
              <w:spacing w:after="0"/>
              <w:rPr>
                <w:sz w:val="20"/>
                <w:szCs w:val="20"/>
                <w:color w:val="auto"/>
              </w:rPr>
            </w:pPr>
            <w:r>
              <w:rPr>
                <w:rFonts w:ascii="Arial" w:cs="Arial" w:eastAsia="Arial" w:hAnsi="Arial"/>
                <w:sz w:val="18"/>
                <w:szCs w:val="18"/>
                <w:color w:val="0000FF"/>
              </w:rPr>
              <w:t>407,533</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8"/>
                <w:szCs w:val="18"/>
                <w:color w:val="0000FF"/>
                <w:w w:val="87"/>
              </w:rPr>
              <w:t>13,027</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00" w:type="dxa"/>
            <w:vAlign w:val="bottom"/>
            <w:gridSpan w:val="15"/>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Arial" w:cs="Arial" w:eastAsia="Arial" w:hAnsi="Arial"/>
          <w:sz w:val="12"/>
          <w:szCs w:val="12"/>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 150,000 restricted stock units, with 50,000 vesting on each of June 1, 2012, June 1, 2013, and June 1, 2014 and (2) 113,334 restricted stock units, with 56,667 of this grant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06/03/2011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78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2019-12-18T02:06:57Z</dcterms:created>
  <dcterms:modified xsi:type="dcterms:W3CDTF">2019-12-18T02:06:57Z</dcterms:modified>
</cp:coreProperties>
</file>