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225" w:lineRule="exact"/>
        <w:rPr>
          <w:sz w:val="24"/>
          <w:szCs w:val="24"/>
          <w:color w:val="auto"/>
        </w:rPr>
      </w:pPr>
    </w:p>
    <w:p>
      <w:pPr>
        <w:ind w:left="3920" w:right="1700" w:hanging="3912"/>
        <w:spacing w:after="0" w:line="500" w:lineRule="auto"/>
        <w:tabs>
          <w:tab w:leader="none" w:pos="33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 to 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000-19871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(Name of Registrant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8"/>
          <w:szCs w:val="18"/>
          <w:b w:val="1"/>
          <w:bCs w:val="1"/>
          <w:i w:val="1"/>
          <w:iCs w:val="1"/>
          <w:color w:val="auto"/>
        </w:rPr>
        <w:t>State or Other Jurisdiction of</w:t>
      </w:r>
    </w:p>
    <w:p>
      <w:pPr>
        <w:spacing w:after="0" w:line="9"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7"/>
          <w:szCs w:val="17"/>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94-3078125</w:t>
      </w:r>
    </w:p>
    <w:p>
      <w:pPr>
        <w:spacing w:after="0" w:line="31"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i w:val="1"/>
          <w:iCs w:val="1"/>
          <w:color w:val="auto"/>
        </w:rPr>
        <w:t>(I.R.S. Employer</w:t>
      </w:r>
    </w:p>
    <w:p>
      <w:pPr>
        <w:spacing w:after="0" w:line="9"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7"/>
          <w:szCs w:val="17"/>
          <w:b w:val="1"/>
          <w:bCs w:val="1"/>
          <w:i w:val="1"/>
          <w:iCs w:val="1"/>
          <w:color w:val="auto"/>
        </w:rPr>
        <w:t>Identification No.)</w:t>
      </w:r>
    </w:p>
    <w:p>
      <w:pPr>
        <w:spacing w:after="0" w:line="200" w:lineRule="exact"/>
        <w:rPr>
          <w:sz w:val="24"/>
          <w:szCs w:val="24"/>
          <w:color w:val="auto"/>
        </w:rPr>
      </w:pPr>
    </w:p>
    <w:p>
      <w:pPr>
        <w:sectPr>
          <w:pgSz w:w="11900" w:h="16838" w:orient="portrait"/>
          <w:cols w:equalWidth="0" w:num="2">
            <w:col w:w="7080" w:space="720"/>
            <w:col w:w="34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288 Grove Street, Suite 388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Braintree, MA 02184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(Address of principal executive offices)</w:t>
      </w:r>
    </w:p>
    <w:p>
      <w:pPr>
        <w:sectPr>
          <w:pgSz w:w="11900" w:h="16838" w:orient="portrait"/>
          <w:cols w:equalWidth="0" w:num="1">
            <w:col w:w="11240"/>
          </w:cols>
          <w:pgMar w:left="320" w:top="740" w:right="339" w:bottom="1440" w:gutter="0" w:footer="0" w:header="0"/>
          <w:type w:val="continuous"/>
        </w:sect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(Registrant’s Telephone Number, Including Area Code)</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(Former name, former address and former fiscal year, if changed since last report)</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52"/>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240" w:space="720"/>
            <w:col w:w="7280"/>
          </w:cols>
          <w:pgMar w:left="320" w:top="740" w:right="339" w:bottom="1440"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3">
            <w:col w:w="3240" w:space="720"/>
            <w:col w:w="3200" w:space="720"/>
            <w:col w:w="3360"/>
          </w:cols>
          <w:pgMar w:left="320" w:top="740" w:right="339" w:bottom="1440" w:gutter="0" w:footer="0" w:header="0"/>
          <w:type w:val="continuous"/>
        </w:sectPr>
      </w:pPr>
    </w:p>
    <w:p>
      <w:pPr>
        <w:spacing w:after="0" w:line="77"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16,504,433 shares of Common Stock, $0.01 par value at August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40" w:type="dxa"/>
            <w:vAlign w:val="bottom"/>
            <w:gridSpan w:val="8"/>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9"/>
              </w:rPr>
              <w:t>MICROBOT MEDICAL INC. AND SUBSIDIARY</w:t>
            </w:r>
          </w:p>
        </w:tc>
        <w:tc>
          <w:tcPr>
            <w:tcW w:w="660" w:type="dxa"/>
            <w:vAlign w:val="bottom"/>
          </w:tcPr>
          <w:p>
            <w:pPr>
              <w:spacing w:after="0"/>
              <w:rPr>
                <w:sz w:val="20"/>
                <w:szCs w:val="20"/>
                <w:color w:val="auto"/>
              </w:rPr>
            </w:pPr>
          </w:p>
        </w:tc>
      </w:tr>
      <w:tr>
        <w:trPr>
          <w:trHeight w:val="432"/>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gridSpan w:val="5"/>
          </w:tcPr>
          <w:p>
            <w:pPr>
              <w:jc w:val="center"/>
              <w:ind w:right="4320"/>
              <w:spacing w:after="0"/>
              <w:rPr>
                <w:sz w:val="20"/>
                <w:szCs w:val="20"/>
                <w:color w:val="auto"/>
              </w:rPr>
            </w:pPr>
            <w:r>
              <w:rPr>
                <w:rFonts w:ascii="Times New Roman" w:cs="Times New Roman" w:eastAsia="Times New Roman" w:hAnsi="Times New Roman"/>
                <w:sz w:val="18"/>
                <w:szCs w:val="18"/>
                <w:color w:val="auto"/>
                <w:w w:val="97"/>
              </w:rPr>
              <w:t>Index</w:t>
            </w:r>
          </w:p>
        </w:tc>
        <w:tc>
          <w:tcPr>
            <w:tcW w:w="66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1058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660" w:type="dxa"/>
            <w:vAlign w:val="bottom"/>
            <w:shd w:val="clear" w:color="auto" w:fill="CCEEFF"/>
          </w:tcPr>
          <w:p>
            <w:pPr>
              <w:spacing w:after="0"/>
              <w:rPr>
                <w:sz w:val="18"/>
                <w:szCs w:val="18"/>
                <w:color w:val="auto"/>
              </w:rPr>
            </w:pPr>
          </w:p>
        </w:tc>
      </w:tr>
      <w:tr>
        <w:trPr>
          <w:trHeight w:val="216"/>
        </w:trPr>
        <w:tc>
          <w:tcPr>
            <w:tcW w:w="105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Item 1 - Financial Statements</w:t>
            </w:r>
          </w:p>
        </w:tc>
        <w:tc>
          <w:tcPr>
            <w:tcW w:w="660" w:type="dxa"/>
            <w:vAlign w:val="bottom"/>
          </w:tcPr>
          <w:p>
            <w:pPr>
              <w:spacing w:after="0"/>
              <w:rPr>
                <w:sz w:val="18"/>
                <w:szCs w:val="18"/>
                <w:color w:val="auto"/>
              </w:rPr>
            </w:pPr>
          </w:p>
        </w:tc>
      </w:tr>
      <w:tr>
        <w:trPr>
          <w:trHeight w:val="196"/>
        </w:trPr>
        <w:tc>
          <w:tcPr>
            <w:tcW w:w="838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Interim Condensed Consolidated Balance Sheets as of June 30, 2024 (Unaudited) and December 31, 2023 (Audited)</w:t>
            </w:r>
          </w:p>
        </w:tc>
        <w:tc>
          <w:tcPr>
            <w:tcW w:w="2200" w:type="dxa"/>
            <w:vAlign w:val="bottom"/>
            <w:tcBorders>
              <w:bottom w:val="single" w:sz="8" w:color="CCEEFF"/>
            </w:tcBorders>
            <w:gridSpan w:val="3"/>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color w:val="0000EE"/>
              </w:rPr>
              <w:t>nterim Condensed Consolidated Statements of Comprehensive Loss for the Three and Six Months Ended June 30, 2024 and 2023 (Unaudited)</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60" w:type="dxa"/>
            <w:vAlign w:val="bottom"/>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5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Statements of Shareholders’ Equity for the Three and Six Months Ended June 30, 2024 and 2023 (Unaudited)</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6"/>
        </w:trPr>
        <w:tc>
          <w:tcPr>
            <w:tcW w:w="1032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Statements of Cash Flows for the Six Months Ended June 30, 2024 and 2023 (Unaudited)</w:t>
            </w:r>
          </w:p>
        </w:tc>
        <w:tc>
          <w:tcPr>
            <w:tcW w:w="26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458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Interim Condensed Consolidated Financial Statements</w:t>
            </w:r>
          </w:p>
        </w:tc>
        <w:tc>
          <w:tcPr>
            <w:tcW w:w="6000" w:type="dxa"/>
            <w:vAlign w:val="bottom"/>
            <w:tcBorders>
              <w:bottom w:val="single" w:sz="8" w:color="CCEEFF"/>
            </w:tcBorders>
            <w:gridSpan w:val="7"/>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175"/>
        </w:trPr>
        <w:tc>
          <w:tcPr>
            <w:tcW w:w="10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Item 2 - Management’s Discussion and Analysis of Financial Condition and Results of Operations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
        </w:trPr>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49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3 - Quantitative and Qualitative Disclosures About Market Risk</w:t>
            </w:r>
          </w:p>
        </w:tc>
        <w:tc>
          <w:tcPr>
            <w:tcW w:w="5600" w:type="dxa"/>
            <w:vAlign w:val="bottom"/>
            <w:tcBorders>
              <w:bottom w:val="single" w:sz="8" w:color="CCEEFF"/>
            </w:tcBorders>
            <w:gridSpan w:val="5"/>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6"/>
        </w:trPr>
        <w:tc>
          <w:tcPr>
            <w:tcW w:w="10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Item 4 - Controls and Procedures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0"/>
        </w:trPr>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5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660" w:type="dxa"/>
            <w:vAlign w:val="bottom"/>
            <w:shd w:val="clear" w:color="auto" w:fill="CCEEFF"/>
          </w:tcPr>
          <w:p>
            <w:pPr>
              <w:spacing w:after="0"/>
              <w:rPr>
                <w:sz w:val="17"/>
                <w:szCs w:val="17"/>
                <w:color w:val="auto"/>
              </w:rPr>
            </w:pPr>
          </w:p>
        </w:tc>
      </w:tr>
      <w:tr>
        <w:trPr>
          <w:trHeight w:val="176"/>
        </w:trPr>
        <w:tc>
          <w:tcPr>
            <w:tcW w:w="21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Item 1 - Legal Proceedings</w:t>
            </w:r>
          </w:p>
        </w:tc>
        <w:tc>
          <w:tcPr>
            <w:tcW w:w="8460" w:type="dxa"/>
            <w:vAlign w:val="bottom"/>
            <w:tcBorders>
              <w:top w:val="single" w:sz="8" w:color="CCEEFF"/>
            </w:tcBorders>
            <w:gridSpan w:val="10"/>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6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1A - Risk Factors</w:t>
            </w:r>
          </w:p>
        </w:tc>
        <w:tc>
          <w:tcPr>
            <w:tcW w:w="8920" w:type="dxa"/>
            <w:vAlign w:val="bottom"/>
            <w:tcBorders>
              <w:bottom w:val="single" w:sz="8" w:color="CCEEFF"/>
            </w:tcBorders>
            <w:gridSpan w:val="13"/>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5"/>
        </w:trPr>
        <w:tc>
          <w:tcPr>
            <w:tcW w:w="10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Item 2 - Unregistered Sales of Equity Securities and Use of Proceeds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05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 Defaults Upon Senior Securities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6"/>
        </w:trPr>
        <w:tc>
          <w:tcPr>
            <w:tcW w:w="294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Item 4 - Mine Safety Disclosures</w:t>
            </w:r>
          </w:p>
        </w:tc>
        <w:tc>
          <w:tcPr>
            <w:tcW w:w="7640" w:type="dxa"/>
            <w:vAlign w:val="bottom"/>
            <w:tcBorders>
              <w:top w:val="single" w:sz="8" w:color="CCEEFF"/>
            </w:tcBorders>
            <w:gridSpan w:val="8"/>
          </w:tcPr>
          <w:p>
            <w:pPr>
              <w:spacing w:after="0"/>
              <w:rPr>
                <w:sz w:val="15"/>
                <w:szCs w:val="15"/>
                <w:color w:val="auto"/>
              </w:rPr>
            </w:pPr>
          </w:p>
        </w:tc>
        <w:tc>
          <w:tcPr>
            <w:tcW w:w="6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0"/>
        </w:trPr>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5 - Other Information</w:t>
            </w:r>
          </w:p>
        </w:tc>
        <w:tc>
          <w:tcPr>
            <w:tcW w:w="8640" w:type="dxa"/>
            <w:vAlign w:val="bottom"/>
            <w:tcBorders>
              <w:bottom w:val="single" w:sz="8" w:color="CCEEFF"/>
            </w:tcBorders>
            <w:gridSpan w:val="12"/>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5"/>
        </w:trPr>
        <w:tc>
          <w:tcPr>
            <w:tcW w:w="105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Item 6 - Exhibits</w:t>
            </w:r>
          </w:p>
        </w:tc>
        <w:tc>
          <w:tcPr>
            <w:tcW w:w="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
        </w:trPr>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75"/>
        </w:trPr>
        <w:tc>
          <w:tcPr>
            <w:tcW w:w="105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6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gridSpan w:val="3"/>
          </w:tcPr>
          <w:p>
            <w:pPr>
              <w:ind w:left="432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4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4740" w:type="dxa"/>
            <w:vAlign w:val="bottom"/>
          </w:tcPr>
          <w:p>
            <w:pPr>
              <w:spacing w:after="0"/>
              <w:rPr>
                <w:sz w:val="21"/>
                <w:szCs w:val="21"/>
                <w:color w:val="auto"/>
              </w:rPr>
            </w:pPr>
          </w:p>
        </w:tc>
        <w:tc>
          <w:tcPr>
            <w:tcW w:w="222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6"/>
        </w:trPr>
        <w:tc>
          <w:tcPr>
            <w:tcW w:w="4740" w:type="dxa"/>
            <w:vAlign w:val="bottom"/>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Audited</w:t>
            </w:r>
          </w:p>
        </w:tc>
        <w:tc>
          <w:tcPr>
            <w:tcW w:w="100" w:type="dxa"/>
            <w:vAlign w:val="bottom"/>
            <w:gridSpan w:val="2"/>
          </w:tcPr>
          <w:p>
            <w:pPr>
              <w:spacing w:after="0"/>
              <w:rPr>
                <w:sz w:val="18"/>
                <w:szCs w:val="18"/>
                <w:color w:val="auto"/>
              </w:rPr>
            </w:pPr>
          </w:p>
        </w:tc>
      </w:tr>
      <w:tr>
        <w:trPr>
          <w:trHeight w:val="216"/>
        </w:trPr>
        <w:tc>
          <w:tcPr>
            <w:tcW w:w="4740" w:type="dxa"/>
            <w:vAlign w:val="bottom"/>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ASSETS</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2,468</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3,917</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r>
      <w:tr>
        <w:trPr>
          <w:trHeight w:val="198"/>
        </w:trPr>
        <w:tc>
          <w:tcPr>
            <w:tcW w:w="4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Insurance recovery receivable related to legal settlement</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legal expenses</w:t>
            </w: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3G</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tcPr>
          <w:p>
            <w:pPr>
              <w:spacing w:after="0"/>
              <w:rPr>
                <w:sz w:val="20"/>
                <w:szCs w:val="20"/>
                <w:color w:val="auto"/>
              </w:rPr>
            </w:pPr>
          </w:p>
        </w:tc>
      </w:tr>
      <w:tr>
        <w:trPr>
          <w:trHeight w:val="25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628</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03"/>
        </w:trPr>
        <w:tc>
          <w:tcPr>
            <w:tcW w:w="47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0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7,138</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7,921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7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4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57"/>
        </w:trPr>
        <w:tc>
          <w:tcPr>
            <w:tcW w:w="4740" w:type="dxa"/>
            <w:vAlign w:val="bottom"/>
            <w:tcBorders>
              <w:top w:val="single" w:sz="8" w:color="CCEEFF"/>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6"/>
        </w:trPr>
        <w:tc>
          <w:tcPr>
            <w:tcW w:w="47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settlement accrual</w:t>
            </w: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3G</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2,211</w:t>
            </w:r>
          </w:p>
        </w:tc>
      </w:tr>
      <w:tr>
        <w:trPr>
          <w:trHeight w:val="25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21"/>
                <w:szCs w:val="21"/>
                <w:color w:val="auto"/>
              </w:rPr>
            </w:pPr>
          </w:p>
        </w:tc>
      </w:tr>
      <w:tr>
        <w:trPr>
          <w:trHeight w:val="203"/>
        </w:trPr>
        <w:tc>
          <w:tcPr>
            <w:tcW w:w="47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0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1,341</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3,786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7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1"/>
                <w:szCs w:val="21"/>
                <w:color w:val="auto"/>
              </w:rPr>
            </w:pPr>
          </w:p>
        </w:tc>
      </w:tr>
      <w:tr>
        <w:trPr>
          <w:trHeight w:val="210"/>
        </w:trPr>
        <w:tc>
          <w:tcPr>
            <w:tcW w:w="474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20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1,379</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3,826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47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4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w:t>
            </w:r>
          </w:p>
        </w:tc>
        <w:tc>
          <w:tcPr>
            <w:tcW w:w="2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authorized as of June 30, 2024 and December 31, 2023;</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15,965,633 and 11,707,317 shares issued and outstanding</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 of June 30, 2024 and December 31, 2023, respectively.</w:t>
            </w: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90,231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83,884</w:t>
            </w:r>
          </w:p>
        </w:tc>
      </w:tr>
      <w:tr>
        <w:trPr>
          <w:trHeight w:val="237"/>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(84,337)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(79,501)</w:t>
            </w:r>
          </w:p>
        </w:tc>
      </w:tr>
      <w:tr>
        <w:trPr>
          <w:trHeight w:val="236"/>
        </w:trPr>
        <w:tc>
          <w:tcPr>
            <w:tcW w:w="4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Interim Condensed Consolidated Statements of Comprehensive Loss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ectPr>
          <w:pgSz w:w="11900" w:h="16838" w:orient="portrait"/>
          <w:cols w:equalWidth="0" w:num="1">
            <w:col w:w="11240"/>
          </w:cols>
          <w:pgMar w:left="320" w:top="684" w:right="339" w:bottom="1440" w:gutter="0" w:footer="0" w:header="0"/>
        </w:sectPr>
      </w:pPr>
    </w:p>
    <w:p>
      <w:pPr>
        <w:spacing w:after="0" w:line="203"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p>
      <w:pPr>
        <w:spacing w:after="0" w:line="43"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5715</wp:posOffset>
            </wp:positionV>
            <wp:extent cx="20916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91690" cy="17145"/>
                    </a:xfrm>
                    <a:prstGeom prst="rect">
                      <a:avLst/>
                    </a:prstGeom>
                    <a:noFill/>
                  </pic:spPr>
                </pic:pic>
              </a:graphicData>
            </a:graphic>
          </wp:anchor>
        </w:drawing>
      </w:r>
    </w:p>
    <w:p>
      <w:pPr>
        <w:spacing w:after="0" w:line="7" w:lineRule="exact"/>
        <w:rPr>
          <w:sz w:val="20"/>
          <w:szCs w:val="20"/>
          <w:color w:val="auto"/>
        </w:rPr>
      </w:pPr>
    </w:p>
    <w:p>
      <w:pPr>
        <w:ind w:left="4840"/>
        <w:spacing w:after="0"/>
        <w:tabs>
          <w:tab w:leader="none" w:pos="664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5715</wp:posOffset>
            </wp:positionV>
            <wp:extent cx="20402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40255" cy="17145"/>
                    </a:xfrm>
                    <a:prstGeom prst="rect">
                      <a:avLst/>
                    </a:prstGeom>
                    <a:noFill/>
                  </pic:spPr>
                </pic:pic>
              </a:graphicData>
            </a:graphic>
          </wp:anchor>
        </w:drawing>
      </w:r>
    </w:p>
    <w:p>
      <w:pPr>
        <w:spacing w:after="0" w:line="7"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31" w:lineRule="exact"/>
        <w:rPr>
          <w:sz w:val="20"/>
          <w:szCs w:val="20"/>
          <w:color w:val="auto"/>
        </w:rPr>
      </w:pPr>
    </w:p>
    <w:p>
      <w:pPr>
        <w:sectPr>
          <w:pgSz w:w="11900" w:h="16838" w:orient="portrait"/>
          <w:cols w:equalWidth="0" w:num="2">
            <w:col w:w="7740" w:space="720"/>
            <w:col w:w="2780"/>
          </w:cols>
          <w:pgMar w:left="320" w:top="684"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Unaudited</w:t>
            </w:r>
          </w:p>
        </w:tc>
        <w:tc>
          <w:tcPr>
            <w:tcW w:w="10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Unaudited</w:t>
            </w: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6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(1,417)</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(1,365)</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(2,586)</w:t>
            </w:r>
          </w:p>
        </w:tc>
        <w:tc>
          <w:tcPr>
            <w:tcW w:w="6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r>
      <w:tr>
        <w:trPr>
          <w:trHeight w:val="23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net</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(1,094)</w:t>
            </w:r>
          </w:p>
        </w:tc>
        <w:tc>
          <w:tcPr>
            <w:tcW w:w="480" w:type="dxa"/>
            <w:vAlign w:val="bottom"/>
          </w:tcPr>
          <w:p>
            <w:pPr>
              <w:spacing w:after="0"/>
              <w:rPr>
                <w:sz w:val="20"/>
                <w:szCs w:val="20"/>
                <w:color w:val="auto"/>
              </w:rPr>
            </w:pP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(959)</w:t>
            </w:r>
          </w:p>
        </w:tc>
        <w:tc>
          <w:tcPr>
            <w:tcW w:w="360" w:type="dxa"/>
            <w:vAlign w:val="bottom"/>
          </w:tcPr>
          <w:p>
            <w:pPr>
              <w:spacing w:after="0"/>
              <w:rPr>
                <w:sz w:val="20"/>
                <w:szCs w:val="20"/>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(2,309)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(2,261)</w:t>
            </w:r>
          </w:p>
        </w:tc>
      </w:tr>
      <w:tr>
        <w:trPr>
          <w:trHeight w:val="216"/>
        </w:trPr>
        <w:tc>
          <w:tcPr>
            <w:tcW w:w="40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income, net</w:t>
            </w: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46</w:t>
            </w:r>
          </w:p>
        </w:tc>
        <w:tc>
          <w:tcPr>
            <w:tcW w:w="4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103</w:t>
            </w:r>
          </w:p>
        </w:tc>
      </w:tr>
      <w:tr>
        <w:trPr>
          <w:trHeight w:val="257"/>
        </w:trPr>
        <w:tc>
          <w:tcPr>
            <w:tcW w:w="40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CCEEFF"/>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4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(0.17)</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(0.25)</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(0.33)</w:t>
            </w:r>
          </w:p>
        </w:tc>
        <w:tc>
          <w:tcPr>
            <w:tcW w:w="6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151"/>
        </w:trPr>
        <w:tc>
          <w:tcPr>
            <w:tcW w:w="402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Basic and diluted weighted average common shares</w:t>
            </w:r>
          </w:p>
        </w:tc>
        <w:tc>
          <w:tcPr>
            <w:tcW w:w="26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261"/>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14,846,584</w:t>
            </w:r>
          </w:p>
        </w:tc>
        <w:tc>
          <w:tcPr>
            <w:tcW w:w="4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9,198,806</w:t>
            </w:r>
          </w:p>
        </w:tc>
        <w:tc>
          <w:tcPr>
            <w:tcW w:w="3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14,451,279</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8,609,325</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(Except share and per share data)</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9"/>
        </w:trPr>
        <w:tc>
          <w:tcPr>
            <w:tcW w:w="4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60" w:type="dxa"/>
            <w:vAlign w:val="bottom"/>
            <w:gridSpan w:val="9"/>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2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41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80" w:type="dxa"/>
            <w:vAlign w:val="bottom"/>
          </w:tcPr>
          <w:p>
            <w:pPr>
              <w:spacing w:after="0"/>
              <w:rPr>
                <w:sz w:val="20"/>
                <w:szCs w:val="20"/>
                <w:color w:val="auto"/>
              </w:rPr>
            </w:pPr>
          </w:p>
        </w:tc>
        <w:tc>
          <w:tcPr>
            <w:tcW w:w="12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00" w:type="dxa"/>
            <w:vAlign w:val="bottom"/>
          </w:tcPr>
          <w:p>
            <w:pPr>
              <w:spacing w:after="0"/>
              <w:rPr>
                <w:sz w:val="20"/>
                <w:szCs w:val="20"/>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4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 (Audited)</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7,890,628</w:t>
            </w:r>
          </w:p>
        </w:tc>
        <w:tc>
          <w:tcPr>
            <w:tcW w:w="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75,970</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(68,761)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7,289</w:t>
            </w:r>
          </w:p>
        </w:tc>
        <w:tc>
          <w:tcPr>
            <w:tcW w:w="80" w:type="dxa"/>
            <w:vAlign w:val="bottom"/>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412</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412</w:t>
            </w:r>
          </w:p>
        </w:tc>
      </w:tr>
      <w:tr>
        <w:trPr>
          <w:trHeight w:val="198"/>
        </w:trPr>
        <w:tc>
          <w:tcPr>
            <w:tcW w:w="41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3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(2,853)</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(2,853)</w:t>
            </w:r>
          </w:p>
        </w:tc>
      </w:tr>
      <w:tr>
        <w:trPr>
          <w:trHeight w:val="236"/>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2023 (Unaudited)</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8,130,628</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76,379</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16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Share-based compensation</w:t>
            </w:r>
          </w:p>
        </w:tc>
        <w:tc>
          <w:tcPr>
            <w:tcW w:w="11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349</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41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3,576,689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6,523</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6,558</w:t>
            </w:r>
          </w:p>
        </w:tc>
        <w:tc>
          <w:tcPr>
            <w:tcW w:w="80" w:type="dxa"/>
            <w:vAlign w:val="bottom"/>
            <w:shd w:val="clear" w:color="auto" w:fill="CCEEFF"/>
          </w:tcPr>
          <w:p>
            <w:pPr>
              <w:spacing w:after="0"/>
              <w:rPr>
                <w:sz w:val="20"/>
                <w:szCs w:val="20"/>
                <w:color w:val="auto"/>
              </w:rPr>
            </w:pPr>
          </w:p>
        </w:tc>
      </w:tr>
      <w:tr>
        <w:trPr>
          <w:trHeight w:val="23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(2,287)</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(2,287)</w:t>
            </w:r>
          </w:p>
        </w:tc>
      </w:tr>
      <w:tr>
        <w:trPr>
          <w:trHeight w:val="230"/>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2023 (Unaudited)</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11,707,317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gridSpan w:val="2"/>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0"/>
        </w:trPr>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9"/>
        </w:trPr>
        <w:tc>
          <w:tcPr>
            <w:tcW w:w="4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60" w:type="dxa"/>
            <w:vAlign w:val="bottom"/>
            <w:gridSpan w:val="9"/>
          </w:tcPr>
          <w:p>
            <w:pPr>
              <w:ind w:left="7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2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4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0"/>
                <w:szCs w:val="20"/>
                <w:color w:val="auto"/>
              </w:rPr>
            </w:pPr>
          </w:p>
        </w:tc>
        <w:tc>
          <w:tcPr>
            <w:tcW w:w="124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00" w:type="dxa"/>
            <w:vAlign w:val="bottom"/>
          </w:tcPr>
          <w:p>
            <w:pPr>
              <w:spacing w:after="0"/>
              <w:rPr>
                <w:sz w:val="20"/>
                <w:szCs w:val="20"/>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 (Audited)</w:t>
            </w:r>
          </w:p>
        </w:tc>
        <w:tc>
          <w:tcPr>
            <w:tcW w:w="12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11,707,317</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83,884</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(79,501)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4,501</w:t>
            </w:r>
          </w:p>
        </w:tc>
        <w:tc>
          <w:tcPr>
            <w:tcW w:w="80" w:type="dxa"/>
            <w:vAlign w:val="bottom"/>
            <w:shd w:val="clear" w:color="auto" w:fill="CCEEFF"/>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529</w:t>
            </w:r>
          </w:p>
        </w:tc>
        <w:tc>
          <w:tcPr>
            <w:tcW w:w="18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r>
      <w:tr>
        <w:trPr>
          <w:trHeight w:val="198"/>
        </w:trPr>
        <w:tc>
          <w:tcPr>
            <w:tcW w:w="41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2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1,685,682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2,380</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2,397</w:t>
            </w:r>
          </w:p>
        </w:tc>
        <w:tc>
          <w:tcPr>
            <w:tcW w:w="80" w:type="dxa"/>
            <w:vAlign w:val="bottom"/>
            <w:shd w:val="clear" w:color="auto" w:fill="CCEEFF"/>
          </w:tcPr>
          <w:p>
            <w:pPr>
              <w:spacing w:after="0"/>
              <w:rPr>
                <w:sz w:val="20"/>
                <w:szCs w:val="20"/>
                <w:color w:val="auto"/>
              </w:rPr>
            </w:pPr>
          </w:p>
        </w:tc>
      </w:tr>
      <w:tr>
        <w:trPr>
          <w:trHeight w:val="198"/>
        </w:trPr>
        <w:tc>
          <w:tcPr>
            <w:tcW w:w="41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relating to settlement</w:t>
            </w: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 (**)</w:t>
            </w:r>
          </w:p>
        </w:tc>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1,005,965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r>
      <w:tr>
        <w:trPr>
          <w:trHeight w:val="25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(2,371)</w:t>
            </w:r>
          </w:p>
        </w:tc>
      </w:tr>
      <w:tr>
        <w:trPr>
          <w:trHeight w:val="210"/>
        </w:trPr>
        <w:tc>
          <w:tcPr>
            <w:tcW w:w="41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Balances, March 31, 2024 (Unaudited)</w:t>
            </w:r>
          </w:p>
        </w:tc>
        <w:tc>
          <w:tcPr>
            <w:tcW w:w="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14,398,964</w:t>
            </w:r>
          </w:p>
        </w:tc>
        <w:tc>
          <w:tcPr>
            <w:tcW w:w="1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w:t>
            </w:r>
          </w:p>
        </w:tc>
        <w:tc>
          <w:tcPr>
            <w:tcW w:w="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87,894</w:t>
            </w:r>
          </w:p>
        </w:tc>
        <w:tc>
          <w:tcPr>
            <w:tcW w:w="3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(81,872</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6,167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43"/>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gridSpan w:val="2"/>
            <w:shd w:val="clear" w:color="auto" w:fill="CCEEFF"/>
          </w:tcPr>
          <w:p>
            <w:pPr>
              <w:spacing w:after="0"/>
              <w:rPr>
                <w:sz w:val="21"/>
                <w:szCs w:val="21"/>
                <w:color w:val="auto"/>
              </w:rPr>
            </w:pPr>
          </w:p>
        </w:tc>
      </w:tr>
      <w:tr>
        <w:trPr>
          <w:trHeight w:val="198"/>
        </w:trPr>
        <w:tc>
          <w:tcPr>
            <w:tcW w:w="41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warrants net of</w:t>
            </w: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w:t>
            </w:r>
          </w:p>
        </w:tc>
        <w:tc>
          <w:tcPr>
            <w:tcW w:w="12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1,566,669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2,006</w:t>
            </w:r>
          </w:p>
        </w:tc>
        <w:tc>
          <w:tcPr>
            <w:tcW w:w="18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r>
      <w:tr>
        <w:trPr>
          <w:trHeight w:val="249"/>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(2,465)</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(2,465)</w:t>
            </w:r>
          </w:p>
        </w:tc>
      </w:tr>
      <w:tr>
        <w:trPr>
          <w:trHeight w:val="217"/>
        </w:trPr>
        <w:tc>
          <w:tcPr>
            <w:tcW w:w="4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Balances, June 30, 2024 (Unaudited)</w:t>
            </w:r>
          </w:p>
        </w:tc>
        <w:tc>
          <w:tcPr>
            <w:tcW w:w="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15,965,633</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90,231</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(84,337</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approximately $333. See Note 4A.</w:t>
      </w:r>
    </w:p>
    <w:p>
      <w:pPr>
        <w:spacing w:after="0" w:line="27"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3G.</w:t>
      </w:r>
    </w:p>
    <w:p>
      <w:pPr>
        <w:spacing w:after="0" w:line="9"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issuance costs in the amount of approximately $328, of which approximately $52 had not been paid as of June 30, 2024. See also Note 4B.</w:t>
      </w:r>
    </w:p>
    <w:p>
      <w:pPr>
        <w:spacing w:after="0" w:line="202" w:lineRule="exact"/>
        <w:rPr>
          <w:rFonts w:ascii="Times New Roman" w:cs="Times New Roman" w:eastAsia="Times New Roman" w:hAnsi="Times New Roman"/>
          <w:sz w:val="18"/>
          <w:szCs w:val="18"/>
          <w:color w:val="auto"/>
        </w:rPr>
      </w:pPr>
    </w:p>
    <w:p>
      <w:pPr>
        <w:ind w:left="1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4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Unaudited</w:t>
            </w: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6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(4,836)</w:t>
            </w:r>
          </w:p>
        </w:tc>
        <w:tc>
          <w:tcPr>
            <w:tcW w:w="152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used in operating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unrealized gains from marketable securities, net</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recovery related to legal settlement and legal expenses received in cash</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1,335</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 paid in cash</w:t>
            </w:r>
          </w:p>
        </w:tc>
        <w:tc>
          <w:tcPr>
            <w:tcW w:w="4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460" w:type="dxa"/>
            <w:vAlign w:val="bottom"/>
            <w:tcBorders>
              <w:top w:val="single" w:sz="8" w:color="CCEEFF"/>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(4,377</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(5,057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(5,120)</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0" w:type="dxa"/>
            <w:vAlign w:val="bottom"/>
          </w:tcPr>
          <w:p>
            <w:pPr>
              <w:spacing w:after="0"/>
              <w:rPr>
                <w:sz w:val="1"/>
                <w:szCs w:val="1"/>
                <w:color w:val="auto"/>
              </w:rPr>
            </w:pPr>
          </w:p>
        </w:tc>
      </w:tr>
      <w:tr>
        <w:trPr>
          <w:trHeight w:val="21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3,789</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 term deposit</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5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4,471</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6,719</w:t>
            </w:r>
          </w:p>
        </w:tc>
        <w:tc>
          <w:tcPr>
            <w:tcW w:w="0" w:type="dxa"/>
            <w:vAlign w:val="bottom"/>
          </w:tcPr>
          <w:p>
            <w:pPr>
              <w:spacing w:after="0"/>
              <w:rPr>
                <w:sz w:val="1"/>
                <w:szCs w:val="1"/>
                <w:color w:val="auto"/>
              </w:rPr>
            </w:pPr>
          </w:p>
        </w:tc>
      </w:tr>
      <w:tr>
        <w:trPr>
          <w:trHeight w:val="223"/>
        </w:trPr>
        <w:tc>
          <w:tcPr>
            <w:tcW w:w="6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36"/>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2,519</w:t>
            </w:r>
          </w:p>
        </w:tc>
        <w:tc>
          <w:tcPr>
            <w:tcW w:w="0" w:type="dxa"/>
            <w:vAlign w:val="bottom"/>
          </w:tcPr>
          <w:p>
            <w:pPr>
              <w:spacing w:after="0"/>
              <w:rPr>
                <w:sz w:val="1"/>
                <w:szCs w:val="1"/>
                <w:color w:val="auto"/>
              </w:rPr>
            </w:pPr>
          </w:p>
        </w:tc>
      </w:tr>
      <w:tr>
        <w:trPr>
          <w:trHeight w:val="230"/>
        </w:trPr>
        <w:tc>
          <w:tcPr>
            <w:tcW w:w="6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186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109</w:t>
            </w:r>
          </w:p>
        </w:tc>
        <w:tc>
          <w:tcPr>
            <w:tcW w:w="152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7"/>
        </w:trPr>
        <w:tc>
          <w:tcPr>
            <w:tcW w:w="6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86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w:t>
            </w:r>
          </w:p>
        </w:tc>
        <w:tc>
          <w:tcPr>
            <w:tcW w:w="1520" w:type="dxa"/>
            <w:vAlign w:val="bottom"/>
            <w:gridSpan w:val="2"/>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Issuance expenses</w:t>
            </w:r>
          </w:p>
        </w:tc>
        <w:tc>
          <w:tcPr>
            <w:tcW w:w="460" w:type="dxa"/>
            <w:vAlign w:val="bottom"/>
            <w:tcBorders>
              <w:top w:val="single" w:sz="8" w:color="CCEEFF"/>
              <w:bottom w:val="single" w:sz="8" w:color="CCEEFF"/>
            </w:tcBorders>
            <w:vMerge w:val="restart"/>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CCEEFF"/>
            </w:tcBorders>
            <w:vMerge w:val="continue"/>
          </w:tcPr>
          <w:p>
            <w:pPr>
              <w:spacing w:after="0"/>
              <w:rPr>
                <w:sz w:val="20"/>
                <w:szCs w:val="20"/>
                <w:color w:val="auto"/>
              </w:rPr>
            </w:pPr>
          </w:p>
        </w:tc>
        <w:tc>
          <w:tcPr>
            <w:tcW w:w="1400" w:type="dxa"/>
            <w:vAlign w:val="bottom"/>
            <w:tcBorders>
              <w:bottom w:val="single" w:sz="8" w:color="auto"/>
            </w:tcBorders>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400" w:type="dxa"/>
            <w:vAlign w:val="bottom"/>
            <w:tcBorders>
              <w:bottom w:val="single" w:sz="8" w:color="auto"/>
            </w:tcBorders>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Legal settlement settled through issuance of common stock</w:t>
            </w:r>
          </w:p>
        </w:tc>
        <w:tc>
          <w:tcPr>
            <w:tcW w:w="4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1,111</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Accrued bonus settled through grant of stock-option awards</w:t>
            </w:r>
          </w:p>
        </w:tc>
        <w:tc>
          <w:tcPr>
            <w:tcW w:w="460" w:type="dxa"/>
            <w:vAlign w:val="bottom"/>
            <w:vMerge w:val="restart"/>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CCEEFF"/>
            </w:tcBorders>
            <w:vMerge w:val="continue"/>
          </w:tcPr>
          <w:p>
            <w:pPr>
              <w:spacing w:after="0"/>
              <w:rPr>
                <w:sz w:val="20"/>
                <w:szCs w:val="20"/>
                <w:color w:val="auto"/>
              </w:rPr>
            </w:pPr>
          </w:p>
        </w:tc>
        <w:tc>
          <w:tcPr>
            <w:tcW w:w="1400" w:type="dxa"/>
            <w:vAlign w:val="bottom"/>
            <w:tcBorders>
              <w:bottom w:val="single" w:sz="8" w:color="auto"/>
            </w:tcBorders>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400" w:type="dxa"/>
            <w:vAlign w:val="bottom"/>
            <w:tcBorders>
              <w:bottom w:val="single" w:sz="8" w:color="auto"/>
            </w:tcBorders>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Deferred issuance expenses</w:t>
            </w:r>
          </w:p>
        </w:tc>
        <w:tc>
          <w:tcPr>
            <w:tcW w:w="4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ind w:right="1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Interim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robotic endoluminal surgery devices targeting the minimally invasive surgery space. The Company is primarily focused on leveraging its micro-robotic technologies with the goal of redefining surgical robotics while improving surgical outcomes for patients.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its subsidiary are sometimes collectively referred to as the “Company” as the context may require.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date, the Company has not generated revenues from its operations. As of June 30, 2024, the Company had cash equivalents and marketable securities balance of approximately $6,462, excluding restricted cash. Due to continuing research and development activities, the Company expects to continue to incur additional losses for the foreseeable future, as well as to seek to raise additional funds through future issuances of either debt and/or equity securities and possibly additional grants from government institutions. The Company will require additional capital and its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these conditions raise substantial doubt about the Company’s ability to continue as a going concern.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 in Israel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7, 2023, the State of Israel, where the Company’s operations are primarily based, suffered a surprise attack by hostile forces from Gaza, which led to ongoing military operations and armed conflicts in the Gaza Strip. It continues to evolve and has since spread to northern Israel and threatens to spread to other Middle Eastern countries including Lebanon and Iran. These military operations and related activities are on-going as of the issuance date of these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the Quarterly Report on Form 10-Q of which these financial statements are a part,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Unaudited Interim Condensed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U.S. GAAP for interim condensed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 These interim condensed consolidated financial statements should be read in conjunction with the latest audited financial statements.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six-month period ended June 30, 2024 are not necessarily indicative of the results that may be expected for the year ending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followed in the preparation of these unaudited interim condensed consolidated financial statements are identical to those applied in the preparation of the Company’s latest annual audited financial statements, except if noted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receivables and other accounts payable and accrued liabilities approximate their fair value due to the short-term maturity of these instruments.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Company’s financial assets subject to fair value measurement and the level of inputs used in such measurements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December 31, 2023:</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20"/>
                <w:szCs w:val="20"/>
                <w:color w:val="auto"/>
              </w:rPr>
            </w:pPr>
          </w:p>
        </w:tc>
        <w:tc>
          <w:tcPr>
            <w:tcW w:w="15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3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34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3,997</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33"/>
        </w:trPr>
        <w:tc>
          <w:tcPr>
            <w:tcW w:w="3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20"/>
                <w:szCs w:val="20"/>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16"/>
        </w:trPr>
        <w:tc>
          <w:tcPr>
            <w:tcW w:w="3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2,497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2,497</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1,420</w:t>
            </w:r>
          </w:p>
        </w:tc>
        <w:tc>
          <w:tcPr>
            <w:tcW w:w="28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1,420</w:t>
            </w:r>
          </w:p>
        </w:tc>
        <w:tc>
          <w:tcPr>
            <w:tcW w:w="2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34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3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3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The Company’s securities and money market funds are classified as Level 1. Other than that, the Company doesn’t have any other financial assets or financial liabilities marked to market at fair value as of June 30, 2024 and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applies ASC 718-10, “Share-Based Payment” (“ASC 718-10”), which requires the measurement and recognition of compensation expenses for all share-based payment awards made to employees and directors including stock options under the Company’s stock plans based on estimated fair values.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718-10 requires companies to estimate the fair value of stock options using an option-pricing model, which is recognized as an expense over the requisite service periods in the Company’s statement of comprehensive loss,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expense for an equity classified awards subject to performance-based milestone vesting over the remaining service period when management determines that achievement of the milestone is probable. Management evaluates when the achievement of a performance-based milestone is probable based on the expected satisfaction of the performance conditions at each reporting date. If no explicit service period is determined, the Company estimates the implicit service period based on the timing the employee is expected to achieve the related performance condition.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no future services are required to be performed by the grantee in exchange for an award of equity instruments, and if such award does not contain a performance or market condition, the cost of the award is expensed on the grant date.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the standard deviation of the Company’s closing prices according to the expected life (SAB107) for each of the grants. The Company has historically not paid dividends and has no foreseeable plans to issue dividends. The risk-free interest rate is based on the yield from governmental zero-coupon bonds with an equivalent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expected stock option term is calculated for stock options granted using the “simplified” method for awards that qualify as “plain-vanilla” options.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determination of each of the inputs can affect the fair value of the stock options granted and the results of operations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carries liability insurance to mitigate its exposure to losses, including litigation losses. The Company records the estimated amount of expected insurance proceeds for litigation losses incurred as an asset (typically a receivable from the insurer) and offset to losses up to the amount of the losses incurred when the amount is determinable and approved by the insurance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to update reportable segment disclosure requirements, primarily through enhanced disclosures about significant segment expenses. The amendment is effective for fiscal years beginning after December 15, 2023 and interim periods within fiscal years beginning after December 15, 2024, with early adoption permitted. The amendment should be applied retrospectively to all prior periods presented in the financial statements. The Company is currently evaluating the impact that the adoption of this standard will have on its consolidated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Government grants:</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Microbot Israel has received grants from the Israeli Innovation Authority (“IIA”) for participation in research and development since 2013 through June 30, 2024 totaling approximately $1,878. This amount includes amounts received in the first quarter of 2024 of approximately $74, which is a portion of an additional grant from the IIA in the amount of approximately NIS 1,620,000 (approximately $447) approved by the IIA on 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CardioSert Ltd. (“CardioSert”) on January 4, 2018, Microbot Israel took over the liability to repay CardioSert’s IIA grants in the aggregate amount of approximately $530. See also Notes 3C and 5C below.</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a result of the agreement with Nitiloop, on October 6, 2022, Microbot Israel took over the liability to repay Nitiloop’s IIA grants in the aggregate amount of approximately $925.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relation to the IIA grants described above, the Company is obligated to pay royalties amounting to 3.0%-5% of its future sales of the products relating to such grants.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grants are linked to the exchange rate of the dollar to the New Israeli Shekel and bears interest of SOFR per year (SOFR is a benchmark interest rate which replaced LIBOR).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December 11, 2022, the Company received approval for a grant from the Ministry of Economy, in the amount of NIS 300,000 (approximately $83), for participation in expenses related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 As of June 30, 2024, the Company received approximately $50 of such grant. In relation with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TRDF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amended, the “License Agreement”) with respect to the Company’s Self-Cleaning Shunt</w:t>
      </w:r>
    </w:p>
    <w:p>
      <w:pPr>
        <w:spacing w:after="0" w:line="16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(SCS) project and its TipCat assets in addition to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partial consideration for the license, Microbot Israel shall pay TRDF royalties on net sales (between 1.5%-3.0%) and on sublicense income as detailed in the License Agreement.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spacing w:after="0" w:line="269" w:lineRule="auto"/>
        <w:rPr>
          <w:sz w:val="20"/>
          <w:szCs w:val="20"/>
          <w:color w:val="auto"/>
        </w:rPr>
      </w:pPr>
      <w:r>
        <w:rPr>
          <w:rFonts w:ascii="Times New Roman" w:cs="Times New Roman" w:eastAsia="Times New Roman" w:hAnsi="Times New Roman"/>
          <w:sz w:val="18"/>
          <w:szCs w:val="18"/>
          <w:color w:val="auto"/>
        </w:rPr>
        <w:t>In October 2022 the Company suspended the SCS project and as a result of the Company’s May 2023 implementation of its core-business focus program and cost reduction plan, the Company returned the licensed intellectual property for the TipCat back to TRDF in June 2023, and returned the licensed intellectual property for the SCS (ViRob) back to TRDF in July 2023. As a result, as of the date of these financial statements, the License Agreement is limited to the certain technology relating to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Agreement with CardioSert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(the “CardioSert Agreement”) to acquire certain of its patent-protected technology (the “Technology”). Pursuant to the CardioSert Agreement, Microbot Israel made aggregate payments of $300 in cash and 6,738 shares of common stock estimated at $74 to complete the acquisition.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its core-business focus program and its cost reduction plan enacted in May 2023, the Company terminated the CardioSert Agreement effective as of August 17, 2023 in accordance with its terms and ceased its research and development and commercialization efforts for, and maintaining, the Technology, which resulted in CardioSert triggering on March 3, 2024 its right to reacquire the Technology for nominal consideration. See also Note 5C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ATM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having an aggregate offering price of up to $10,000 at market prices or as otherwise agreed with Wainwright. Through June 30, 2024, the Company has not sold any shares of common stock pursuant to the ATM Agreement. See Note 5A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Engagement letters with H.C. Wainwright: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registered direct and private placement offerings, the Company entered into engagement letters (the “Engagement Letters”) with Wainwright on October 3, 2022, on May 16, 2023, on October 24, 2023 and on May 29, 2024, pursuant to which Wainwright agreed to serve as the exclusive placement agent for the issuance and sale of securities of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compensation for such placement agent services, the Company has agreed to pay Wainwright an aggregate cash fee equal to 7.0% of the gross proceeds received by the Company from offerings contemplated by the Engagement Letters, plus a management fee equal to 1.0% of the gross proceeds received by the Company from such offerings, as well as other reimbursable expenses. The Company has also agreed to issue to Wainwright or its designees preferred investment options upon the closing of such offerings, equal to five (5.0%) percent of the aggregate number of such shares of common stock in such offerings, including upon exercise for cash of any warrants issued to investors in such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 Acquisition of Nitiloop’s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6, 2022, Microbot Israel purchased substantially all of the assets, including intellectual property, devices, components and product related materials (the “Assets”), of Nitiloop Ltd., an Israeli limited liability company (“Nitiloop”). The Assets include intellectual property and technology in the field of intraluminal revascularization devices with anchoring mechanism and integrated microcatheter (the “Technology”) and the products or potential products incorporating the Technology owned by Nitiloop and designated by Nitiloop as “NovaCross”, “NovaCross Xtreme” and “NovaCross BTK” and any enhancements, modifications and improvements thereof (“Devices”). Microbot Israel did not assume any material liabilities of Nitiloop other than obligations Nitiloop has to the IIA and relating to certain renewal/maintenance fees for a European patent application.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In consideration for the acquisition of the Assets, Microbot Israel shall pay royalties to Nitiloop, which shall not, in the aggregate, exceed $8,000, as follows:</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3% of net revenue generated as a result of sales, license or other exploitation of the Devices;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at a rate of 1.5% of net revenue generated from the sale, license or other exploitation of commercialization of the technology as part of an integrated product.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Company’s analysis, the Company concluded that the acquisition of the assets does not meet the definition of a business for the purpose of applying SEC Rules (S-X Rules of 3-05, 8-04 and 11-01).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Litigation resulting from the 2017 financing: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was named as the defendant in a lawsuit captioned Empery Asset Master Ltd., Empery Tax Efficient, LP, Empery Tax Efficient II, LP, Hudson Bay Master Fund Ltd., (the “Plaintiffs”), against Microbot Medical Inc., Defendant, in the Supreme Court of the State of New York, County of New York (Index No. 651182/2020) (the “Lawsuit”). The complaint alleged, among other things, that the Company breached multiple representations and warranties contained in the Securities Purchase Agreement (the “SPA”) related to the Company’s June 8, 2017 equity financing (the “2017 Financing”), of which the Plaintiffs participated, and fraudulently induced Plaintiffs into signing the SPA. The complaint sought rescission of the SPA and return of the Plaintiffs’ $6,750 purchase price with respect to the 2017 Financing.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26, 2024 (the “Effective Date”), the Company entered into a settlement agreement and release with the Plaintiffs (the “Settlement Agreement”), effectively resolving the Lawsuit.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Settlement Agreement, the Company paid $2,154 consisting of a cash payment of $1,100, covered by the Company’s insurance company, and 1,005,965 shares of restricted common stock which were subsequently registered for resale. Furthermore, the Company’s insurance company is responsible for covering legal expenses incurred by the Company in relation to the legal proceedings of the Lawsuit. In February 2024, the Plaintiffs filed a stipulation discontinuing the Lawsuit with prejudice.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concluded the Settlement Agreement gave rise to loss contingencies in the scope of ASC Subtopic 450-20, Contingencies – Loss Contingencies, and as of December 31, 2023, the Company recorded a contingent liability, as the Company deemed it both probable and reasonably estimable.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that the loss contingency should be recognized as non-operating losses, offset by loss recoveries received from the Company’s insurance company</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Settlement Agreement and the insurance recovery received from the insurance company, as of December 31, 2023, the Company recorded a liability and an asset on its balance sheet totaling $2,211 and $1,335, respectively. Within this asset, $1,100 represents the recovery of the cash payment of the settlement amount, and $235 represents recovery of legal expenses. A net non-operating loss of $1,111 from legal settlement was reflected in the Company’s statement of comprehensive loss for the year ended December 31, 2023. In the first quarter of 2024, the Company received $1,335 from the insurance company, subsequently closing the asset recorded as of December 31, 2023. Additionally, during the first quarter of 2024, the Company paid the settlement amount by transferring $1,100 to the Plaintiffs and issuing 1,005,965 shares of the Company’s common stock, thereby closing the liability recorded as of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Mona 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later amended to add Joseph Mona (“Mona”) as a defendant, in the Southern District of New York under Section 16(b) of the Securities Exchange Act of 1934 (the “Exchange Act”), to compel Alliance and/or Mona to disgorge short swing profits realized from purchases and sales of the Company’s securities within a period of less than six months. The amount of profits was estimated in the complaint to be approximately $468.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2021, the Court entered a judgment against Mona and in favor of the Company in the amount of approximately $485. Collection of the judgment was deferred pending resolution of Mona’s counterclaim.</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22, 2023, the District Court dismissed the Section 10(b) counterclaim in its entirety. After the Company initiated efforts to execute on the $485 judgment against Mona (the “Judgment”), Mona urged the Court to decide the motion to vacate the 16(b) Judgment on the grounds that the Company purportedly lacks Constitutional standing to bring this case, which he originally filed prior to the final dismissal of his 10(b) counterclaim. On January 30, 2024, a Report &amp; Recommendation was issued that the motion be denied, which the Court adopted in the entirety in an Order on March 5, 2024. Mona has purported to appeal that denial. The Company believes Mona’s purported appeal is untimely and substantively meritless. Mona’s appellate brief was filed on June 28, 2024. The Company’s opposition is due to be filed on September 26, 2024.</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Court has permitted the Company’s ongoing execution efforts to continue notwithstanding Mona’s purported appeal of the Court’s denial of Mona’s subsequent motion to vacate the Judgment. As of May 10, 2024, Mona posted a bond in the full amount of the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Contingent bonus commitments based on future capital raising: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February 2024, the Compensation Committee of the Board of Directors of the Company approved certain bonuses contingent on future capital raising efforts. These bonuses, associated with the fiscal year ended December 31, 2023, are detailed as follows: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CEO is entitled to a contingent cash bonus of approximately $298, which is divided into two contingent portions. The first 50% of the CEO’s contingent bonus ($149) is payable upon the Company raising at least $3,000 in new funds by June 30, 2024. The remaining 50% ($149), payable upon the Company raising at least $6,000 in new funds by September 30, 2024 (cumulative, so if $3,000 is not raised by June 30, 2024 but the full $6,000 is raised by September 30, 2024, the full amount is payable).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executives are entitled to an aggregate contingent total bonus of NIS 230,736 (approximately $61), which is payable upon the Company raising at least $3,000 in new funds by September 30, 2024. The Company’s management is unable to predict the likelihood of securing additional capital; therefore, as of June 30, 2024, the Company has not recorded a liability for any contingent bonus. See also Note 5B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Preferred investment options inducement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29, 2023, the Company entered into a preferred investment option exercise inducement offer letter with certain holders of existing (i) Series A preferred investment options to purchase 1,022,495 shares of the Company’s common stock at an exercise price of $2.20 per share, issued on October 25, 2022, as amended on May 24, 2023, (ii) Series C preferred investment options to purchase 350,878 shares of the Company’s common stock at an exercise price of $2.075 per share, issued on June 6, 2023, and (iii) Series D preferred investment options to purchase 312,309 shares of the Company’s common stock at an exercise price of $3.19 per share issued on June 26, 2023 (clauses (i) through (iii) collectively, the “Existing Preferred Investment Options”), pursuant to which the holders agreed to exercise for cash their Existing Preferred Investment Options to purchase an aggregate of 1,685,682 shares of the Company’s common stock, at a reduced exercised price of $1.62 per share, in consideration for the Company’s agreement to issue new series E preferred investment options having terms to purchase up to 1,685,682 shares of the Company’s common stock (the “Inducement Investment Options”). Each Inducement Investment Option will have an exercise price equal to $1.50 per share, and will be exercisable from the date of the issuance until five and one-half (5.5) years following the date of the issuance. The Company received aggregate gross proceeds of approximately $2,730 from the exercise of the Existing Preferred Investment Options by the Holders and the sale of the Inducement Investment Options, before deducting placement agent fees and other offering expenses of approximately $333. The Company also issued to Wainwright or its designees preferred investment options to purchase up to 84,284 shares of common stock which have the same terms as the Inducement Investment Options except for an exercise price equal to $2.025 per share. Further, pursuant to the engagement letter, Wainwright has a right of first refusal to act as sole book-running manager, sole underwriter, or sole placement agent with respect to any public offering or private placement of equity, equity-linked or debt securities using an underwriter or placement agent occurring during the twelve-month period following the closing date January 3,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June 2024 Offerings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 2024, the Company entered into Securities Purchase Agreements with institutional investors, pursuant to which the Company agreed to issue and sell, in a registered direct offering priced at-the-market under the rules of The Nasdaq Stock Market, an aggregate of 1,566,669 shares of the Company’s common stock, par value $0.01 per share, at an offering price of $1.50 per share, for aggregate gross proceeds from the Offerings of approximately $2,350 before deducting the placement agent fee and related offering expenses of approximately $328. In a concurrent private placement, the Company agreed to issue to the investors series F preferred investment options to purchase up to 3,133,338 shares of common stock at an exercise price of $1.50 per share. Each Series F preferred investment option is exercisable immediately and will expire two years from the initial exercise date.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issued to Wainwright or its designees preferred investment options to purchase up to 78,333 shares of common stock which have the same terms as investors’ preferred investment options except for an exercise price equal to $1.875 per share.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 Equity component of settlement amount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Settlement Agreement (refer to Note 3G above), the Company issued 1,005,965 shares of the Company’s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Equity classification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of the Company are recognized as equity under the requirements of ASC Topic 505 Equity.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the series E and series F preferred investment options and concluded that they should be classified as equity.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analyzed the accounting treatment for the preferred investment options issued to Wainwright. Since the Company did not identify any features causing liability classification according to ASC 718, it concluded that all such preferred investment options are equity-classified awards.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Employee Stock Option Grants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2024, the Company granted the CEO, certain executives and certain employees, fully vested options to purchase an aggregate of 130,000 shares of the Company’s common stock, at an exercise price per share of $1.2684, attributable to performance goals achieved in January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granted the CEO and other executives, options to purchase an aggregate of 132,500 shares of the Company’s common stock at an exercise price per share of $1.25, with vesting based on meeting certain performance conditions in the year 2024. For some of the performance-based grants, as of June 30, 2024, the Company estimated that such performance conditions will be met, and therefore, the Company recorded a total expense of $8 in the second quarter of 2024. For other performance-based grants that the Company’s management believes are tied to the Company’s ability to secure additional capital, the Company did not record an expense.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2024, the Company granted the CEO and certain employees and advisors, options to purchase an aggregate of 195,000 shares of the Company’s common stock, at an exercise price per share of $1.2684, with a vesting period of three years. Regarding the CEO’s 2023 annual bonus, in February 2024, the Company paid the CEO 25% of his 2023 annual bonus, amounting to approximately $99, through the grant of fully vested options to purchase an aggregate of 79,567 shares of the Company’s common stock with an exercise price per share of $1.25.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Reinstatement of ATM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amendment, dated July 1, 2024, to the ATM Agreement with Wainwright dated June 10, 2021, relating to the offer and sale of shares of the Company’s common stock having an aggregate offering price of up to approximately $4,820 from time to time through Wainwright, acting as sales agent. From July 1, 2024 through August 9, 2024, the Company issued an aggregate of 538,800 shares of the Company’s common stock under the ATM Agreement for aggregate gross proceeds to the Company of approximately $584.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Contingent Bonus Payments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the Compensation Committee of the Board of Directors of the Company approved the payment of the first 50% of the contingent bonus to the Company’s CEO in the amount of approximately $149, and approved the payments of the second 50% of the contingent bonuses to the Company’s CFO and CTO in the aggregate amount of approximately $61.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Return of CardioSert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2024, Microbot Israel transferred the Technology back to CardioSert, for nominal consideration, pursuant to the terms of the CardioSert Agreement. As a result, Microbot Israel’s liability to repay CardioSert’s IIA grants in the aggregate amount of approximately $530 was also transferred back to CardioSert.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2023.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2023.</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robotic technologies with the goal of redefining surgical robotics while improving surgical outcomes for patients.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Using our LIBERTY® Endovascular Robotic Surgical System, we are developing the first ever fully disposable robot for various endovascular interventional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LIBERTY</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Endovascular Robotic Surgical System</w:t>
      </w:r>
    </w:p>
    <w:p>
      <w:pPr>
        <w:spacing w:after="0" w:line="13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January 13, 2020, Microbot unveiled what it believes is the world’s first fully disposable robotic system for use in endovascular interventional procedures, such as cardiovascular, peripheral and neurovascular.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features a unique compact design with the capability to be operated remotely, reduce radiation exposure and physical strain to the physician, reduce the risk of cross contamination, as well as the potential to eliminate the use of multiple consumables when used with its NovaCross® platform or possibly other guidewire/microcatheter technologies.</w:t>
      </w:r>
    </w:p>
    <w:p>
      <w:pPr>
        <w:spacing w:after="0" w:line="203"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ind w:right="20"/>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are the Interventional Cardiology, Interventional Radiology and Interventional Neuroradiology markets.</w:t>
      </w:r>
    </w:p>
    <w:p>
      <w:pPr>
        <w:spacing w:after="0" w:line="20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open the opportunity of expanding telerobotic interventions to patients with limited access to life-saving procedures, such as mechanical thrombectomy in ischemic stroke.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&amp; Done® - Can be made compatible with Microbot’s NitiLoop’s NovaCross® products or possibly other guidewire/microcatheter technologies, that combines guidewire and microcatheter into a single device.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“over the wire” device.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the need for heavy lead vests otherwise to be worn during procedures, as well as reducing the exposure to Hospital Acquired Infections (HAI).</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compatible - Capable of supporting tele-catheterization, carried out remotely by highly trained specialists.</w:t>
      </w:r>
    </w:p>
    <w:p>
      <w:pPr>
        <w:spacing w:after="0" w:line="33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 2023, we announced that the LIBERTY®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jc w:val="both"/>
        <w:spacing w:after="0" w:line="197" w:lineRule="auto"/>
        <w:rPr>
          <w:sz w:val="20"/>
          <w:szCs w:val="20"/>
          <w:color w:val="auto"/>
        </w:rPr>
      </w:pPr>
      <w:r>
        <w:rPr>
          <w:rFonts w:ascii="Times New Roman" w:cs="Times New Roman" w:eastAsia="Times New Roman" w:hAnsi="Times New Roman"/>
          <w:sz w:val="17"/>
          <w:szCs w:val="17"/>
          <w:color w:val="auto"/>
        </w:rPr>
        <w:t>In October 2023, we announced the successful initial outcomes from our pivotal preclinical study with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to</w:t>
      </w:r>
    </w:p>
    <w:p>
      <w:pPr>
        <w:jc w:val="both"/>
        <w:spacing w:after="0" w:line="227" w:lineRule="auto"/>
        <w:rPr>
          <w:sz w:val="20"/>
          <w:szCs w:val="20"/>
          <w:color w:val="auto"/>
        </w:rPr>
      </w:pPr>
      <w:r>
        <w:rPr>
          <w:rFonts w:ascii="Times New Roman" w:cs="Times New Roman" w:eastAsia="Times New Roman" w:hAnsi="Times New Roman"/>
          <w:sz w:val="18"/>
          <w:szCs w:val="18"/>
          <w:color w:val="auto"/>
        </w:rPr>
        <w:t>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human clinical study.</w:t>
      </w:r>
    </w:p>
    <w:p>
      <w:pPr>
        <w:spacing w:after="0" w:line="19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October 24, 2023, we announced that we received confirmation for the commencement of the process to support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As a result, we recently were granted ISO 13485 certification for our quality management system, which is required to obtain CE mark approval for sales in the European Union. In addition, in view of the recent revision published by the U.S. Food &amp; Drug Administration (FDA) regarding the QMSR (quality system management regulation) and its incorporation by reference of the ISO 13485 standard, we believe it will help streamline our transition into this revised FDA regulation.</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29, 2024, the Company submitted an Investigational Device Exemption (IDE) application with the FDA, in order to commence its pivotal clinical trial in humans. On June 3, 2024, we announced that we have received the FDA’s approval to proceed with our pivotal human clinical trial as part</w:t>
      </w:r>
    </w:p>
    <w:p>
      <w:pPr>
        <w:jc w:val="both"/>
        <w:spacing w:after="0" w:line="209" w:lineRule="auto"/>
        <w:rPr>
          <w:sz w:val="20"/>
          <w:szCs w:val="20"/>
          <w:color w:val="auto"/>
        </w:rPr>
      </w:pPr>
      <w:r>
        <w:rPr>
          <w:rFonts w:ascii="Times New Roman" w:cs="Times New Roman" w:eastAsia="Times New Roman" w:hAnsi="Times New Roman"/>
          <w:sz w:val="18"/>
          <w:szCs w:val="18"/>
          <w:color w:val="auto"/>
        </w:rPr>
        <w:t>of our IDE application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Since then, Brigham and Women’s Hospital, Boston, Massachusetts, Baptist Hospital of Miami, which includes Miami Cardiac &amp; Vascular Institute and Miami Cancer Institute, and Memorial Sloan Kettering Cancer Center,</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New York, have each enrolled in the clinical trial as part of the IDE for 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and the Company expects the results will support the future marketing submission to the FDA and subsequent commercialization.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parallel to commencing the pivotal human clinical trial, we are completing our biocompatibility tests as required by our IDE application.</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currently anticipates receiving 510(k) clearance from the FDA in the first half of 2025. Due to recent changes in the regulations that govern the production and distribution of medical devices in Europe (EU MDR), where the Company has already achieved the first step of obtaining the ISO 13485 certification, the Company now anticipates CE Mark approval in the second half of 2026. However, we can give no assurance that we will meet either or both of these projected milestones, if ever.</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responsibility of exploring the feasibility of integrating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an imaging system to create an autonomous robotic system for endovascular procedures.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NovaCross</w:t>
      </w:r>
      <w:r>
        <w:rPr>
          <w:rFonts w:ascii="Times New Roman" w:cs="Times New Roman" w:eastAsia="Times New Roman" w:hAnsi="Times New Roman"/>
          <w:sz w:val="29"/>
          <w:szCs w:val="29"/>
          <w:i w:val="1"/>
          <w:iCs w:val="1"/>
          <w:color w:val="auto"/>
          <w:vertAlign w:val="superscript"/>
        </w:rPr>
        <w:t>®</w:t>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 This technology is also expected to be incorporated in our One &amp; Done® feature.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 in Israel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7, 2023, the State of Israel, where the Company’s research and development and other operations are primarily based, suffered a surprise attack by hostile forces from Gaza, which led to ongoing military operations and armed conflicts in the Gaza Strip. It continues to evolve and has since spread to northern Israel and threatens to spread to other Middle Eastern countries including Lebanon and Iran. These military operations and related activities are on-going as of the filing date of this Quarterly Report on Form 10-Q.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considered various ongoing risks relating to the military operation and related matters, including:</w:t>
      </w:r>
    </w:p>
    <w:p>
      <w:pPr>
        <w:spacing w:after="0" w:line="225" w:lineRule="exact"/>
        <w:rPr>
          <w:sz w:val="20"/>
          <w:szCs w:val="20"/>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the Company’s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closely monitoring how the military operation and related activities could adversely affect its anticipated milestones and its Israel-based activities to support future clinical and regulatory milestones, including the Company’s ability to import materials that are required to construct the Company’s devices and to ship them outside of Israel. As of the filing date of this Quarterly Report on Form 10-Q, the Company has determined that there have not been any materially adverse effects on its business or operations, but it continues to monitor the situation, as any future escalation or change could result in a material adverse effect on the ability of the Company’s Israeli office to support the Company’s clinical and regulatory activities. The Company does not have any specific contingency plans in the event of any such escalation or change.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net of government grants. Microbot expenses its research and development costs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costs associated with management salaries and benefits, professional fees for accounting, auditing, consulting, legal services, and insurance expenses.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expects that its general and administrative expenses will increase over the long-term, even if a period-to-period comparison may show a decrease, as it expands its operating activities,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Accounting Policies and Significant Judgments and Estimates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Management records and discloses legal contingencies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on a recurring basis.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ind w:right="4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and Six Months Ended June 30, 2024 and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three and six month periods ended June 30, 2024 and 2023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28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740" w:type="dxa"/>
            <w:vAlign w:val="bottom"/>
          </w:tcPr>
          <w:p>
            <w:pPr>
              <w:spacing w:after="0"/>
              <w:rPr>
                <w:sz w:val="21"/>
                <w:szCs w:val="21"/>
                <w:color w:val="auto"/>
              </w:rPr>
            </w:pPr>
          </w:p>
        </w:tc>
        <w:tc>
          <w:tcPr>
            <w:tcW w:w="132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2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74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tcPr>
          <w:p>
            <w:pPr>
              <w:spacing w:after="0"/>
              <w:rPr>
                <w:sz w:val="20"/>
                <w:szCs w:val="20"/>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4"/>
              </w:rPr>
              <w:t>Change</w:t>
            </w:r>
          </w:p>
        </w:tc>
      </w:tr>
      <w:tr>
        <w:trPr>
          <w:trHeight w:val="216"/>
        </w:trPr>
        <w:tc>
          <w:tcPr>
            <w:tcW w:w="47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(1,417)</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(2,586)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(2,982)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(2,309)</w:t>
            </w: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net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The decrease in research and development expenses for the six months ended June 30, 2024 compared to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was primarily due to deduction of government grants and decrease in expenses related to the outsourcing of the manufacturing of the Company’s LIBERTY product offset by increase in payroll related to cost reduction plan in Q2 2023.</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research and development expenses for the three months ended June 30, 2024 compared to June 30, 2023 was primarily due to increase in payroll expenses, offset by deduction of government grants and decrease in expenses related to the outsourcing of the manufacturing of the Company’s LIBERTY product.</w:t>
      </w:r>
    </w:p>
    <w:p>
      <w:pPr>
        <w:spacing w:after="0" w:line="17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The increase in general and administrative expenses for the six months ended June 30, 2024 compared to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was primarily due to increase in legal expenses, stock base compensation related to new grants and payroll expenses related to cost reduction plan in Q2 2023, offset by decrease in travel and investor relation expenses.</w:t>
      </w:r>
    </w:p>
    <w:p>
      <w:pPr>
        <w:spacing w:after="0" w:line="175"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three months ended June 30, 2024 compared to June 30, 2023 was primarily due to increase in legal expenses, stock base compensation expenses and payroll expenses related to cost reduction plan in Q2 2023, offset by investor relation expenses.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Financing Income</w:t>
      </w:r>
      <w:r>
        <w:rPr>
          <w:rFonts w:ascii="Times New Roman" w:cs="Times New Roman" w:eastAsia="Times New Roman" w:hAnsi="Times New Roman"/>
          <w:sz w:val="18"/>
          <w:szCs w:val="18"/>
          <w:color w:val="auto"/>
        </w:rPr>
        <w:t>. The decrease in financing income, net for the six months ended June 30, 2024 compared to June 30, 2023,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recorded due to changes in exchange rates.</w:t>
      </w:r>
    </w:p>
    <w:p>
      <w:pPr>
        <w:spacing w:after="0" w:line="16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increase in financing income, net for the three months ended June 30, 2024 compared to June 30, 2023, was primarily due to increase in interest income offset by expenses recorded due to changes in exchange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Microbot has not generated revenues from operations. Microbot has incurred losses since inception and negative cash flows from operating activities for all periods presented. As of June 30, 2024, Microbot had a net working capital of approximately $5.8 million, consisting primarily of cash and cash equivalents and marketable securities. This compares to net working capital of approximately $4.1 million as of December 31, 2023. Microbot anticipates that it will continue to incur net losses for the foreseeable future as it continues research and development efforts of its primary product candidate and continues to incur costs associated with being a public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June 30, 2024, Microbot has raised cash proceeds of approximately $72.1 million and incurred a total cumulative loss of approximately $84.3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spacing w:after="0" w:line="257"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June 30, 2024 in the total amount of approximately $1.9 million. This amount includes amounts received in the first quarter of 2024 of approximately $74,000, which are a portion of an additional grant from the IIA in the amount of approximately NIS 1.6 million (approximately $447,000) approved by the IIA on</w:t>
      </w:r>
    </w:p>
    <w:p>
      <w:pPr>
        <w:spacing w:after="0" w:line="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June 1, 2023, to further finance the development of the manufacturing process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On January 4, 2018, Microbot Israel entered into an agreement with CardioSert to acquire certain of its patent-protected technology as well as to assume CardioSert’s grants from the IIA in the aggregate amount of approximately $530,000. Subsequent to June 30, 2024, Microbot Israel transferred such technology back to CardioSert, for nominal consideration and, as a result, Microbot Israel’s liability to repay CardioSert’s IIA grants in the aggregate amount of approximately $530,000 was also transferred back to CardioSert. On October 6, 2022, Microbot Israel entered into an agreement with Nitiloop Ltd. to acquire substantially all of its assets. Nitiloop received grants from the IIA in the aggregate amount of approximately $925,000 and Microbot Israel took over the liability to repay such grants.</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 Israel is obligated to pay royalties amounting to 3%-5% of its future sales up to the amount of the grants. The grants are linked to the exchange rate of the dollar to the New Israeli Shekel and bears interest at an annual rate of SOFR, a benchmark interest rate which replaced LIBOR. 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grants, if the applicable project fails, is unsuccessful or aborted before any sales are generated; accordingly, as we have discontinued the CardioSert program and are returning the technology to CardioSert, we do not expect to repay, or have the obligation to repay, the grants relating to that technology. The financial risk is assumed completely by the IIA.</w:t>
      </w:r>
    </w:p>
    <w:p>
      <w:pPr>
        <w:spacing w:after="0" w:line="18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On March 2, 2023, the Company announced that it received approval for a grant from the Ministry of Economy in the amount of approximately NIS 300,000, which based on an exchange rate on such date of NIS 1.00 = $0.2923, would be approximately $88,000, to further finance the marketing activities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the U.S. market.</w:t>
      </w:r>
    </w:p>
    <w:p>
      <w:pPr>
        <w:spacing w:after="0" w:line="4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relation to the Ministry of Economy grant, the Company is obligated to pay royalties amounting to 3% of future sales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up to the grant amount plus interest.</w:t>
      </w:r>
    </w:p>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During the second fiscal quarter of 2023, Microbot commenced a core-business focus program and a cost reduction plan while it sought to raise sufficient additional capital to continue development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May and June 2023, Microbot raised aggregate gross proceeds of approximately $7.6 million, before fees and expenses of approximately $1.1 million, from investors, to continue to fund its operations</w:t>
      </w:r>
    </w:p>
    <w:p>
      <w:pPr>
        <w:spacing w:after="0" w:line="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and research and development activities and will need additional funds to continue the FDA approval process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We also raised approximately $5.08 million in gross proceeds, before fees and expenses of approximately $661,000, from financing activities through June 30, 2024, and raised an aggregate of approximately $584,000 in gross proceeds through our recently reinstated At-the-Market Agreement with HC Wainwright (the “ATM Agreement”) since July 1, 2024. To the extent available, Microbot intends to raise capital through future public and private issuances of debt and/or equity securities, including continuing to raise capital, if available, pursuant to the ATM Agreement until the maximum of $4,819,905 is raised.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at the times it needs it or on terms acceptable to it, if at all.</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we have sufficient funds for our operations for less than one year. As a result of the foregoing and our current cash position, these conditions raise substantial doubt about Microbot’s ability to continue as a going concern, which could adversely affect our ability to raise capital, expand our business and develop our planned products. The accompanying consolidated interim condensed financial statements do not include any adjustments to reflect the possible future effects on recoverability and reclassification of assets or the amounts and classification of liabilities that may result from the outcome of this uncertainty.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presented (in thousands):</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6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7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6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6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(4,377)</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(5,057)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1,588</w:t>
            </w:r>
          </w:p>
        </w:tc>
        <w:tc>
          <w:tcPr>
            <w:tcW w:w="80" w:type="dxa"/>
            <w:vAlign w:val="bottom"/>
          </w:tcPr>
          <w:p>
            <w:pPr>
              <w:spacing w:after="0"/>
              <w:rPr>
                <w:sz w:val="18"/>
                <w:szCs w:val="18"/>
                <w:color w:val="auto"/>
              </w:rPr>
            </w:pPr>
          </w:p>
        </w:tc>
      </w:tr>
      <w:tr>
        <w:trPr>
          <w:trHeight w:val="249"/>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financing activities</w:t>
            </w:r>
          </w:p>
        </w:tc>
        <w:tc>
          <w:tcPr>
            <w:tcW w:w="1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4,471</w:t>
            </w:r>
          </w:p>
        </w:tc>
        <w:tc>
          <w:tcPr>
            <w:tcW w:w="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6,719</w:t>
            </w:r>
          </w:p>
        </w:tc>
        <w:tc>
          <w:tcPr>
            <w:tcW w:w="80" w:type="dxa"/>
            <w:vAlign w:val="bottom"/>
            <w:shd w:val="clear" w:color="auto" w:fill="CCEEFF"/>
          </w:tcPr>
          <w:p>
            <w:pPr>
              <w:spacing w:after="0"/>
              <w:rPr>
                <w:sz w:val="21"/>
                <w:szCs w:val="21"/>
                <w:color w:val="auto"/>
              </w:rPr>
            </w:pPr>
          </w:p>
        </w:tc>
      </w:tr>
      <w:tr>
        <w:trPr>
          <w:trHeight w:val="217"/>
        </w:trPr>
        <w:tc>
          <w:tcPr>
            <w:tcW w:w="6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164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CCEEFF"/>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decrease in the six months ended June 30, 2024 compared to the comparable period ended June 30, 2023 in net cash flows used in operating activities was primarily from a decrease in research and development expenses relating to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as a result of the Company’s May 2023 cost reduction plan and core-business focus program.</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the six months ended June 30, 2024 compared to the comparable period ended June 30, 2023 in net cash flows from investing activities was mainly due to an increase in purchases of marketable securities and decrease of proceeds from maturities of marketable securities, offset by an increase of proceeds from sales of marketable securities.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decrease in the six months ended June 30, 2024 compared to the comparable period ended June 30, 2023 in net cash flows provided by financing activities was due to decrease in net proceeds received from fundraising events during the period ended June 30, 2024 compared to the period ended June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cash and cash equivalents as of June 30, 2024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Inflation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generally affects Microbot by increasing its research and development expenses. Microbot does not believe that inflation and changing prices had a significant impact on its results of operations for any periods presented 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June 30, 2024. Based on that review and evaluation, the Chief Executive Officer and Chief Financial Officer, along with the management of the Company, have determined that as of June 30, 2024,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Lawsuit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January 26, 2024 (the “Effective Date”), we entered into a Settlement Agreement and Release (the “Settlement Agreement”) with Empery Asset Master Ltd., Empery Tax Efficient, LP, Empery Tax Efficient III, LP and Hudson Bay Master Fund Ltd. (collectively, “Plaintiffs”), which resolved and settled the below referenced litigation between the Company and Plaintiffs. The Company previously announced that it was a defendant in a lawsuit captioned Empery Asset Master Ltd., Empery Tax Efficient, LP, Empery Tax Efficient II, LP, Hudson Bay Master Fund Ltd., Plaintiffs, against Microbot Medical Inc., Defendant, in the Supreme Court of the State of New York, County of New York (Index No. 651182/2020) (the “Lawsuit”), pursuant to which the Plaintiffs alleged, among other things, that the Company breached multiple representations and warranties contained in the Securities Purchase Agreement (the “SPA”) related to the Company’s June 8, 2017 equity financing (the “Financing”), of which the Plaintiffs participated, and fraudulently induced Plaintiffs into signing the SPA. The complaint sought rescission of the SPA and return of the Plaintiffs’ $6.75 million purchase price with respect to the Financing.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Settlement Agreement, the Company paid Plaintiffs an aggregate of $2,154,000 (the “Total Settlement Amount”), consisting of a cash payment covered by the Company’s insurance carrier of $1,100,000 and 1,005,965 shares of restricted Company common stock (the “Shares”). Additionally, the Plaintiffs and the Company each agreed to fully release the other from all claims arising out of the Financing, the SPA and/or the allegations and claims asserted in the Lawsuit, subject to customary carve-outs.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2024, the Plaintiffs filed a stipulation discontinuing the Lawsuit with prejudice.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jc w:val="both"/>
        <w:spacing w:after="0" w:line="256" w:lineRule="auto"/>
        <w:rPr>
          <w:sz w:val="20"/>
          <w:szCs w:val="20"/>
          <w:color w:val="auto"/>
        </w:rPr>
      </w:pPr>
      <w:r>
        <w:rPr>
          <w:rFonts w:ascii="Times New Roman" w:cs="Times New Roman" w:eastAsia="Times New Roman" w:hAnsi="Times New Roman"/>
          <w:sz w:val="18"/>
          <w:szCs w:val="18"/>
          <w:color w:val="auto"/>
        </w:rPr>
        <w:t>We also agreed, pursuant to a Registration Rights Agreement (the “Registration Rights Agreement”), to file a registration statement on Form S-1 or Form S-3 covering the resale of the Shares (the “Resale Registration Statement”), within 30 calendar days following the Effective Date, and to use reasonable best efforts to have such Resale Registration Statement declared effective by the SEC within 60 days (or, in the event of a “full review” by the Securities and Exchange Commission, within 90 days) following the Effective Date. We shall be required to make cash payments to the Plaintiffs in the event we fail to register the Shares and keep the Resale Registration Statement effective pursuant to the terms of the Registration Rights Agreement, and if we fail to remove the restrictions on the Shares pursuant to the terms of the Settlement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also “Note 3.H. Mona Litigation:”, to the financial statements included earlier in this Quarterly Report on Form 10-Q.</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in any case that would have a material adverse effect on us or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no director or officer, as defined in Rule 16a-1(f) under the Securities Exchange Act of 1934, as amended, of the Company adopted or terminated a “Rule 10b5-1 trading arrangement” or “non-Rule 10b5-1 trading arrangement,” as each term is defined in Item 408(a)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3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Agreement and Plan of Merger and Reorganization, dated as of August 15, 2016, by and among StemCells, Inc., C&amp;RD Israel Ltd. and</w:t>
              </w:r>
            </w:hyperlink>
          </w:p>
        </w:tc>
      </w:tr>
      <w:tr>
        <w:trPr>
          <w:trHeight w:val="196"/>
        </w:trPr>
        <w:tc>
          <w:tcPr>
            <w:tcW w:w="920" w:type="dxa"/>
            <w:vAlign w:val="bottom"/>
          </w:tcPr>
          <w:p>
            <w:pPr>
              <w:spacing w:after="0"/>
              <w:rPr>
                <w:sz w:val="17"/>
                <w:szCs w:val="17"/>
                <w:color w:val="auto"/>
              </w:rPr>
            </w:pP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Microbot Medical Ltd. (incorporated by reference to the Company’s Current Report on Form 8-K filed on August 15, 2016).</w:t>
              </w:r>
            </w:hyperlink>
          </w:p>
        </w:tc>
      </w:tr>
      <w:tr>
        <w:trPr>
          <w:trHeight w:val="20"/>
        </w:trPr>
        <w:tc>
          <w:tcPr>
            <w:tcW w:w="9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Restated Certificate of Incorporation of the Company (incorporated by reference to the Company’s Annual Report on Form 10-K for the fiscal</w:t>
              </w:r>
            </w:hyperlink>
          </w:p>
        </w:tc>
      </w:tr>
      <w:tr>
        <w:trPr>
          <w:trHeight w:val="196"/>
        </w:trPr>
        <w:tc>
          <w:tcPr>
            <w:tcW w:w="920" w:type="dxa"/>
            <w:vAlign w:val="bottom"/>
          </w:tcPr>
          <w:p>
            <w:pPr>
              <w:spacing w:after="0"/>
              <w:rPr>
                <w:sz w:val="17"/>
                <w:szCs w:val="17"/>
                <w:color w:val="auto"/>
              </w:rPr>
            </w:pPr>
          </w:p>
        </w:tc>
        <w:tc>
          <w:tcPr>
            <w:tcW w:w="4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year ended December 31, 2006 and filed on March 15, 2007).</w:t>
              </w:r>
            </w:hyperlink>
          </w:p>
        </w:tc>
        <w:tc>
          <w:tcPr>
            <w:tcW w:w="5880" w:type="dxa"/>
            <w:vAlign w:val="bottom"/>
            <w:gridSpan w:val="14"/>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Certificate of Amendment to the Restated Certificate of Incorporation of the Company (incorporated by reference to the Company’s Current</w:t>
              </w:r>
            </w:hyperlink>
          </w:p>
        </w:tc>
      </w:tr>
      <w:tr>
        <w:trPr>
          <w:trHeight w:val="196"/>
        </w:trPr>
        <w:tc>
          <w:tcPr>
            <w:tcW w:w="920" w:type="dxa"/>
            <w:vAlign w:val="bottom"/>
          </w:tcPr>
          <w:p>
            <w:pPr>
              <w:spacing w:after="0"/>
              <w:rPr>
                <w:sz w:val="17"/>
                <w:szCs w:val="17"/>
                <w:color w:val="auto"/>
              </w:rPr>
            </w:pP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Report on Form 8-K filed on November 29, 2016)</w:t>
              </w:r>
            </w:hyperlink>
          </w:p>
        </w:tc>
      </w:tr>
      <w:tr>
        <w:trPr>
          <w:trHeight w:val="20"/>
        </w:trPr>
        <w:tc>
          <w:tcPr>
            <w:tcW w:w="9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 8-</w:t>
              </w:r>
            </w:hyperlink>
          </w:p>
        </w:tc>
      </w:tr>
      <w:tr>
        <w:trPr>
          <w:trHeight w:val="196"/>
        </w:trPr>
        <w:tc>
          <w:tcPr>
            <w:tcW w:w="920" w:type="dxa"/>
            <w:vAlign w:val="bottom"/>
          </w:tcPr>
          <w:p>
            <w:pPr>
              <w:spacing w:after="0"/>
              <w:rPr>
                <w:sz w:val="17"/>
                <w:szCs w:val="17"/>
                <w:color w:val="auto"/>
              </w:rPr>
            </w:pP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K filed on September 4, 2018).</w:t>
              </w:r>
            </w:hyperlink>
          </w:p>
        </w:tc>
      </w:tr>
      <w:tr>
        <w:trPr>
          <w:trHeight w:val="20"/>
        </w:trPr>
        <w:tc>
          <w:tcPr>
            <w:tcW w:w="9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Amended and Restated By-Laws of the Company (incorporated by reference to the Company’s Current Report on Form 8-K filed on May 3,</w:t>
              </w:r>
            </w:hyperlink>
          </w:p>
        </w:tc>
      </w:tr>
      <w:tr>
        <w:trPr>
          <w:trHeight w:val="196"/>
        </w:trPr>
        <w:tc>
          <w:tcPr>
            <w:tcW w:w="9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41">
              <w:r>
                <w:rPr>
                  <w:rFonts w:ascii="Times New Roman" w:cs="Times New Roman" w:eastAsia="Times New Roman" w:hAnsi="Times New Roman"/>
                  <w:sz w:val="18"/>
                  <w:szCs w:val="18"/>
                  <w:color w:val="0000EE"/>
                  <w:w w:val="95"/>
                </w:rPr>
                <w:t>2016)</w:t>
              </w:r>
            </w:hyperlink>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Certificate of Elimination (incorporated by reference to the Company’s Current Report on Form 8-K filed on December 12, 2018).</w:t>
              </w:r>
            </w:hyperlink>
          </w:p>
        </w:tc>
      </w:tr>
      <w:tr>
        <w:trPr>
          <w:trHeight w:val="20"/>
        </w:trPr>
        <w:tc>
          <w:tcPr>
            <w:tcW w:w="9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Certificate of Amendment to the Restated Certificate of Incorporation (incorporated by reference to the Company’s Current Report on Form 8-</w:t>
              </w:r>
            </w:hyperlink>
          </w:p>
        </w:tc>
      </w:tr>
      <w:tr>
        <w:trPr>
          <w:trHeight w:val="196"/>
        </w:trPr>
        <w:tc>
          <w:tcPr>
            <w:tcW w:w="920" w:type="dxa"/>
            <w:vAlign w:val="bottom"/>
          </w:tcPr>
          <w:p>
            <w:pPr>
              <w:spacing w:after="0"/>
              <w:rPr>
                <w:sz w:val="17"/>
                <w:szCs w:val="17"/>
                <w:color w:val="auto"/>
              </w:rPr>
            </w:pP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K filed on September 11, 2019).</w:t>
              </w:r>
            </w:hyperlink>
          </w:p>
        </w:tc>
      </w:tr>
      <w:tr>
        <w:trPr>
          <w:trHeight w:val="20"/>
        </w:trPr>
        <w:tc>
          <w:tcPr>
            <w:tcW w:w="9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Amendment to Section 5 of the Amended and Restated By-Laws of the Company (incorporated by reference to the Company’s Current Report</w:t>
              </w:r>
            </w:hyperlink>
          </w:p>
        </w:tc>
      </w:tr>
      <w:tr>
        <w:trPr>
          <w:trHeight w:val="196"/>
        </w:trPr>
        <w:tc>
          <w:tcPr>
            <w:tcW w:w="920" w:type="dxa"/>
            <w:vAlign w:val="bottom"/>
          </w:tcPr>
          <w:p>
            <w:pPr>
              <w:spacing w:after="0"/>
              <w:rPr>
                <w:sz w:val="17"/>
                <w:szCs w:val="17"/>
                <w:color w:val="auto"/>
              </w:rPr>
            </w:pPr>
          </w:p>
        </w:tc>
        <w:tc>
          <w:tcPr>
            <w:tcW w:w="26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on Form 8-K filed on May 3, 2021).</w:t>
              </w:r>
            </w:hyperlink>
          </w:p>
        </w:tc>
        <w:tc>
          <w:tcPr>
            <w:tcW w:w="7720" w:type="dxa"/>
            <w:vAlign w:val="bottom"/>
            <w:gridSpan w:val="18"/>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Description of the Company’s Securities (incorporated by reference to the Registrant’s Annual Report on Form 10-K for the fiscal year ended</w:t>
              </w:r>
            </w:hyperlink>
          </w:p>
        </w:tc>
      </w:tr>
      <w:tr>
        <w:trPr>
          <w:trHeight w:val="196"/>
        </w:trPr>
        <w:tc>
          <w:tcPr>
            <w:tcW w:w="92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45">
              <w:r>
                <w:rPr>
                  <w:rFonts w:ascii="Times New Roman" w:cs="Times New Roman" w:eastAsia="Times New Roman" w:hAnsi="Times New Roman"/>
                  <w:sz w:val="18"/>
                  <w:szCs w:val="18"/>
                  <w:color w:val="0000EE"/>
                  <w:w w:val="98"/>
                </w:rPr>
                <w:t>December 31, 2019).</w:t>
              </w:r>
            </w:hyperlink>
          </w:p>
        </w:tc>
        <w:tc>
          <w:tcPr>
            <w:tcW w:w="8780" w:type="dxa"/>
            <w:vAlign w:val="bottom"/>
            <w:tcBorders>
              <w:top w:val="single" w:sz="8" w:color="0000EE"/>
            </w:tcBorders>
            <w:gridSpan w:val="21"/>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93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Form of Series A Warrant (incorporated by reference to the Registrant’s Current Report on Form 8-K filed on October 25, 2022)</w:t>
              </w:r>
            </w:hyperlink>
          </w:p>
        </w:tc>
        <w:tc>
          <w:tcPr>
            <w:tcW w:w="940" w:type="dxa"/>
            <w:vAlign w:val="bottom"/>
            <w:gridSpan w:val="5"/>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95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Form of Wainwright Warrant (incorporated by reference to the Registrant’s Current Report on Form 8-K filed on October 25, 2022)</w:t>
              </w:r>
            </w:hyperlink>
          </w:p>
        </w:tc>
        <w:tc>
          <w:tcPr>
            <w:tcW w:w="760" w:type="dxa"/>
            <w:vAlign w:val="bottom"/>
            <w:gridSpan w:val="4"/>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92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Form of Wainwright Warrant (incorporated by reference to the Registrant’s Current Report on Form 8-K filed on May 23, 2023)</w:t>
              </w:r>
            </w:hyperlink>
          </w:p>
        </w:tc>
        <w:tc>
          <w:tcPr>
            <w:tcW w:w="1100" w:type="dxa"/>
            <w:vAlign w:val="bottom"/>
            <w:gridSpan w:val="6"/>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92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Form of Wainwright Warrant (incorporated by reference to the Registrant’s Current Report on Form 8-K filed on May 24, 2023)</w:t>
              </w:r>
            </w:hyperlink>
          </w:p>
        </w:tc>
        <w:tc>
          <w:tcPr>
            <w:tcW w:w="1100" w:type="dxa"/>
            <w:vAlign w:val="bottom"/>
            <w:gridSpan w:val="6"/>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Form of Warrant Amendment Agreement (incorporated by reference to the Registrant’s Current Report on Form 8-K filed on May 24, 2023)</w:t>
              </w:r>
            </w:hyperlink>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01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Form of Series C Warrant (incorporated by reference to the Registrant’s Current Report on Form 8-K filed on June 6, 2023)</w:t>
              </w:r>
            </w:hyperlink>
          </w:p>
        </w:tc>
        <w:tc>
          <w:tcPr>
            <w:tcW w:w="220" w:type="dxa"/>
            <w:vAlign w:val="bottom"/>
            <w:gridSpan w:val="3"/>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Form of Wainwright Warrant (incorporated by reference to the Registrant’s Current Report on Form 8-K filed on June 6, 2023)</w:t>
              </w:r>
            </w:hyperlink>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91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Form of Series D Warrant (incorporated by reference to the Registrant’s Current Report on Form 8-K filed on June 28, 2023)</w:t>
              </w:r>
            </w:hyperlink>
          </w:p>
        </w:tc>
        <w:tc>
          <w:tcPr>
            <w:tcW w:w="1200" w:type="dxa"/>
            <w:vAlign w:val="bottom"/>
            <w:gridSpan w:val="7"/>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92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Form of Wainwright Warrant (incorporated by reference to the Registrant’s Current Report on Form 8-K filed on June 28, 2023)</w:t>
              </w:r>
            </w:hyperlink>
          </w:p>
        </w:tc>
        <w:tc>
          <w:tcPr>
            <w:tcW w:w="1100" w:type="dxa"/>
            <w:vAlign w:val="bottom"/>
            <w:gridSpan w:val="6"/>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01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Form of Inducement Investment Option (incorporated by reference to the Registrant’s Current Report on Form 8-K filed on January 2, 2024)</w:t>
              </w:r>
            </w:hyperlink>
          </w:p>
        </w:tc>
        <w:tc>
          <w:tcPr>
            <w:tcW w:w="180" w:type="dxa"/>
            <w:vAlign w:val="bottom"/>
            <w:gridSpan w:val="2"/>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Form of Placement Agent Investment Option (incorporated by reference to the Registrant’s Current Report on Form 8-K filed on January 2,</w:t>
              </w:r>
            </w:hyperlink>
          </w:p>
        </w:tc>
      </w:tr>
      <w:tr>
        <w:trPr>
          <w:trHeight w:val="196"/>
        </w:trPr>
        <w:tc>
          <w:tcPr>
            <w:tcW w:w="9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56">
              <w:r>
                <w:rPr>
                  <w:rFonts w:ascii="Times New Roman" w:cs="Times New Roman" w:eastAsia="Times New Roman" w:hAnsi="Times New Roman"/>
                  <w:sz w:val="18"/>
                  <w:szCs w:val="18"/>
                  <w:color w:val="0000EE"/>
                  <w:w w:val="95"/>
                </w:rPr>
                <w:t>2024)</w:t>
              </w:r>
            </w:hyperlink>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Form of Series F Warrant (incorporated by reference to the Registrant’s Current Report on Form 8-K filed on June 4, 2024)</w:t>
              </w:r>
            </w:hyperlink>
          </w:p>
        </w:tc>
      </w:tr>
      <w:tr>
        <w:trPr>
          <w:trHeight w:val="20"/>
        </w:trPr>
        <w:tc>
          <w:tcPr>
            <w:tcW w:w="92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Form of Wainwright Warrant (incorporated by reference to the Registrant’s Current Report on Form 8-K filed on June 4, 2024)</w:t>
              </w:r>
            </w:hyperlink>
          </w:p>
        </w:tc>
      </w:tr>
      <w:tr>
        <w:trPr>
          <w:trHeight w:val="20"/>
        </w:trPr>
        <w:tc>
          <w:tcPr>
            <w:tcW w:w="92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Form of Securities Purchase Agreement, dated as of June 3, 2024, by and among the Company and the purchasers party thereto. (incorporated</w:t>
              </w:r>
            </w:hyperlink>
          </w:p>
        </w:tc>
      </w:tr>
      <w:tr>
        <w:trPr>
          <w:trHeight w:val="196"/>
        </w:trPr>
        <w:tc>
          <w:tcPr>
            <w:tcW w:w="920" w:type="dxa"/>
            <w:vAlign w:val="bottom"/>
          </w:tcPr>
          <w:p>
            <w:pPr>
              <w:spacing w:after="0"/>
              <w:rPr>
                <w:sz w:val="17"/>
                <w:szCs w:val="17"/>
                <w:color w:val="auto"/>
              </w:rPr>
            </w:pPr>
          </w:p>
        </w:tc>
        <w:tc>
          <w:tcPr>
            <w:tcW w:w="71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by reference to Exhibit 10.1 to the Registrant’s Current Report on Form 8-K filed on June 4, 2024)</w:t>
              </w:r>
            </w:hyperlink>
          </w:p>
        </w:tc>
        <w:tc>
          <w:tcPr>
            <w:tcW w:w="3220" w:type="dxa"/>
            <w:vAlign w:val="bottom"/>
            <w:gridSpan w:val="12"/>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3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60">
              <w:r>
                <w:rPr>
                  <w:rFonts w:ascii="Times New Roman" w:cs="Times New Roman" w:eastAsia="Times New Roman" w:hAnsi="Times New Roman"/>
                  <w:sz w:val="18"/>
                  <w:szCs w:val="18"/>
                  <w:color w:val="0000EE"/>
                  <w:w w:val="99"/>
                </w:rPr>
                <w:t>Amendment to the At the Market Offering Agreement, dated July 1, 2024, by and between Microbot Medical Inc. and H.C. Wainwright &amp; Co.,</w:t>
              </w:r>
            </w:hyperlink>
          </w:p>
        </w:tc>
      </w:tr>
      <w:tr>
        <w:trPr>
          <w:trHeight w:val="196"/>
        </w:trPr>
        <w:tc>
          <w:tcPr>
            <w:tcW w:w="920" w:type="dxa"/>
            <w:vAlign w:val="bottom"/>
          </w:tcPr>
          <w:p>
            <w:pPr>
              <w:spacing w:after="0"/>
              <w:rPr>
                <w:sz w:val="17"/>
                <w:szCs w:val="17"/>
                <w:color w:val="auto"/>
              </w:rPr>
            </w:pPr>
          </w:p>
        </w:tc>
        <w:tc>
          <w:tcPr>
            <w:tcW w:w="10320" w:type="dxa"/>
            <w:vAlign w:val="bottom"/>
            <w:gridSpan w:val="24"/>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LLC (incorporated by reference to the Registrant’s Current Report on Form 8-K filed on July 1, 2024)</w:t>
              </w:r>
            </w:hyperlink>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56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Harel Gadot, Chairman, President and Chief Executive Officer</w:t>
            </w:r>
          </w:p>
        </w:tc>
        <w:tc>
          <w:tcPr>
            <w:tcW w:w="1680" w:type="dxa"/>
            <w:vAlign w:val="bottom"/>
            <w:tcBorders>
              <w:top w:val="single" w:sz="8" w:color="0000EE"/>
            </w:tcBorders>
            <w:gridSpan w:val="2"/>
          </w:tcPr>
          <w:p>
            <w:pPr>
              <w:spacing w:after="0"/>
              <w:rPr>
                <w:sz w:val="17"/>
                <w:szCs w:val="17"/>
                <w:color w:val="auto"/>
              </w:rPr>
            </w:pPr>
          </w:p>
        </w:tc>
        <w:tc>
          <w:tcPr>
            <w:tcW w:w="2980" w:type="dxa"/>
            <w:vAlign w:val="bottom"/>
            <w:gridSpan w:val="11"/>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40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Rachel Vaknin, Chief Financial Officer</w:t>
            </w:r>
          </w:p>
        </w:tc>
        <w:tc>
          <w:tcPr>
            <w:tcW w:w="6260" w:type="dxa"/>
            <w:vAlign w:val="bottom"/>
            <w:gridSpan w:val="15"/>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32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Harel Gadot, Chairman, President and Chief Executive Officer, pursuant to 18 U.S.C. Section 1350, as adopted pursuant to</w:t>
            </w:r>
          </w:p>
        </w:tc>
      </w:tr>
      <w:tr>
        <w:trPr>
          <w:trHeight w:val="196"/>
        </w:trPr>
        <w:tc>
          <w:tcPr>
            <w:tcW w:w="920" w:type="dxa"/>
            <w:vAlign w:val="bottom"/>
          </w:tcPr>
          <w:p>
            <w:pPr>
              <w:spacing w:after="0"/>
              <w:rPr>
                <w:sz w:val="17"/>
                <w:szCs w:val="17"/>
                <w:color w:val="auto"/>
              </w:rPr>
            </w:pPr>
          </w:p>
        </w:tc>
        <w:tc>
          <w:tcPr>
            <w:tcW w:w="103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92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6920" w:type="dxa"/>
            <w:vAlign w:val="bottom"/>
            <w:gridSpan w:val="17"/>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32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Rachel Vaknin, Chief Financial Officer, pursuant to 18 U.S.C. Section 1350, as adopted pursuant to Section 906 of the</w:t>
            </w:r>
          </w:p>
        </w:tc>
      </w:tr>
      <w:tr>
        <w:trPr>
          <w:trHeight w:val="196"/>
        </w:trPr>
        <w:tc>
          <w:tcPr>
            <w:tcW w:w="920" w:type="dxa"/>
            <w:vAlign w:val="bottom"/>
          </w:tcPr>
          <w:p>
            <w:pPr>
              <w:spacing w:after="0"/>
              <w:rPr>
                <w:sz w:val="17"/>
                <w:szCs w:val="17"/>
                <w:color w:val="auto"/>
              </w:rPr>
            </w:pPr>
          </w:p>
        </w:tc>
        <w:tc>
          <w:tcPr>
            <w:tcW w:w="103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920" w:type="dxa"/>
            <w:vAlign w:val="bottom"/>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8280" w:type="dxa"/>
            <w:vAlign w:val="bottom"/>
            <w:gridSpan w:val="21"/>
          </w:tcPr>
          <w:p>
            <w:pPr>
              <w:spacing w:after="0" w:line="20" w:lineRule="exact"/>
              <w:rPr>
                <w:sz w:val="1"/>
                <w:szCs w:val="1"/>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 The instance document does not appear in the Interactive Data File because its XBRL tags are embedded within the</w:t>
            </w:r>
          </w:p>
        </w:tc>
      </w:tr>
      <w:tr>
        <w:trPr>
          <w:trHeight w:val="216"/>
        </w:trPr>
        <w:tc>
          <w:tcPr>
            <w:tcW w:w="920" w:type="dxa"/>
            <w:vAlign w:val="bottom"/>
          </w:tcPr>
          <w:p>
            <w:pPr>
              <w:spacing w:after="0"/>
              <w:rPr>
                <w:sz w:val="18"/>
                <w:szCs w:val="18"/>
                <w:color w:val="auto"/>
              </w:rPr>
            </w:pP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bl>
    <w:p>
      <w:pPr>
        <w:spacing w:after="0" w:line="198" w:lineRule="exact"/>
        <w:rPr>
          <w:sz w:val="20"/>
          <w:szCs w:val="20"/>
          <w:color w:val="auto"/>
        </w:rPr>
      </w:pPr>
    </w:p>
    <w:p>
      <w:pPr>
        <w:ind w:left="5540" w:right="3800" w:hanging="5532"/>
        <w:spacing w:after="0" w:line="532" w:lineRule="auto"/>
        <w:tabs>
          <w:tab w:leader="none" w:pos="9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this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2024.</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President and 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Rachel Vaknin</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Microbot Medical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14,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566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Rachel Vaknin,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Microbot Medical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14,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June 30, 2024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81"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August 14, 2024</w:t>
      </w:r>
      <w:r>
        <w:rPr>
          <w:sz w:val="20"/>
          <w:szCs w:val="20"/>
          <w:color w:val="auto"/>
        </w:rPr>
        <w:tab/>
      </w:r>
      <w:r>
        <w:rPr>
          <w:rFonts w:ascii="Times New Roman" w:cs="Times New Roman" w:eastAsia="Times New Roman" w:hAnsi="Times New Roman"/>
          <w:sz w:val="17"/>
          <w:szCs w:val="17"/>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Rachel Vaknin, Chief Financial Officer of Microbot Medical Inc., hereby certify, pursuant to 18 U.S.C. Section 1350, as adopted pursuant to Section 906 of the Sarbanes-Oxley Act of 2002, that to my knowledge, the quarterly report on Form 10-Q for the period ending June 30, 2024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7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August 14, 2024</w:t>
      </w:r>
      <w:r>
        <w:rPr>
          <w:sz w:val="20"/>
          <w:szCs w:val="20"/>
          <w:color w:val="auto"/>
        </w:rPr>
        <w:tab/>
      </w:r>
      <w:r>
        <w:rPr>
          <w:rFonts w:ascii="Times New Roman" w:cs="Times New Roman" w:eastAsia="Times New Roman" w:hAnsi="Times New Roman"/>
          <w:sz w:val="17"/>
          <w:szCs w:val="17"/>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27305</wp:posOffset>
            </wp:positionV>
            <wp:extent cx="3566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Rachel Vaknin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04"/>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61" Type="http://schemas.openxmlformats.org/officeDocument/2006/relationships/image" Target="media/image30.png"/><Relationship Id="rId62" Type="http://schemas.openxmlformats.org/officeDocument/2006/relationships/image" Target="media/image31.png"/><Relationship Id="rId63" Type="http://schemas.openxmlformats.org/officeDocument/2006/relationships/image" Target="media/image32.png"/><Relationship Id="rId64" Type="http://schemas.openxmlformats.org/officeDocument/2006/relationships/image" Target="media/image33.png"/><Relationship Id="rId65" Type="http://schemas.openxmlformats.org/officeDocument/2006/relationships/image" Target="media/image34.png"/><Relationship Id="rId66" Type="http://schemas.openxmlformats.org/officeDocument/2006/relationships/image" Target="media/image35.png"/><Relationship Id="rId67" Type="http://schemas.openxmlformats.org/officeDocument/2006/relationships/image" Target="media/image36.png"/><Relationship Id="rId68" Type="http://schemas.openxmlformats.org/officeDocument/2006/relationships/image" Target="media/image37.png"/><Relationship Id="rId69" Type="http://schemas.openxmlformats.org/officeDocument/2006/relationships/image" Target="media/image38.png"/><Relationship Id="rId70" Type="http://schemas.openxmlformats.org/officeDocument/2006/relationships/image" Target="media/image39.png"/><Relationship Id="rId71" Type="http://schemas.openxmlformats.org/officeDocument/2006/relationships/image" Target="media/image40.png"/><Relationship Id="rId72" Type="http://schemas.openxmlformats.org/officeDocument/2006/relationships/image" Target="media/image41.png"/><Relationship Id="rId37" Type="http://schemas.openxmlformats.org/officeDocument/2006/relationships/hyperlink" Target="https://www.sec.gov/Archives/edgar/data/883975/000119312516682077/d161430dex21.htm" TargetMode="External"/><Relationship Id="rId38" Type="http://schemas.openxmlformats.org/officeDocument/2006/relationships/hyperlink" Target="https://www.sec.gov/Archives/edgar/data/883975/000095013407005808/f27726exv3w1.htm" TargetMode="External"/><Relationship Id="rId39" Type="http://schemas.openxmlformats.org/officeDocument/2006/relationships/hyperlink" Target="https://www.sec.gov/Archives/edgar/data/883975/000119312516779729/d296933dex31.htm" TargetMode="External"/><Relationship Id="rId40" Type="http://schemas.openxmlformats.org/officeDocument/2006/relationships/hyperlink" Target="https://www.sec.gov/Archives/edgar/data/883975/000149315218012872/ex3-1.htm" TargetMode="External"/><Relationship Id="rId41" Type="http://schemas.openxmlformats.org/officeDocument/2006/relationships/hyperlink" Target="https://www.sec.gov/Archives/edgar/data/883975/000129993316002374/exhibit1.htm" TargetMode="External"/><Relationship Id="rId42" Type="http://schemas.openxmlformats.org/officeDocument/2006/relationships/hyperlink" Target="https://www.sec.gov/Archives/edgar/data/883975/000149315218017395/ex3-1.htm" TargetMode="External"/><Relationship Id="rId43" Type="http://schemas.openxmlformats.org/officeDocument/2006/relationships/hyperlink" Target="https://www.sec.gov/Archives/edgar/data/883975/000149315219013998/ex3-1.htm" TargetMode="External"/><Relationship Id="rId44" Type="http://schemas.openxmlformats.org/officeDocument/2006/relationships/hyperlink" Target="https://www.sec.gov/Archives/edgar/data/883975/000149315221010347/ex3-1.htm" TargetMode="External"/><Relationship Id="rId45" Type="http://schemas.openxmlformats.org/officeDocument/2006/relationships/hyperlink" Target="https://www.sec.gov/Archives/edgar/data/883975/000149315220006338/ex4-10.htm" TargetMode="External"/><Relationship Id="rId46" Type="http://schemas.openxmlformats.org/officeDocument/2006/relationships/hyperlink" Target="https://www.sec.gov/Archives/edgar/data/883975/000149315222029541/ex4-2.htm" TargetMode="External"/><Relationship Id="rId47" Type="http://schemas.openxmlformats.org/officeDocument/2006/relationships/hyperlink" Target="https://www.sec.gov/Archives/edgar/data/883975/000149315222029541/ex4-4.htm" TargetMode="External"/><Relationship Id="rId48" Type="http://schemas.openxmlformats.org/officeDocument/2006/relationships/hyperlink" Target="https://www.sec.gov/Archives/edgar/data/883975/000149315223018718/ex4-1.htm" TargetMode="External"/><Relationship Id="rId49" Type="http://schemas.openxmlformats.org/officeDocument/2006/relationships/hyperlink" Target="https://www.sec.gov/Archives/edgar/data/883975/000149315223018932/ex4-2.htm" TargetMode="External"/><Relationship Id="rId50" Type="http://schemas.openxmlformats.org/officeDocument/2006/relationships/hyperlink" Target="https://www.sec.gov/Archives/edgar/data/883975/000149315223018932/ex10-2.htm" TargetMode="External"/><Relationship Id="rId51" Type="http://schemas.openxmlformats.org/officeDocument/2006/relationships/hyperlink" Target="https://www.sec.gov/Archives/edgar/data/883975/000149315223020309/ex4-1.htm" TargetMode="External"/><Relationship Id="rId52" Type="http://schemas.openxmlformats.org/officeDocument/2006/relationships/hyperlink" Target="https://www.sec.gov/Archives/edgar/data/883975/000149315223020309/ex4-2.htm" TargetMode="External"/><Relationship Id="rId53" Type="http://schemas.openxmlformats.org/officeDocument/2006/relationships/hyperlink" Target="https://www.sec.gov/Archives/edgar/data/883975/000149315223022814/ex4-1.htm" TargetMode="External"/><Relationship Id="rId54" Type="http://schemas.openxmlformats.org/officeDocument/2006/relationships/hyperlink" Target="https://www.sec.gov/Archives/edgar/data/883975/000149315223022814/ex4-2.htm" TargetMode="External"/><Relationship Id="rId55" Type="http://schemas.openxmlformats.org/officeDocument/2006/relationships/hyperlink" Target="https://www.sec.gov/Archives/edgar/data/883975/000149315224000109/ex4-1.htm" TargetMode="External"/><Relationship Id="rId56" Type="http://schemas.openxmlformats.org/officeDocument/2006/relationships/hyperlink" Target="https://www.sec.gov/Archives/edgar/data/883975/000149315224000109/ex4-2.htm" TargetMode="External"/><Relationship Id="rId57" Type="http://schemas.openxmlformats.org/officeDocument/2006/relationships/hyperlink" Target="https://www.sec.gov/Archives/edgar/data/883975/000149315224022560/ex4-1.htm" TargetMode="External"/><Relationship Id="rId58" Type="http://schemas.openxmlformats.org/officeDocument/2006/relationships/hyperlink" Target="https://www.sec.gov/Archives/edgar/data/883975/000149315224022560/ex4-2.htm" TargetMode="External"/><Relationship Id="rId59" Type="http://schemas.openxmlformats.org/officeDocument/2006/relationships/hyperlink" Target="https://www.sec.gov/Archives/edgar/data/883975/000149315224022560/ex10-1.htm" TargetMode="External"/><Relationship Id="rId60" Type="http://schemas.openxmlformats.org/officeDocument/2006/relationships/hyperlink" Target="https://www.sec.gov/Archives/edgar/data/883975/00014931522402581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2024-08-14T12:18:42Z</dcterms:created>
  <dcterms:modified xsi:type="dcterms:W3CDTF">2024-08-14T12:18:42Z</dcterms:modified>
</cp:coreProperties>
</file>