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8</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(a) certain information otherwise reported by us with the Securities and Exchange Commission and (b) the information contained in our Quarterly Report on Form 10-Q for the fiscal quarter ended September 30, 2024, filed with the Securities and Exchange Commission on November 13, 2024 (the “10-Q”). Accordingly, we have included such information in and attached the 10-Q to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December 6, 2024, the closing price of our common stock was $0.9777.</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510(k) Premarket Notification Submission</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have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Annual Meeting of Stockholders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scheduled our 2024 Annual Meeting of Shareholders (the “Annual Meeting”) for 11:00 A.M., Eastern Time on December 17, 2024.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shareholders will be asked to vote on:</w:t>
      </w:r>
    </w:p>
    <w:p>
      <w:pPr>
        <w:spacing w:after="0" w:line="207" w:lineRule="exact"/>
        <w:rPr>
          <w:sz w:val="20"/>
          <w:szCs w:val="20"/>
          <w:color w:val="auto"/>
        </w:rPr>
      </w:pPr>
    </w:p>
    <w:p>
      <w:pPr>
        <w:ind w:firstLine="656"/>
        <w:spacing w:after="0" w:line="282" w:lineRule="auto"/>
        <w:tabs>
          <w:tab w:leader="none" w:pos="8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Prattipati Laxminarain and David J. Wilson as the Class III directors to our Board of Directors to serve until the 2027 Annual Meeting of Shareholders;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2020 Omnibus Performance Award Plan, to increase the number of authorized shares of common stock reserved for issuance by 600,000, from 2,020,652 to 2,620,652;</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Brightman Almagor Zohar &amp; Co., a Member of Deloitte Touche Tohmatsu Limited, or its U.S. affiliate, as our independent registered public accounting firm for the year ending December 31, 2024; and</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Yoseph Bornstein’s term as a director expires at the Annual Meeting and he is not nominated for reelection at the Annual Meeting. We have nominated David J. Wilson for the Class III directorship being vacated at the Annual Meeting when Mr. Bornstein’s three-year term ends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October 25, 2024,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October 25, 2024. We calculated percentage ownership in accordance with the rules of the SEC. the percentage of common stock beneficially owned is based on 16,931,931 shares outstanding as of October 25, 2024. In addition, shares issuable pursuant to options or other convertible securities that may be acquired within 60 days of October 25,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38"/>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0"/>
                <w:szCs w:val="20"/>
                <w:color w:val="auto"/>
              </w:rPr>
            </w:pPr>
          </w:p>
        </w:tc>
      </w:tr>
      <w:tr>
        <w:trPr>
          <w:trHeight w:val="250"/>
        </w:trPr>
        <w:tc>
          <w:tcPr>
            <w:tcW w:w="67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w:t>
            </w:r>
          </w:p>
        </w:tc>
        <w:tc>
          <w:tcPr>
            <w:tcW w:w="20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1,120,273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309,768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67,740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67,740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67,740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62,644</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100,669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15,687</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61,053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66,849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David J. Wilson</w:t>
            </w:r>
            <w:r>
              <w:rPr>
                <w:rFonts w:ascii="Times New Roman" w:cs="Times New Roman" w:eastAsia="Times New Roman" w:hAnsi="Times New Roman"/>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1,940,163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905,580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67,740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w:t>
      </w:r>
    </w:p>
    <w:p>
      <w:pPr>
        <w:sectPr>
          <w:pgSz w:w="11900" w:h="16876" w:orient="portrait"/>
          <w:cols w:equalWidth="0" w:num="1">
            <w:col w:w="11240"/>
          </w:cols>
          <w:pgMar w:left="320" w:top="657" w:right="339" w:bottom="0" w:gutter="0" w:footer="0" w:header="0"/>
        </w:sectPr>
      </w:pPr>
    </w:p>
    <w:bookmarkStart w:id="2" w:name="page3"/>
    <w:bookmarkEnd w:id="2"/>
    <w:p>
      <w:pPr>
        <w:jc w:val="both"/>
        <w:ind w:left="332"/>
        <w:spacing w:after="0" w:line="257" w:lineRule="auto"/>
        <w:rPr>
          <w:sz w:val="20"/>
          <w:szCs w:val="20"/>
          <w:color w:val="auto"/>
        </w:rPr>
      </w:pPr>
      <w:r>
        <w:rPr>
          <w:rFonts w:ascii="Times New Roman" w:cs="Times New Roman" w:eastAsia="Times New Roman" w:hAnsi="Times New Roman"/>
          <w:sz w:val="18"/>
          <w:szCs w:val="18"/>
          <w:color w:val="auto"/>
        </w:rPr>
        <w:t>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 Mr. Bornstein’s terms as a director expires at the Annual Meeting.</w:t>
      </w:r>
    </w:p>
    <w:p>
      <w:pPr>
        <w:spacing w:after="0" w:line="1" w:lineRule="exact"/>
        <w:rPr>
          <w:sz w:val="20"/>
          <w:szCs w:val="20"/>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Morag resigned from his positions with the Company, effective November 29,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492125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0"/>
          <w:szCs w:val="20"/>
          <w:color w:val="auto"/>
        </w:rPr>
      </w:pPr>
    </w:p>
    <w:p>
      <w:pPr>
        <w:ind w:left="3780" w:right="2200" w:hanging="3772"/>
        <w:spacing w:after="0" w:line="477" w:lineRule="auto"/>
        <w:tabs>
          <w:tab w:leader="none" w:pos="327"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2024</w:t>
      </w:r>
    </w:p>
    <w:p>
      <w:pPr>
        <w:spacing w:after="0" w:line="41" w:lineRule="exact"/>
        <w:rPr>
          <w:sz w:val="20"/>
          <w:szCs w:val="20"/>
          <w:color w:val="auto"/>
        </w:rPr>
      </w:pPr>
    </w:p>
    <w:p>
      <w:pPr>
        <w:ind w:left="3680" w:right="2620" w:hanging="3672"/>
        <w:spacing w:after="0" w:line="500" w:lineRule="auto"/>
        <w:tabs>
          <w:tab w:leader="none" w:pos="337"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000-19871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of Registrant in Its Charter)</w:t>
      </w:r>
    </w:p>
    <w:p>
      <w:pPr>
        <w:sectPr>
          <w:pgSz w:w="11900" w:h="16838" w:orient="portrait"/>
          <w:cols w:equalWidth="0" w:num="1">
            <w:col w:w="11240"/>
          </w:cols>
          <w:pgMar w:left="320" w:top="956" w:right="339" w:bottom="978" w:gutter="0" w:footer="0" w:header="0"/>
        </w:sectPr>
      </w:pPr>
    </w:p>
    <w:p>
      <w:pPr>
        <w:spacing w:after="0" w:line="20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94-3078125</w:t>
      </w:r>
    </w:p>
    <w:p>
      <w:pPr>
        <w:spacing w:after="0" w:line="27"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200" w:lineRule="exact"/>
        <w:rPr>
          <w:sz w:val="20"/>
          <w:szCs w:val="20"/>
          <w:color w:val="auto"/>
        </w:rPr>
      </w:pPr>
    </w:p>
    <w:p>
      <w:pPr>
        <w:sectPr>
          <w:pgSz w:w="11900" w:h="16838" w:orient="portrait"/>
          <w:cols w:equalWidth="0" w:num="2">
            <w:col w:w="7100" w:space="720"/>
            <w:col w:w="3420"/>
          </w:cols>
          <w:pgMar w:left="320" w:top="956" w:right="339" w:bottom="978"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ectPr>
          <w:pgSz w:w="11900" w:h="16838" w:orient="portrait"/>
          <w:cols w:equalWidth="0" w:num="1">
            <w:col w:w="11240"/>
          </w:cols>
          <w:pgMar w:left="320" w:top="956" w:right="339" w:bottom="978"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(781) 875-3605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56" w:right="339" w:bottom="978" w:gutter="0" w:footer="0" w:header="0"/>
          <w:type w:val="continuous"/>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3340" w:space="720"/>
            <w:col w:w="7180"/>
          </w:cols>
          <w:pgMar w:left="320" w:top="956" w:right="339" w:bottom="978" w:gutter="0" w:footer="0" w:header="0"/>
          <w:type w:val="continuous"/>
        </w:sectPr>
      </w:pPr>
    </w:p>
    <w:p>
      <w:pPr>
        <w:spacing w:after="0" w:line="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14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340" w:space="720"/>
            <w:col w:w="2860" w:space="720"/>
            <w:col w:w="3600"/>
          </w:cols>
          <w:pgMar w:left="320" w:top="956" w:right="339" w:bottom="978" w:gutter="0" w:footer="0" w:header="0"/>
          <w:type w:val="continuous"/>
        </w:sectPr>
      </w:pPr>
    </w:p>
    <w:p>
      <w:pPr>
        <w:spacing w:after="0" w:line="77"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16,932,341 shares of Common Stock, $0.01 par value at November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6" w:right="339" w:bottom="978"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60" w:type="dxa"/>
            <w:vAlign w:val="bottom"/>
            <w:gridSpan w:val="9"/>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SUBSIDIARY</w:t>
            </w:r>
          </w:p>
        </w:tc>
        <w:tc>
          <w:tcPr>
            <w:tcW w:w="840" w:type="dxa"/>
            <w:vAlign w:val="bottom"/>
          </w:tcPr>
          <w:p>
            <w:pPr>
              <w:spacing w:after="0"/>
              <w:rPr>
                <w:sz w:val="18"/>
                <w:szCs w:val="18"/>
                <w:color w:val="auto"/>
              </w:rPr>
            </w:pPr>
          </w:p>
        </w:tc>
      </w:tr>
      <w:tr>
        <w:trPr>
          <w:trHeight w:val="238"/>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6"/>
          </w:tcPr>
          <w:p>
            <w:pPr>
              <w:jc w:val="center"/>
              <w:ind w:right="4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40" w:type="dxa"/>
            <w:vAlign w:val="bottom"/>
          </w:tcPr>
          <w:p>
            <w:pPr>
              <w:spacing w:after="0"/>
              <w:rPr>
                <w:sz w:val="20"/>
                <w:szCs w:val="20"/>
                <w:color w:val="auto"/>
              </w:rPr>
            </w:pPr>
          </w:p>
        </w:tc>
      </w:tr>
      <w:tr>
        <w:trPr>
          <w:trHeight w:val="216"/>
        </w:trPr>
        <w:tc>
          <w:tcPr>
            <w:tcW w:w="104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840" w:type="dxa"/>
            <w:vAlign w:val="bottom"/>
            <w:shd w:val="clear" w:color="auto" w:fill="CCEEFF"/>
          </w:tcPr>
          <w:p>
            <w:pPr>
              <w:spacing w:after="0"/>
              <w:rPr>
                <w:sz w:val="18"/>
                <w:szCs w:val="18"/>
                <w:color w:val="auto"/>
              </w:rPr>
            </w:pPr>
          </w:p>
        </w:tc>
      </w:tr>
      <w:tr>
        <w:trPr>
          <w:trHeight w:val="216"/>
        </w:trPr>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840" w:type="dxa"/>
            <w:vAlign w:val="bottom"/>
          </w:tcPr>
          <w:p>
            <w:pPr>
              <w:spacing w:after="0"/>
              <w:rPr>
                <w:sz w:val="18"/>
                <w:szCs w:val="18"/>
                <w:color w:val="auto"/>
              </w:rPr>
            </w:pPr>
          </w:p>
        </w:tc>
      </w:tr>
      <w:tr>
        <w:trPr>
          <w:trHeight w:val="196"/>
        </w:trPr>
        <w:tc>
          <w:tcPr>
            <w:tcW w:w="88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Balance Sheets as of September 30, 2024 (Unaudited) and December 31, 2023 (Audited)</w:t>
            </w:r>
          </w:p>
        </w:tc>
        <w:tc>
          <w:tcPr>
            <w:tcW w:w="1580" w:type="dxa"/>
            <w:vAlign w:val="bottom"/>
            <w:tcBorders>
              <w:bottom w:val="single" w:sz="8" w:color="CCEEFF"/>
            </w:tcBorders>
            <w:gridSpan w:val="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Comprehensive Loss for the Three and Nine Months Ended September 30, 2024 and 2023</w:t>
            </w:r>
          </w:p>
        </w:tc>
        <w:tc>
          <w:tcPr>
            <w:tcW w:w="84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96"/>
        </w:trPr>
        <w:tc>
          <w:tcPr>
            <w:tcW w:w="99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99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Statements of Shareholders’ Equity for the Three and Nine Months Ended September 30, 2024 and 2023</w:t>
            </w:r>
          </w:p>
        </w:tc>
        <w:tc>
          <w:tcPr>
            <w:tcW w:w="4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7"/>
        </w:trPr>
        <w:tc>
          <w:tcPr>
            <w:tcW w:w="88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9520" w:type="dxa"/>
            <w:vAlign w:val="bottom"/>
            <w:tcBorders>
              <w:bottom w:val="single" w:sz="8" w:color="CCEEFF"/>
            </w:tcBorders>
            <w:gridSpan w:val="16"/>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Cash Flows for the Nine Months Ended September 30, 2024 and 2023 (Unaudited)</w:t>
            </w:r>
          </w:p>
        </w:tc>
        <w:tc>
          <w:tcPr>
            <w:tcW w:w="84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Interim Condensed Consolidated Financial Statements</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5420" w:type="dxa"/>
            <w:vAlign w:val="bottom"/>
            <w:tcBorders>
              <w:bottom w:val="single" w:sz="8" w:color="CCEEFF"/>
            </w:tcBorders>
            <w:gridSpan w:val="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84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8280" w:type="dxa"/>
            <w:vAlign w:val="bottom"/>
            <w:tcBorders>
              <w:top w:val="single" w:sz="8" w:color="CCEEFF"/>
            </w:tcBorders>
            <w:gridSpan w:val="11"/>
          </w:tcPr>
          <w:p>
            <w:pPr>
              <w:spacing w:after="0"/>
              <w:rPr>
                <w:sz w:val="15"/>
                <w:szCs w:val="15"/>
                <w:color w:val="auto"/>
              </w:rPr>
            </w:pPr>
          </w:p>
        </w:tc>
        <w:tc>
          <w:tcPr>
            <w:tcW w:w="840" w:type="dxa"/>
            <w:vAlign w:val="bottom"/>
            <w:tcBorders>
              <w:top w:val="single" w:sz="8" w:color="CCEEFF"/>
            </w:tcBorders>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8740" w:type="dxa"/>
            <w:vAlign w:val="bottom"/>
            <w:tcBorders>
              <w:bottom w:val="single" w:sz="8" w:color="CCEEFF"/>
            </w:tcBorders>
            <w:gridSpan w:val="1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84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29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7460" w:type="dxa"/>
            <w:vAlign w:val="bottom"/>
            <w:tcBorders>
              <w:top w:val="single" w:sz="8" w:color="CCEEFF"/>
            </w:tcBorders>
            <w:gridSpan w:val="9"/>
          </w:tcPr>
          <w:p>
            <w:pPr>
              <w:spacing w:after="0"/>
              <w:rPr>
                <w:sz w:val="15"/>
                <w:szCs w:val="15"/>
                <w:color w:val="auto"/>
              </w:rPr>
            </w:pPr>
          </w:p>
        </w:tc>
        <w:tc>
          <w:tcPr>
            <w:tcW w:w="840" w:type="dxa"/>
            <w:vAlign w:val="bottom"/>
            <w:tcBorders>
              <w:top w:val="single" w:sz="8" w:color="CCEEFF"/>
            </w:tcBorders>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 Other Information</w:t>
            </w:r>
          </w:p>
        </w:tc>
        <w:tc>
          <w:tcPr>
            <w:tcW w:w="8460" w:type="dxa"/>
            <w:vAlign w:val="bottom"/>
            <w:tcBorders>
              <w:bottom w:val="single" w:sz="8" w:color="CCEEFF"/>
            </w:tcBorders>
            <w:gridSpan w:val="1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10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84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8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20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9"/>
        </w:trPr>
        <w:tc>
          <w:tcPr>
            <w:tcW w:w="6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620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receivable related to legal settlement and legal expenses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8"/>
                <w:szCs w:val="18"/>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6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9"/>
                <w:szCs w:val="19"/>
                <w:color w:val="auto"/>
              </w:rPr>
            </w:pP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r>
      <w:tr>
        <w:trPr>
          <w:trHeight w:val="210"/>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16,651,433 and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11,707,317 shares issued and outstanding as of September 30, 2024 and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91,192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09"/>
        </w:trPr>
        <w:tc>
          <w:tcPr>
            <w:tcW w:w="6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9"/>
                <w:szCs w:val="19"/>
                <w:color w:val="auto"/>
              </w:rPr>
            </w:pPr>
          </w:p>
        </w:tc>
        <w:tc>
          <w:tcPr>
            <w:tcW w:w="2680" w:type="dxa"/>
            <w:vAlign w:val="bottom"/>
            <w:gridSpan w:val="6"/>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8"/>
              </w:rPr>
              <w:t>Unaudited</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2,060</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4,646</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4,594</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8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3,193</w:t>
            </w:r>
          </w:p>
        </w:tc>
      </w:tr>
      <w:tr>
        <w:trPr>
          <w:trHeight w:val="209"/>
        </w:trPr>
        <w:tc>
          <w:tcPr>
            <w:tcW w:w="5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w:t>
            </w: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(0.53)</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197"/>
        </w:trPr>
        <w:tc>
          <w:tcPr>
            <w:tcW w:w="52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16,471,419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11,707,317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15,129,574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9,653,337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2"/>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3,576,689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29"/>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(2,446)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2023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2"/>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1,566,669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June 30,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15,965,633</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at-the-market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program, net of 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685,800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2024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16,651,433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$333. See Note 4A.</w:t>
      </w:r>
    </w:p>
    <w:p>
      <w:pPr>
        <w:spacing w:after="0" w:line="2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3G.</w:t>
      </w:r>
    </w:p>
    <w:p>
      <w:pPr>
        <w:spacing w:after="0" w:line="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$328. See also Note 4B.</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Net of issuance costs in the amount of approximately $49. See also Note 4D.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(8,051)</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(7,586)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1,335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(5,120)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(8,379)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 term deposit</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2,517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86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executive bonus settled through grant of stock-option awards</w:t>
            </w:r>
          </w:p>
        </w:tc>
        <w:tc>
          <w:tcPr>
            <w:tcW w:w="46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September 30, 2024, the Company had cash equivalents and a marketable securities balance of approximately $4,338, excluding restricted cash. Due to continuing research and development activities, the Company expects to continue to incur additional losses for the foreseeable future, as well as to seek to raise additional funds through future issuances of either debt and/or equity securities and possibly additional grants from government institutions. The Company will require additional capital and its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issuance date of these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firstLine="8"/>
        <w:spacing w:after="0" w:line="282"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 and</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workforce due to military service of some employees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 Unaudited Interim Condensed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condensed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condensed consolidated financial statements should be read in conjunction with the latest audited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nine-month period ended September 30,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3,859</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2,497</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2,497</w:t>
            </w: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1,420</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3,917</w:t>
            </w:r>
          </w:p>
        </w:tc>
        <w:tc>
          <w:tcPr>
            <w:tcW w:w="3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September 30, 2024 and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for awards that qualify as “plain-vanilla”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to update reportable segment disclosure requirements,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Company is currently evaluating the impact that the adoption of this standard will have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2024 totaling approximately $1,878. This includes amounts received of approximately $378,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 See also Notes 3C and 5C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September 30, 2024, the Company received approximately $50 of such grant. In relation with the Ministry of Economy grant, the Company is obligated to pay royalties amounting to 3% of future sales of the LIBERTY® Endovascular Robotic Surgical System up to the grant amount plus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See also Note 5C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Microbot Israel transferred the Technology back to CardioSert, for nominal consideration, pursuant to the terms of the CardioSert Agreement. As a result, Microbot Israel’s liability to repay CardioSert’s IIA grants in the aggregate amount of approximately $530 was also transferred back to CardioSert.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The compensation to Wainwright for sales of the shares is a placement fee of 3.0% of the gross sales price of the shares of common stock sold pursuant to this ATM Agreement. See also Notes 4D and 5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69"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 Mona’s appellate brief was filed on June 28, 2024 and the Company’s opposition has also been filed. The Company is waiting for the Court’s determination as to whether oral arguments will be required, which if so are expected to be held by January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10, 2024, Mona posted a bond in the full amount of the Judgment, which the Company will move to collect if the appeal is denied or the original judgment in the Company’s favor is upheld.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Compensation Committee of the Board of Directors of the Company approved certain bonuses for the 2023 fiscal year contingent on capital raising efforts. These bonuses are detailed as follows: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CEO was granted a contingent cash bonus of up to approximately $298, which is divided into two contingent portions. The first 50% of the CEO’s contingent bonus ($149) is payable upon the Company raising at least $3,000 in new funds by June 30, 2024. As of June 30, 2024, the Company did not raise $3,000 in new funds. However, on July 17, 2024, the Compensation Committee of the Board of Directors of the Company nevertheless approved the payment of the first 50% of the contingent bonus to the Company’s CEO in the amount of approximately $149. This bonus was recorded as a charge to expenses in the three-month period ended September 30,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50% ($149), payable upon the Company raising at least $6,000 in new funds by September 30, 2024 (cumulative, so if $3,000 is not raised by June 30, 2024 but the full $6,000 is raised by September 30, 2024, or if $10,000 is raised by December 31, 2024, the full amount is payable). The Company’s management is unable to predict the likelihood of securing additional capital; therefore, as of September 30, 2024, the Company has not recorded a liability for any contingent bonus.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executives are entitled to an aggregate contingent total bonus of NIS 230,736 (approximately $61), which is payable upon the Company raising at least $3,000 in new funds by September 30, 2024. During the third quarter of 2024, the Company achieved a cumulative capital raise of $3,000. On July 17, 2024, the Compensation Committee of the Board of Directors of the Company approved the payment of such bonuses to the Company’s CFO and CTO in the aggregate amount of approximately $61. This bonus was recorded as a charge to expenses in the three-month period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June 2024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from the Offerings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 At-the-market offerings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the Company filed with the SEC a prospectus supplement relating to the offer, issuance and sale of up to $4,820 of the Company’s shares of common stock pursuant to the ATM Agreement. For the three months ended September 30, 2024, the Company issued 685,800 shares of the Company’s common stock pursuant to the ATM Agreement, for total gross proceeds of approximately $734 before deducting sales agent commissions and other offering expenses of $49.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of the Company are recognized as equity under the requirements of ASC Topic 505 Equity.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E and series F preferred investment options and concluded that they should be classified as equity.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Employee and advisor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For the nine-month period ended September 30, 2024, the Company did not record an expense for these performance-based grants. This was either because the Company’s management believes the conditions are tied to securing additional capital, or because specific performance obligations, with deadlines set on or before September 30, 2024, were not met by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September 2024, the Company granted an advisor options to purchase an aggregate of 25,000 shares of the Company’s common stock, at an exercise price per share of $0.8558, with a vesting period of three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offerings subsequent to balance sheet 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October 2024, the Company issued 280,908 shares of the Company’s common stock pursuant to the ATM Agreement, for total gross proceeds of approximately $285.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2023.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 Endovascular Robotic Surgical System</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Endovascular Robotic Surgical System features a unique compact design with the capability to be operated remotely, reduce radiation exposure and physical strain to the physician, reduce the risk of cross contamination, as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unique characteristics of the LIBERTY®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 Endovascular Robotic Surgical System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 - Can be made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ectPr>
          <w:pgSz w:w="11900" w:h="16838" w:orient="portrait"/>
          <w:cols w:equalWidth="0" w:num="1">
            <w:col w:w="11240"/>
          </w:cols>
          <w:pgMar w:left="320" w:top="657" w:right="339" w:bottom="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w:t>
      </w:r>
    </w:p>
    <w:p>
      <w:pPr>
        <w:jc w:val="both"/>
        <w:spacing w:after="0" w:line="22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As a result, we recently were granted ISO 13485 certification for our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we believe it will help streamline our transition into this revised FDA regulation.</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FDA, in order to commence its pivotal clinical trial in humans. On June 3, 2024, we announced that we received the FDA’s approval to proceed with our pivotal human clinical trial as part of our</w:t>
      </w:r>
    </w:p>
    <w:p>
      <w:pPr>
        <w:jc w:val="both"/>
        <w:spacing w:after="0" w:line="209" w:lineRule="auto"/>
        <w:rPr>
          <w:sz w:val="20"/>
          <w:szCs w:val="20"/>
          <w:color w:val="auto"/>
        </w:rPr>
      </w:pPr>
      <w:r>
        <w:rPr>
          <w:rFonts w:ascii="Times New Roman" w:cs="Times New Roman" w:eastAsia="Times New Roman" w:hAnsi="Times New Roman"/>
          <w:sz w:val="18"/>
          <w:szCs w:val="18"/>
          <w:color w:val="auto"/>
        </w:rPr>
        <w:t>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Brigham and Women’s Hospital, Boston, Massachusetts, Baptist Hospital of Miami, which includes Miami Cardiac &amp; Vascular Institute and Miami Cancer Institute, and Memorial Sloan Kettering Cancer Center, New</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York, have each enrolled in the clinical trial as part of the IDE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in October 2024, the Company has successfully completed enrollment and follow up for all patients in its human clinical trial.</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is has successfully completed all biocompatibility tests, as required by its Investigational Device Exemption (IDE) application and received full approval for the IDE study from the FDA.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anticipates filing its 510(k) submission with the FDA by of the end of 2024, and receiving 510(k) clearance from the FDA in the first half of 2025. Due to recent changes in the regulations that govern the production and distribution of medical devices in Europe (EU MDR), where the Company has already achieved the first step of obtaining the ISO 13485 certification, the Company now anticipates CE Mark approval in the second half of 2026. However, we can give no assurance that we will meet any of these projected milestones, if ever.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 Endovascular Robotic Surgical System with an imaging system to create an autonomous robotic system for endovascular procedures.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NovaCross</w:t>
      </w:r>
      <w:r>
        <w:rPr>
          <w:rFonts w:ascii="Times New Roman" w:cs="Times New Roman" w:eastAsia="Times New Roman" w:hAnsi="Times New Roman"/>
          <w:sz w:val="29"/>
          <w:szCs w:val="29"/>
          <w:i w:val="1"/>
          <w:iCs w:val="1"/>
          <w:color w:val="auto"/>
          <w:vertAlign w:val="superscript"/>
        </w:rPr>
        <w:t>®</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 in Israel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filing date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 and</w:t>
      </w:r>
    </w:p>
    <w:p>
      <w:pPr>
        <w:sectPr>
          <w:pgSz w:w="11900" w:h="16838" w:orient="portrait"/>
          <w:cols w:equalWidth="0" w:num="1">
            <w:col w:w="11240"/>
          </w:cols>
          <w:pgMar w:left="320" w:top="665" w:right="339" w:bottom="0" w:gutter="0" w:footer="0" w:header="0"/>
        </w:sectPr>
      </w:pPr>
    </w:p>
    <w:bookmarkStart w:id="19" w:name="page20"/>
    <w:bookmarkEnd w:id="19"/>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workforce due to military service of some employees.</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7"/>
          </w:cols>
          <w:pgMar w:left="652" w:top="121" w:right="1440"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Quarterly Report on Form 10-Q,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Three and </w:t>
      </w:r>
      <w:r>
        <w:rPr>
          <w:rFonts w:ascii="Times New Roman" w:cs="Times New Roman" w:eastAsia="Times New Roman" w:hAnsi="Times New Roman"/>
          <w:sz w:val="18"/>
          <w:szCs w:val="18"/>
          <w:b w:val="1"/>
          <w:bCs w:val="1"/>
          <w:color w:val="auto"/>
        </w:rPr>
        <w:t>Nine</w:t>
      </w:r>
      <w:r>
        <w:rPr>
          <w:rFonts w:ascii="Times New Roman" w:cs="Times New Roman" w:eastAsia="Times New Roman" w:hAnsi="Times New Roman"/>
          <w:sz w:val="18"/>
          <w:szCs w:val="18"/>
          <w:b w:val="1"/>
          <w:bCs w:val="1"/>
          <w:i w:val="1"/>
          <w:iCs w:val="1"/>
          <w:color w:val="auto"/>
        </w:rPr>
        <w:t xml:space="preserve"> Months Ended September 30, 2024 and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nine month periods ended September 30,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Change</w:t>
            </w: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4,646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4,594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3,549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 net</w:t>
      </w:r>
      <w:r>
        <w:rPr>
          <w:rFonts w:ascii="Times New Roman" w:cs="Times New Roman" w:eastAsia="Times New Roman" w:hAnsi="Times New Roman"/>
          <w:sz w:val="18"/>
          <w:szCs w:val="18"/>
          <w:color w:val="auto"/>
        </w:rPr>
        <w:t>. The increase in research and development expenses for the three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2023 was primarily due to an increase in clinical study expenses, regulation consultations and payroll expenses, offset by deduction of government grants and a decrease in animal study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nine months ended September 30, 2024 compared to the nine months ended September 30, 2023 was primarily due to the increases in payroll expenses due to the cease of cost reduction plan which was implemented in 2023, an increase in clinical study expenses and increase in regulation expenses, offset by a decrease in stock based compensation expenses, a decrease in animal study expenses and a decrease due to deduction of government grants.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 net</w:t>
      </w:r>
      <w:r>
        <w:rPr>
          <w:rFonts w:ascii="Times New Roman" w:cs="Times New Roman" w:eastAsia="Times New Roman" w:hAnsi="Times New Roman"/>
          <w:sz w:val="18"/>
          <w:szCs w:val="18"/>
          <w:color w:val="auto"/>
        </w:rPr>
        <w:t>. The increase in general and administrative expenses for the three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September 30, 2023 was primarily due to an increase in payroll expenses due to the cease of cost reduction plan which was implemented in 2023, offset by a decrease in legal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nine months ended September 30, 2024 compared to the nine-month period ended September 30, 2023 was primarily due to an increase in payroll expenses due to the cease of cost reduction plan which was implemented in 2023 as well as increase in stock based compensation expenses, offset by a decrease in travel expenses and legal expenses.</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Financing Income, net</w:t>
      </w:r>
      <w:r>
        <w:rPr>
          <w:rFonts w:ascii="Times New Roman" w:cs="Times New Roman" w:eastAsia="Times New Roman" w:hAnsi="Times New Roman"/>
          <w:sz w:val="18"/>
          <w:szCs w:val="18"/>
          <w:color w:val="auto"/>
        </w:rPr>
        <w:t>. The decrease in financing income, net for the three and nine months ended September 30, 2024 compared to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was primarily due to expenses incurred from changes in exchange rates, partially offset by an increase in 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September 30, 2024, Microbot had a net working capital of approximately $3.6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September 30, 2024, Microbot has raised cash proceeds of approximately $72.8 million and incurred a total cumulative loss of approximately $87.5 million.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2024 in the total amount of approximately $1.9 million. This amount includes amounts received of approximately $378,000, which are a portion of an additional grant from the IIA in the amount of approximately NIS 1.6 million (approximately $447,000) approved by the IIA on June 1, 2023,</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aggregate amount of approximately $530,000. During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798"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 Endovascular Robotic Surgical System in the U.S. market. In relation to the Ministry of Economy grant, the Company is obligated to pay royalties amounting to 3% of future sales of the LIBERTY® Endovascular Robotic Surgical System up to the grant amount plus interest.</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$5.05 million in gross proceeds, before fees and expenses of approximately $661,000, from financing activities through September 30, 2024, and raised an aggregate of approximately $734,000 in gross proceeds, before fees and expenses of approximately $49,000, through our recently reinstated At-the-Market Agreement with HC Wainwright (the “ATM Agreement”) since July 1, 2024. To the extent available, Microbot intends to raise capital through future public and private issuances of debt and/or equity securities, including continuing to raise capital, if available, pursuant to the ATM Agreement until the maximum of $4,819,905 is raised.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interim condensed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nine-month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(984)</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460" w:type="dxa"/>
            <w:vAlign w:val="bottom"/>
          </w:tcPr>
          <w:p>
            <w:pPr>
              <w:spacing w:after="0"/>
              <w:rPr>
                <w:sz w:val="19"/>
                <w:szCs w:val="19"/>
                <w:color w:val="auto"/>
              </w:rPr>
            </w:pPr>
          </w:p>
        </w:tc>
        <w:tc>
          <w:tcPr>
            <w:tcW w:w="130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300" w:type="dxa"/>
            <w:vAlign w:val="bottom"/>
            <w:tcBorders>
              <w:top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flows used in operating activities for the nine months ended September 30, 2024 compared to 2023 was primarily due to ceasing our cost reduction plan which was implemented in 2023, which led to an increase in the net loss in the nine months ended September 30, 2024 as costs again increased.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flows provided by (used in) investing activities for the nine months ended September 30, 2024 compared to 2023 was mainly due to the timing of purchases, sales and maturities of our marketable securities portfolio.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cash flows provided by financing activities for the nine months ended September 30, 2024 compared to 2023 was due to a decrease in net proceeds received from fundraising activities from 2023 to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September 30,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2024. Based on that review and evaluation, the Chief Executive Officer and Chief Financial Officer, along with the management of the Company, have determined that as of September 30,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3.H. Mona Litigation:”, to the financial statements included earlier in this Quarterly Report on Form 10-Q.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our risk factors contained in our Annual Report on Form 10-K for the year ended December 31, 2023. For a further discussion of our Risk Factors, refer to Part I, Item 1A, “Risk Factors,” of our Annual Report on Form 10-K for the year ended December 31, 2023.</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 If we are not able to comply with the applicable continued listing requirements or standards of the Nasdaq Capital Markets, Nasdaq could delist our common stock.</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minimum stockholders’ equity, minimum market value, minimum share price, and certain corporate governance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we received a deficiency letter from the Nasdaq Listing Qualifications department of The Nasdaq Stock Market, LLC, notifying us that we are not in compliance with Nasdaq Listing Rule 5550(a)(2) (the “Minimum Bid Price Requirement”) for continued listing on the Nasdaq Capital Market, as the minimum bid price of our common stock on the Nasdaq Capital Market was below $1.00 for 30 consecutive business days, from August 26, 2024 to October 7,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in a position to regain compliance with the Minimum Bid Price Requirement or remain in compliance with any other listing requirements or standards.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Nasdaq delists our common stock from trading on its exchange for failure to meet the listing standards, we and our stockholders could face significant material adverse consequences including:</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common stock is “penny stock” which will require brokers trading in the common stock to adhere to more stringent rules and possibly result in a reduced level of trading activity in the secondary trading market for our securities;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To the extent our common stock are listed on Nasdaq,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 in each state in which we offer our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delisting from Nasdaq, our common stock may be traded, if at all, in the over-the-counter inter-dealer quotation system, more commonly known as the OTC. OTC transactions involve risks in addition to those associated with transactions in securities traded on securities exchanges such as Nasdaq. Many OTC stocks trade less frequently and in smaller volumes than exchange-listed stocks. Accordingly, our stock would be less liquid than it would be otherwise. Also, the values of OTC stocks are often more volatile than exchange-listed stocks. Additionally, institutional investors are often prohibited from investing in OTC stocks, and it might be more challenging to raise capital when needed.</w:t>
      </w:r>
    </w:p>
    <w:p>
      <w:pPr>
        <w:spacing w:after="0" w:line="18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addition, if our common stock is delisted, your ability to transfer or sell your shares of our common stock may be limited and the value of those securities will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657"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00" w:type="dxa"/>
            <w:vAlign w:val="bottom"/>
            <w:tcBorders>
              <w:bottom w:val="single" w:sz="8" w:color="0000EE"/>
            </w:tcBorders>
            <w:gridSpan w:val="25"/>
          </w:tcPr>
          <w:p>
            <w:pPr>
              <w:ind w:left="20"/>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1240" w:type="dxa"/>
            <w:vAlign w:val="bottom"/>
          </w:tcPr>
          <w:p>
            <w:pPr>
              <w:spacing w:after="0"/>
              <w:rPr>
                <w:sz w:val="17"/>
                <w:szCs w:val="17"/>
                <w:color w:val="auto"/>
              </w:rPr>
            </w:pPr>
          </w:p>
        </w:tc>
        <w:tc>
          <w:tcPr>
            <w:tcW w:w="8980" w:type="dxa"/>
            <w:vAlign w:val="bottom"/>
            <w:tcBorders>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020" w:type="dxa"/>
            <w:vAlign w:val="bottom"/>
            <w:gridSpan w:val="8"/>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fiscal year ended December 31, 2006 and filed on March 15, 2007).</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w:t>
              </w:r>
            </w:hyperlink>
          </w:p>
        </w:tc>
      </w:tr>
      <w:tr>
        <w:trPr>
          <w:trHeight w:val="196"/>
        </w:trPr>
        <w:tc>
          <w:tcPr>
            <w:tcW w:w="1240" w:type="dxa"/>
            <w:vAlign w:val="bottom"/>
          </w:tcPr>
          <w:p>
            <w:pPr>
              <w:spacing w:after="0"/>
              <w:rPr>
                <w:sz w:val="17"/>
                <w:szCs w:val="17"/>
                <w:color w:val="auto"/>
              </w:rPr>
            </w:pPr>
          </w:p>
        </w:tc>
        <w:tc>
          <w:tcPr>
            <w:tcW w:w="422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Current Report on Form 8-K filed on November 29, 2016)</w:t>
              </w:r>
            </w:hyperlink>
          </w:p>
        </w:tc>
        <w:tc>
          <w:tcPr>
            <w:tcW w:w="5780" w:type="dxa"/>
            <w:vAlign w:val="bottom"/>
            <w:gridSpan w:val="1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8-K filed on September 4, 2018).</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Amended and Restated By-Laws of the Company (incorporated by reference to the Company’s Current Report on Form 8-K filed on May</w:t>
              </w:r>
            </w:hyperlink>
          </w:p>
        </w:tc>
      </w:tr>
      <w:tr>
        <w:trPr>
          <w:trHeight w:val="196"/>
        </w:trPr>
        <w:tc>
          <w:tcPr>
            <w:tcW w:w="1240" w:type="dxa"/>
            <w:vAlign w:val="bottom"/>
          </w:tcPr>
          <w:p>
            <w:pPr>
              <w:spacing w:after="0"/>
              <w:rPr>
                <w:sz w:val="17"/>
                <w:szCs w:val="17"/>
                <w:color w:val="auto"/>
              </w:rPr>
            </w:pPr>
          </w:p>
        </w:tc>
        <w:tc>
          <w:tcPr>
            <w:tcW w:w="66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6"/>
              </w:rPr>
            </w:pPr>
            <w:hyperlink r:id="rId39">
              <w:r>
                <w:rPr>
                  <w:rFonts w:ascii="Times New Roman" w:cs="Times New Roman" w:eastAsia="Times New Roman" w:hAnsi="Times New Roman"/>
                  <w:sz w:val="18"/>
                  <w:szCs w:val="18"/>
                  <w:color w:val="0000EE"/>
                  <w:w w:val="96"/>
                </w:rPr>
                <w:t>3, 2016).</w:t>
              </w:r>
            </w:hyperlink>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Elimination (incorporated by reference to the Company’s Current Report on Form 8-K filed on December 12, 2018).</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w:t>
              </w:r>
            </w:hyperlink>
          </w:p>
        </w:tc>
      </w:tr>
      <w:tr>
        <w:trPr>
          <w:trHeight w:val="196"/>
        </w:trPr>
        <w:tc>
          <w:tcPr>
            <w:tcW w:w="1240" w:type="dxa"/>
            <w:vAlign w:val="bottom"/>
          </w:tcPr>
          <w:p>
            <w:pPr>
              <w:spacing w:after="0"/>
              <w:rPr>
                <w:sz w:val="17"/>
                <w:szCs w:val="17"/>
                <w:color w:val="auto"/>
              </w:rPr>
            </w:pPr>
          </w:p>
        </w:tc>
        <w:tc>
          <w:tcPr>
            <w:tcW w:w="292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Form 8-K filed on September 11, 2019).</w:t>
              </w:r>
            </w:hyperlink>
          </w:p>
        </w:tc>
        <w:tc>
          <w:tcPr>
            <w:tcW w:w="7080" w:type="dxa"/>
            <w:vAlign w:val="bottom"/>
            <w:gridSpan w:val="18"/>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Report on Form 8-K filed on May 3, 2021).</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ended December 31, 2019).</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28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 of Series A Warrant (incorporated by reference to the Registrant’s Current Report on Form 8-K filed on October 25, 2022)</w:t>
              </w:r>
            </w:hyperlink>
          </w:p>
        </w:tc>
        <w:tc>
          <w:tcPr>
            <w:tcW w:w="720" w:type="dxa"/>
            <w:vAlign w:val="bottom"/>
            <w:gridSpan w:val="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Wainwright Warrant (incorporated by reference to the Registrant’s Current Report on Form 8-K filed on October 25, 2022)</w:t>
              </w:r>
            </w:hyperlink>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260" w:type="dxa"/>
            <w:vAlign w:val="bottom"/>
            <w:tcBorders>
              <w:top w:val="single" w:sz="8" w:color="0000EE"/>
              <w:bottom w:val="single" w:sz="8" w:color="0000EE"/>
            </w:tcBorders>
            <w:gridSpan w:val="21"/>
          </w:tcPr>
          <w:p>
            <w:pPr>
              <w:ind w:left="20"/>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220" w:type="dxa"/>
            <w:vAlign w:val="bottom"/>
            <w:tcBorders>
              <w:top w:val="single" w:sz="8" w:color="0000EE"/>
            </w:tcBorders>
            <w:gridSpan w:val="3"/>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926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740" w:type="dxa"/>
            <w:vAlign w:val="bottom"/>
            <w:gridSpan w:val="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Warrant Amendment Agreement (incorporated by reference to the Registrant’s Current Report on Form 8-K filed on May 24,</w:t>
              </w:r>
            </w:hyperlink>
          </w:p>
        </w:tc>
      </w:tr>
      <w:tr>
        <w:trPr>
          <w:trHeight w:val="196"/>
        </w:trPr>
        <w:tc>
          <w:tcPr>
            <w:tcW w:w="1240" w:type="dxa"/>
            <w:vAlign w:val="bottom"/>
          </w:tcPr>
          <w:p>
            <w:pPr>
              <w:spacing w:after="0"/>
              <w:rPr>
                <w:sz w:val="17"/>
                <w:szCs w:val="17"/>
                <w:color w:val="auto"/>
              </w:rPr>
            </w:pPr>
          </w:p>
        </w:tc>
        <w:tc>
          <w:tcPr>
            <w:tcW w:w="600" w:type="dxa"/>
            <w:vAlign w:val="bottom"/>
            <w:gridSpan w:val="2"/>
          </w:tcPr>
          <w:p>
            <w:pPr>
              <w:ind w:left="20"/>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2023)</w:t>
              </w:r>
            </w:hyperlink>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Series C Warrant (incorporated by reference to the Registrant’s Current Report on Form 8-K filed on June 6, 2023)</w:t>
              </w:r>
            </w:hyperlink>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Wainwright Warrant (incorporated by reference to the Registrant’s Current Report on Form 8-K filed on June 6, 2023)</w:t>
              </w:r>
            </w:hyperlink>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140" w:type="dxa"/>
            <w:vAlign w:val="bottom"/>
            <w:tcBorders>
              <w:top w:val="single" w:sz="8" w:color="0000EE"/>
            </w:tcBorders>
            <w:gridSpan w:val="19"/>
          </w:tcPr>
          <w:p>
            <w:pPr>
              <w:ind w:left="2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Series D Warrant (incorporated by reference to the Registrant’s Current Report on Form 8-K filed on June 28, 2023)</w:t>
              </w:r>
            </w:hyperlink>
          </w:p>
        </w:tc>
        <w:tc>
          <w:tcPr>
            <w:tcW w:w="860" w:type="dxa"/>
            <w:vAlign w:val="bottom"/>
            <w:gridSpan w:val="6"/>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9240" w:type="dxa"/>
            <w:vAlign w:val="bottom"/>
            <w:tcBorders>
              <w:bottom w:val="single" w:sz="8" w:color="0000EE"/>
            </w:tcBorders>
            <w:gridSpan w:val="20"/>
          </w:tcPr>
          <w:p>
            <w:pPr>
              <w:ind w:left="20"/>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760" w:type="dxa"/>
            <w:vAlign w:val="bottom"/>
            <w:gridSpan w:val="5"/>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of Inducement Investment Option (incorporated by reference to the Registrant’s Current Report on Form 8-K filed on January 2,</w:t>
              </w:r>
            </w:hyperlink>
          </w:p>
        </w:tc>
      </w:tr>
      <w:tr>
        <w:trPr>
          <w:trHeight w:val="196"/>
        </w:trPr>
        <w:tc>
          <w:tcPr>
            <w:tcW w:w="1240" w:type="dxa"/>
            <w:vAlign w:val="bottom"/>
          </w:tcPr>
          <w:p>
            <w:pPr>
              <w:spacing w:after="0"/>
              <w:rPr>
                <w:sz w:val="17"/>
                <w:szCs w:val="17"/>
                <w:color w:val="auto"/>
              </w:rPr>
            </w:pPr>
          </w:p>
        </w:tc>
        <w:tc>
          <w:tcPr>
            <w:tcW w:w="600" w:type="dxa"/>
            <w:vAlign w:val="bottom"/>
            <w:gridSpan w:val="2"/>
          </w:tcPr>
          <w:p>
            <w:pPr>
              <w:ind w:left="2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2024)</w:t>
              </w:r>
            </w:hyperlink>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w:t>
              </w:r>
            </w:hyperlink>
          </w:p>
        </w:tc>
      </w:tr>
      <w:tr>
        <w:trPr>
          <w:trHeight w:val="196"/>
        </w:trPr>
        <w:tc>
          <w:tcPr>
            <w:tcW w:w="1240" w:type="dxa"/>
            <w:vAlign w:val="bottom"/>
          </w:tcPr>
          <w:p>
            <w:pPr>
              <w:spacing w:after="0"/>
              <w:rPr>
                <w:sz w:val="17"/>
                <w:szCs w:val="17"/>
                <w:color w:val="auto"/>
              </w:rPr>
            </w:pPr>
          </w:p>
        </w:tc>
        <w:tc>
          <w:tcPr>
            <w:tcW w:w="660" w:type="dxa"/>
            <w:vAlign w:val="bottom"/>
            <w:gridSpan w:val="3"/>
          </w:tcPr>
          <w:p>
            <w:pPr>
              <w:ind w:left="2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2, 2024)</w:t>
              </w:r>
            </w:hyperlink>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Series F Warrant (incorporated by reference to the Registrant’s Current Report on Form 8-K filed on June 4, 2024)</w:t>
              </w:r>
            </w:hyperlink>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Wainwright Warrant (incorporated by reference to the Registrant’s Current Report on Form 8-K filed on June 4, 2024)</w:t>
              </w:r>
            </w:hyperlink>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Securities Purchase Agreement, dated as of June 3, 2024, by and among the Company and the purchasers party thereto.</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by reference to Exhibit 10.1 to the Registrant’s Current Report on Form 8-K filed on June 4, 2024)</w:t>
              </w:r>
            </w:hyperlink>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Amendment to the At the Market Offering Agreement, dated July 1, 2024, by and between Microbot Medical Inc. and H.C. Wainwright &amp;</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Co., LLC (incorporated by reference to the Registrant’s Current Report on Form 8-K filed on July 1, 2024)</w:t>
              </w:r>
            </w:hyperlink>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680" w:type="dxa"/>
            <w:vAlign w:val="bottom"/>
            <w:tcBorders>
              <w:top w:val="single" w:sz="8" w:color="0000EE"/>
              <w:bottom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of Harel Gadot, Chairman, President and Chief Executive Officer</w:t>
            </w:r>
          </w:p>
        </w:tc>
        <w:tc>
          <w:tcPr>
            <w:tcW w:w="2020" w:type="dxa"/>
            <w:vAlign w:val="bottom"/>
            <w:tcBorders>
              <w:top w:val="single" w:sz="8" w:color="0000EE"/>
            </w:tcBorders>
          </w:tcPr>
          <w:p>
            <w:pPr>
              <w:spacing w:after="0"/>
              <w:rPr>
                <w:sz w:val="17"/>
                <w:szCs w:val="17"/>
                <w:color w:val="auto"/>
              </w:rPr>
            </w:pPr>
          </w:p>
        </w:tc>
        <w:tc>
          <w:tcPr>
            <w:tcW w:w="2300" w:type="dxa"/>
            <w:vAlign w:val="bottom"/>
            <w:gridSpan w:val="11"/>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98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Certification of Rachel Vaknin, Chief Financial Officer</w:t>
            </w:r>
          </w:p>
        </w:tc>
        <w:tc>
          <w:tcPr>
            <w:tcW w:w="6020" w:type="dxa"/>
            <w:vAlign w:val="bottom"/>
            <w:gridSpan w:val="15"/>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00" w:type="dxa"/>
            <w:vAlign w:val="bottom"/>
            <w:tcBorders>
              <w:bottom w:val="single" w:sz="8" w:color="0000EE"/>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w:t>
            </w:r>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to Section 906 of the Sarbanes-Oxley Act of 2002</w:t>
            </w:r>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00" w:type="dxa"/>
            <w:vAlign w:val="bottom"/>
            <w:tcBorders>
              <w:bottom w:val="single" w:sz="8" w:color="0000EE"/>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 pursuant to 18 U.S.C. Section 1350, as adopted pursuant to Section 906 of the</w:t>
            </w:r>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7940" w:type="dxa"/>
            <w:vAlign w:val="bottom"/>
            <w:gridSpan w:val="20"/>
          </w:tcPr>
          <w:p>
            <w:pPr>
              <w:spacing w:after="0" w:line="20" w:lineRule="exact"/>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w:t>
            </w:r>
          </w:p>
        </w:tc>
      </w:tr>
      <w:tr>
        <w:trPr>
          <w:trHeight w:val="216"/>
        </w:trPr>
        <w:tc>
          <w:tcPr>
            <w:tcW w:w="1240" w:type="dxa"/>
            <w:vAlign w:val="bottom"/>
          </w:tcPr>
          <w:p>
            <w:pPr>
              <w:spacing w:after="0"/>
              <w:rPr>
                <w:sz w:val="18"/>
                <w:szCs w:val="18"/>
                <w:color w:val="auto"/>
              </w:rPr>
            </w:pP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240" w:type="dxa"/>
            <w:vAlign w:val="bottom"/>
          </w:tcPr>
          <w:p>
            <w:pPr>
              <w:spacing w:after="0"/>
              <w:rPr>
                <w:sz w:val="18"/>
                <w:szCs w:val="18"/>
                <w:color w:val="auto"/>
              </w:rPr>
            </w:pP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spacing w:after="0" w:line="198" w:lineRule="exact"/>
        <w:rPr>
          <w:sz w:val="20"/>
          <w:szCs w:val="20"/>
          <w:color w:val="auto"/>
        </w:rPr>
      </w:pPr>
    </w:p>
    <w:p>
      <w:pPr>
        <w:ind w:left="5540" w:right="3460" w:hanging="5532"/>
        <w:spacing w:after="0" w:line="532"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Rachel Vaknin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1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1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13,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Rachel Vaknin, Chief Financial Officer of Microbot Medical Inc., hereby certify, pursuant to 18 U.S.C. Section 1350, as adopted pursuant to Section 906 of the Sarbanes-Oxley Act of 2002, that to my knowledge, the quarterly report on Form 10-Q for the period ending September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13,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Rachel Vaknin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5"/>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35" Type="http://schemas.openxmlformats.org/officeDocument/2006/relationships/hyperlink" Target="https://www.sec.gov/Archives/edgar/data/883975/000119312516682077/d161430dex21.htm" TargetMode="External"/><Relationship Id="rId36" Type="http://schemas.openxmlformats.org/officeDocument/2006/relationships/hyperlink" Target="https://www.sec.gov/Archives/edgar/data/883975/000095013407005808/f27726exv3w1.htm" TargetMode="External"/><Relationship Id="rId37" Type="http://schemas.openxmlformats.org/officeDocument/2006/relationships/hyperlink" Target="https://www.sec.gov/Archives/edgar/data/883975/000119312516779729/d296933dex31.htm" TargetMode="External"/><Relationship Id="rId38" Type="http://schemas.openxmlformats.org/officeDocument/2006/relationships/hyperlink" Target="https://www.sec.gov/Archives/edgar/data/883975/000149315218012872/ex3-1.htm" TargetMode="External"/><Relationship Id="rId39" Type="http://schemas.openxmlformats.org/officeDocument/2006/relationships/hyperlink" Target="https://www.sec.gov/Archives/edgar/data/883975/000129993316002374/exhibit1.htm" TargetMode="External"/><Relationship Id="rId40" Type="http://schemas.openxmlformats.org/officeDocument/2006/relationships/hyperlink" Target="https://www.sec.gov/Archives/edgar/data/883975/000149315218017395/ex3-1.htm" TargetMode="External"/><Relationship Id="rId41" Type="http://schemas.openxmlformats.org/officeDocument/2006/relationships/hyperlink" Target="https://www.sec.gov/Archives/edgar/data/883975/000149315219013998/ex3-1.htm" TargetMode="External"/><Relationship Id="rId42" Type="http://schemas.openxmlformats.org/officeDocument/2006/relationships/hyperlink" Target="https://www.sec.gov/Archives/edgar/data/883975/000149315221010347/ex3-1.htm" TargetMode="External"/><Relationship Id="rId43" Type="http://schemas.openxmlformats.org/officeDocument/2006/relationships/hyperlink" Target="https://www.sec.gov/Archives/edgar/data/883975/000149315220006338/ex4-10.htm" TargetMode="External"/><Relationship Id="rId44" Type="http://schemas.openxmlformats.org/officeDocument/2006/relationships/hyperlink" Target="https://www.sec.gov/Archives/edgar/data/883975/000149315222029541/ex4-2.htm" TargetMode="External"/><Relationship Id="rId45" Type="http://schemas.openxmlformats.org/officeDocument/2006/relationships/hyperlink" Target="https://www.sec.gov/Archives/edgar/data/883975/000149315222029541/ex4-4.htm" TargetMode="External"/><Relationship Id="rId46" Type="http://schemas.openxmlformats.org/officeDocument/2006/relationships/hyperlink" Target="https://www.sec.gov/Archives/edgar/data/883975/000149315223018718/ex4-1.htm" TargetMode="External"/><Relationship Id="rId47" Type="http://schemas.openxmlformats.org/officeDocument/2006/relationships/hyperlink" Target="https://www.sec.gov/Archives/edgar/data/883975/000149315223018932/ex4-2.htm" TargetMode="External"/><Relationship Id="rId48" Type="http://schemas.openxmlformats.org/officeDocument/2006/relationships/hyperlink" Target="https://www.sec.gov/Archives/edgar/data/883975/000149315223018932/ex10-2.htm" TargetMode="External"/><Relationship Id="rId49" Type="http://schemas.openxmlformats.org/officeDocument/2006/relationships/hyperlink" Target="https://www.sec.gov/Archives/edgar/data/883975/000149315223020309/ex4-1.htm" TargetMode="External"/><Relationship Id="rId50" Type="http://schemas.openxmlformats.org/officeDocument/2006/relationships/hyperlink" Target="https://www.sec.gov/Archives/edgar/data/883975/000149315223020309/ex4-2.htm" TargetMode="External"/><Relationship Id="rId51" Type="http://schemas.openxmlformats.org/officeDocument/2006/relationships/hyperlink" Target="https://www.sec.gov/Archives/edgar/data/883975/000149315223022814/ex4-1.htm" TargetMode="External"/><Relationship Id="rId52" Type="http://schemas.openxmlformats.org/officeDocument/2006/relationships/hyperlink" Target="https://www.sec.gov/Archives/edgar/data/883975/000149315223022814/ex4-2.htm" TargetMode="External"/><Relationship Id="rId53" Type="http://schemas.openxmlformats.org/officeDocument/2006/relationships/hyperlink" Target="https://www.sec.gov/Archives/edgar/data/883975/000149315224000109/ex4-1.htm" TargetMode="External"/><Relationship Id="rId54" Type="http://schemas.openxmlformats.org/officeDocument/2006/relationships/hyperlink" Target="https://www.sec.gov/Archives/edgar/data/883975/000149315224000109/ex4-2.htm" TargetMode="External"/><Relationship Id="rId55" Type="http://schemas.openxmlformats.org/officeDocument/2006/relationships/hyperlink" Target="https://www.sec.gov/Archives/edgar/data/883975/000149315224022560/ex4-1.htm" TargetMode="External"/><Relationship Id="rId56" Type="http://schemas.openxmlformats.org/officeDocument/2006/relationships/hyperlink" Target="https://www.sec.gov/Archives/edgar/data/883975/000149315224022560/ex4-2.htm" TargetMode="External"/><Relationship Id="rId57" Type="http://schemas.openxmlformats.org/officeDocument/2006/relationships/hyperlink" Target="https://www.sec.gov/Archives/edgar/data/883975/000149315224022560/ex10-1.htm" TargetMode="External"/><Relationship Id="rId58" Type="http://schemas.openxmlformats.org/officeDocument/2006/relationships/hyperlink" Target="https://www.sec.gov/Archives/edgar/data/883975/00014931522402581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2024-12-10T07:10:04Z</dcterms:created>
  <dcterms:modified xsi:type="dcterms:W3CDTF">2024-12-10T07:10:04Z</dcterms:modified>
</cp:coreProperties>
</file>