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MILLENNIUM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STEMCELLS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STEM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2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820" w:type="dxa"/>
            <w:vAlign w:val="bottom"/>
            <w:gridSpan w:val="4"/>
            <w:vMerge w:val="restart"/>
          </w:tcPr>
          <w:p>
            <w:pPr>
              <w:ind w:left="160"/>
              <w:spacing w:after="0" w:line="189" w:lineRule="exact"/>
              <w:rPr>
                <w:sz w:val="20"/>
                <w:szCs w:val="20"/>
                <w:color w:val="auto"/>
              </w:rPr>
            </w:pPr>
            <w:r>
              <w:rPr>
                <w:rFonts w:ascii="Arial" w:cs="Arial" w:eastAsia="Arial" w:hAnsi="Arial"/>
                <w:sz w:val="18"/>
                <w:szCs w:val="18"/>
                <w:color w:val="0000FF"/>
              </w:rPr>
              <w:t>12/24/2003</w:t>
            </w: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20" w:type="dxa"/>
            <w:vAlign w:val="bottom"/>
            <w:gridSpan w:val="4"/>
            <w:vMerge w:val="continue"/>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666 FIFTH AVENUE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10103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00" w:type="dxa"/>
            <w:vAlign w:val="bottom"/>
          </w:tcPr>
          <w:p>
            <w:pPr>
              <w:spacing w:after="0"/>
              <w:rPr>
                <w:sz w:val="14"/>
                <w:szCs w:val="14"/>
                <w:color w:val="auto"/>
              </w:rPr>
            </w:pPr>
          </w:p>
        </w:tc>
        <w:tc>
          <w:tcPr>
            <w:tcW w:w="1520" w:type="dxa"/>
            <w:vAlign w:val="bottom"/>
            <w:gridSpan w:val="6"/>
          </w:tcPr>
          <w:p>
            <w:pPr>
              <w:ind w:left="3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4"/>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gridSpan w:val="6"/>
          </w:tcPr>
          <w:p>
            <w:pPr>
              <w:jc w:val="center"/>
              <w:ind w:left="164"/>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5"/>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1420" w:type="dxa"/>
            <w:vAlign w:val="bottom"/>
            <w:gridSpan w:val="5"/>
            <w:vMerge w:val="restart"/>
          </w:tcPr>
          <w:p>
            <w:pPr>
              <w:jc w:val="center"/>
              <w:ind w:left="264"/>
              <w:spacing w:after="0"/>
              <w:rPr>
                <w:sz w:val="20"/>
                <w:szCs w:val="20"/>
                <w:color w:val="auto"/>
              </w:rPr>
            </w:pPr>
            <w:r>
              <w:rPr>
                <w:rFonts w:ascii="Arial" w:cs="Arial" w:eastAsia="Arial" w:hAnsi="Arial"/>
                <w:sz w:val="18"/>
                <w:szCs w:val="18"/>
                <w:color w:val="0000FF"/>
                <w:w w:val="88"/>
              </w:rPr>
              <w:t>12/22/2003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148"/>
              <w:spacing w:after="0"/>
              <w:rPr>
                <w:sz w:val="20"/>
                <w:szCs w:val="20"/>
                <w:color w:val="auto"/>
              </w:rPr>
            </w:pPr>
            <w:r>
              <w:rPr>
                <w:rFonts w:ascii="Arial" w:cs="Arial" w:eastAsia="Arial" w:hAnsi="Arial"/>
                <w:sz w:val="18"/>
                <w:szCs w:val="18"/>
                <w:color w:val="0000FF"/>
                <w:w w:val="87"/>
              </w:rPr>
              <w:t>18,000</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1.99</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4,007,289</w:t>
            </w:r>
          </w:p>
        </w:tc>
        <w:tc>
          <w:tcPr>
            <w:tcW w:w="920" w:type="dxa"/>
            <w:vAlign w:val="bottom"/>
            <w:vMerge w:val="restart"/>
          </w:tcPr>
          <w:p>
            <w:pPr>
              <w:ind w:left="20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w:t>
            </w:r>
          </w:p>
        </w:tc>
        <w:tc>
          <w:tcPr>
            <w:tcW w:w="800" w:type="dxa"/>
            <w:vAlign w:val="bottom"/>
            <w:gridSpan w:val="2"/>
            <w:vMerge w:val="restart"/>
          </w:tcPr>
          <w:p>
            <w:pPr>
              <w:ind w:left="60"/>
              <w:spacing w:after="0"/>
              <w:rPr>
                <w:sz w:val="20"/>
                <w:szCs w:val="20"/>
                <w:color w:val="auto"/>
              </w:rPr>
            </w:pPr>
            <w:r>
              <w:rPr>
                <w:rFonts w:ascii="Arial" w:cs="Arial" w:eastAsia="Arial" w:hAnsi="Arial"/>
                <w:sz w:val="35"/>
                <w:szCs w:val="35"/>
                <w:color w:val="0000FF"/>
                <w:w w:val="87"/>
                <w:vertAlign w:val="subscript"/>
              </w:rPr>
              <w:t>See</w:t>
            </w:r>
            <w:r>
              <w:rPr>
                <w:rFonts w:ascii="Arial" w:cs="Arial" w:eastAsia="Arial" w:hAnsi="Arial"/>
                <w:sz w:val="11"/>
                <w:szCs w:val="11"/>
                <w:color w:val="008000"/>
                <w:w w:val="87"/>
              </w:rPr>
              <w:t>(1)(2)(3)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5"/>
          </w:tcPr>
          <w:p>
            <w:pPr>
              <w:jc w:val="center"/>
              <w:ind w:left="264"/>
              <w:spacing w:after="0"/>
              <w:rPr>
                <w:sz w:val="20"/>
                <w:szCs w:val="20"/>
                <w:color w:val="auto"/>
              </w:rPr>
            </w:pPr>
            <w:r>
              <w:rPr>
                <w:rFonts w:ascii="Arial" w:cs="Arial" w:eastAsia="Arial" w:hAnsi="Arial"/>
                <w:sz w:val="18"/>
                <w:szCs w:val="18"/>
                <w:color w:val="0000FF"/>
                <w:w w:val="88"/>
              </w:rPr>
              <w:t>12/23/2003</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148"/>
              <w:spacing w:after="0"/>
              <w:rPr>
                <w:sz w:val="20"/>
                <w:szCs w:val="20"/>
                <w:color w:val="auto"/>
              </w:rPr>
            </w:pPr>
            <w:r>
              <w:rPr>
                <w:rFonts w:ascii="Arial" w:cs="Arial" w:eastAsia="Arial" w:hAnsi="Arial"/>
                <w:sz w:val="18"/>
                <w:szCs w:val="18"/>
                <w:color w:val="0000FF"/>
                <w:w w:val="87"/>
              </w:rPr>
              <w:t>19,000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2.02</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3,988,289</w:t>
            </w:r>
          </w:p>
        </w:tc>
        <w:tc>
          <w:tcPr>
            <w:tcW w:w="920" w:type="dxa"/>
            <w:vAlign w:val="bottom"/>
            <w:tcBorders>
              <w:bottom w:val="single" w:sz="8" w:color="2C2C2C"/>
            </w:tcBorders>
          </w:tcPr>
          <w:p>
            <w:pPr>
              <w:ind w:left="20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w:t>
            </w:r>
          </w:p>
        </w:tc>
        <w:tc>
          <w:tcPr>
            <w:tcW w:w="780" w:type="dxa"/>
            <w:vAlign w:val="bottom"/>
            <w:tcBorders>
              <w:bottom w:val="single" w:sz="8" w:color="2C2C2C"/>
            </w:tcBorders>
          </w:tcPr>
          <w:p>
            <w:pPr>
              <w:ind w:left="60"/>
              <w:spacing w:after="0" w:line="324" w:lineRule="exact"/>
              <w:rPr>
                <w:sz w:val="20"/>
                <w:szCs w:val="20"/>
                <w:color w:val="auto"/>
              </w:rPr>
            </w:pPr>
            <w:r>
              <w:rPr>
                <w:rFonts w:ascii="Arial" w:cs="Arial" w:eastAsia="Arial" w:hAnsi="Arial"/>
                <w:sz w:val="35"/>
                <w:szCs w:val="35"/>
                <w:color w:val="0000FF"/>
                <w:w w:val="85"/>
                <w:vertAlign w:val="subscript"/>
              </w:rPr>
              <w:t>See</w:t>
            </w:r>
            <w:r>
              <w:rPr>
                <w:rFonts w:ascii="Arial" w:cs="Arial" w:eastAsia="Arial" w:hAnsi="Arial"/>
                <w:sz w:val="11"/>
                <w:szCs w:val="11"/>
                <w:color w:val="008000"/>
                <w:w w:val="85"/>
              </w:rPr>
              <w:t>(1)(2)(3)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5"/>
          </w:tcPr>
          <w:p>
            <w:pPr>
              <w:jc w:val="center"/>
              <w:ind w:left="264"/>
              <w:spacing w:after="0"/>
              <w:rPr>
                <w:sz w:val="20"/>
                <w:szCs w:val="20"/>
                <w:color w:val="auto"/>
              </w:rPr>
            </w:pPr>
            <w:r>
              <w:rPr>
                <w:rFonts w:ascii="Arial" w:cs="Arial" w:eastAsia="Arial" w:hAnsi="Arial"/>
                <w:sz w:val="18"/>
                <w:szCs w:val="18"/>
                <w:color w:val="0000FF"/>
                <w:w w:val="88"/>
              </w:rPr>
              <w:t>12/23/2003</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168"/>
              <w:spacing w:after="0"/>
              <w:rPr>
                <w:sz w:val="20"/>
                <w:szCs w:val="20"/>
                <w:color w:val="auto"/>
              </w:rPr>
            </w:pPr>
            <w:r>
              <w:rPr>
                <w:rFonts w:ascii="Arial" w:cs="Arial" w:eastAsia="Arial" w:hAnsi="Arial"/>
                <w:sz w:val="18"/>
                <w:szCs w:val="18"/>
                <w:color w:val="0000FF"/>
                <w:w w:val="86"/>
              </w:rPr>
              <w:t>100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2.05</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3,988,189</w:t>
            </w:r>
          </w:p>
        </w:tc>
        <w:tc>
          <w:tcPr>
            <w:tcW w:w="920" w:type="dxa"/>
            <w:vAlign w:val="bottom"/>
            <w:tcBorders>
              <w:bottom w:val="single" w:sz="8" w:color="2C2C2C"/>
            </w:tcBorders>
          </w:tcPr>
          <w:p>
            <w:pPr>
              <w:ind w:left="20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w:t>
            </w:r>
          </w:p>
        </w:tc>
        <w:tc>
          <w:tcPr>
            <w:tcW w:w="780" w:type="dxa"/>
            <w:vAlign w:val="bottom"/>
            <w:tcBorders>
              <w:bottom w:val="single" w:sz="8" w:color="2C2C2C"/>
            </w:tcBorders>
          </w:tcPr>
          <w:p>
            <w:pPr>
              <w:ind w:left="60"/>
              <w:spacing w:after="0" w:line="324" w:lineRule="exact"/>
              <w:rPr>
                <w:sz w:val="20"/>
                <w:szCs w:val="20"/>
                <w:color w:val="auto"/>
              </w:rPr>
            </w:pPr>
            <w:r>
              <w:rPr>
                <w:rFonts w:ascii="Arial" w:cs="Arial" w:eastAsia="Arial" w:hAnsi="Arial"/>
                <w:sz w:val="35"/>
                <w:szCs w:val="35"/>
                <w:color w:val="0000FF"/>
                <w:w w:val="85"/>
                <w:vertAlign w:val="subscript"/>
              </w:rPr>
              <w:t>See</w:t>
            </w:r>
            <w:r>
              <w:rPr>
                <w:rFonts w:ascii="Arial" w:cs="Arial" w:eastAsia="Arial" w:hAnsi="Arial"/>
                <w:sz w:val="11"/>
                <w:szCs w:val="11"/>
                <w:color w:val="008000"/>
                <w:w w:val="85"/>
              </w:rPr>
              <w:t>(1)(2)(3)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5"/>
          </w:tcPr>
          <w:p>
            <w:pPr>
              <w:jc w:val="center"/>
              <w:ind w:left="264"/>
              <w:spacing w:after="0"/>
              <w:rPr>
                <w:sz w:val="20"/>
                <w:szCs w:val="20"/>
                <w:color w:val="auto"/>
              </w:rPr>
            </w:pPr>
            <w:r>
              <w:rPr>
                <w:rFonts w:ascii="Arial" w:cs="Arial" w:eastAsia="Arial" w:hAnsi="Arial"/>
                <w:sz w:val="18"/>
                <w:szCs w:val="18"/>
                <w:color w:val="0000FF"/>
                <w:w w:val="88"/>
              </w:rPr>
              <w:t>12/24/2003</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148"/>
              <w:spacing w:after="0"/>
              <w:rPr>
                <w:sz w:val="20"/>
                <w:szCs w:val="20"/>
                <w:color w:val="auto"/>
              </w:rPr>
            </w:pPr>
            <w:r>
              <w:rPr>
                <w:rFonts w:ascii="Arial" w:cs="Arial" w:eastAsia="Arial" w:hAnsi="Arial"/>
                <w:sz w:val="18"/>
                <w:szCs w:val="18"/>
                <w:color w:val="0000FF"/>
                <w:w w:val="87"/>
              </w:rPr>
              <w:t>19,000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2.03</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3,969,189</w:t>
            </w:r>
          </w:p>
        </w:tc>
        <w:tc>
          <w:tcPr>
            <w:tcW w:w="920" w:type="dxa"/>
            <w:vAlign w:val="bottom"/>
            <w:tcBorders>
              <w:bottom w:val="single" w:sz="8" w:color="2C2C2C"/>
            </w:tcBorders>
          </w:tcPr>
          <w:p>
            <w:pPr>
              <w:ind w:left="20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w:t>
            </w:r>
          </w:p>
        </w:tc>
        <w:tc>
          <w:tcPr>
            <w:tcW w:w="800" w:type="dxa"/>
            <w:vAlign w:val="bottom"/>
            <w:tcBorders>
              <w:bottom w:val="single" w:sz="8" w:color="2C2C2C"/>
            </w:tcBorders>
            <w:gridSpan w:val="2"/>
          </w:tcPr>
          <w:p>
            <w:pPr>
              <w:ind w:left="60"/>
              <w:spacing w:after="0" w:line="324" w:lineRule="exact"/>
              <w:rPr>
                <w:sz w:val="20"/>
                <w:szCs w:val="20"/>
                <w:color w:val="auto"/>
              </w:rPr>
            </w:pPr>
            <w:r>
              <w:rPr>
                <w:rFonts w:ascii="Arial" w:cs="Arial" w:eastAsia="Arial" w:hAnsi="Arial"/>
                <w:sz w:val="35"/>
                <w:szCs w:val="35"/>
                <w:color w:val="0000FF"/>
                <w:w w:val="87"/>
                <w:vertAlign w:val="subscript"/>
              </w:rPr>
              <w:t>See</w:t>
            </w:r>
            <w:r>
              <w:rPr>
                <w:rFonts w:ascii="Arial" w:cs="Arial" w:eastAsia="Arial" w:hAnsi="Arial"/>
                <w:sz w:val="11"/>
                <w:szCs w:val="11"/>
                <w:color w:val="008000"/>
                <w:w w:val="87"/>
              </w:rPr>
              <w:t>(1)(2)(3)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8"/>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0" w:type="dxa"/>
            <w:vAlign w:val="bottom"/>
            <w:gridSpan w:val="15"/>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5"/>
          </w:tcPr>
          <w:p>
            <w:pPr>
              <w:ind w:left="6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MILLENNIUM MANAGEMENT LLC</w:t>
              </w:r>
            </w:hyperlink>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0000FF"/>
              </w:rPr>
              <w:t>666 FIFTH AVENUE</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3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10103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8"/>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MILLENNIUM HOLDING GROUP LP</w:t>
              </w:r>
            </w:hyperlink>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666 FIFTH AVE</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300" w:type="dxa"/>
            <w:vAlign w:val="bottom"/>
          </w:tcPr>
          <w:p>
            <w:pPr>
              <w:spacing w:after="0"/>
              <w:rPr>
                <w:sz w:val="21"/>
                <w:szCs w:val="21"/>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w w:val="87"/>
              </w:rPr>
              <w:t>10103-0899</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RIVERVIEW GROUP LLC</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666 FIFTH AVE</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NEW YORK</w:t>
            </w:r>
          </w:p>
        </w:tc>
        <w:tc>
          <w:tcPr>
            <w:tcW w:w="1420" w:type="dxa"/>
            <w:vAlign w:val="bottom"/>
            <w:gridSpan w:val="2"/>
          </w:tcPr>
          <w:p>
            <w:pPr>
              <w:ind w:left="14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10103-0899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ENGLANDER ISRAEL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0000FF"/>
              </w:rPr>
              <w:t>C/O MILLENNIUM MANAGEMENT LLC</w:t>
            </w:r>
          </w:p>
        </w:tc>
      </w:tr>
      <w:tr>
        <w:trPr>
          <w:trHeight w:val="270"/>
        </w:trPr>
        <w:tc>
          <w:tcPr>
            <w:tcW w:w="100" w:type="dxa"/>
            <w:vAlign w:val="bottom"/>
          </w:tcPr>
          <w:p>
            <w:pPr>
              <w:spacing w:after="0"/>
              <w:rPr>
                <w:sz w:val="23"/>
                <w:szCs w:val="23"/>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666 FIFTH AVENUE</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NEW YORK</w:t>
            </w:r>
          </w:p>
        </w:tc>
        <w:tc>
          <w:tcPr>
            <w:tcW w:w="1420" w:type="dxa"/>
            <w:vAlign w:val="bottom"/>
            <w:gridSpan w:val="2"/>
          </w:tcPr>
          <w:p>
            <w:pPr>
              <w:ind w:left="14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10103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980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9800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80" w:firstLine="9"/>
        <w:spacing w:after="0" w:line="230"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effected by The Riverview Group, LLC, a Delaware limited liability company ("Riverview"), which as of the date hereof directly holds 3,969,189 shares of Common Stock of StemCells, Inc. (the "Company") and 1,322,716 warrants exercisable into 1,322,716 shares of Common Stock of the Company. Riverview is a wholly owned subsidiary of Millennium Holding Group, L.P., a Delaware limited partnership ("Holding"). Millennium Management, LLC, a Delaware limited liability company ("Millennium Management"), is the general partner of Holding and consequently has voting control and investment discretion over securities owned by Holding and by Riverview.</w:t>
      </w:r>
    </w:p>
    <w:p>
      <w:pPr>
        <w:spacing w:after="0" w:line="31"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Israel A. Englander ("Mr. Englander") is the sole managing member of Millennium Management. As a result, Mr. Englander may be considered the beneficial owner of any shares deemed to be beneficially owned by Millennium Management. Each of Holding, Millennium Management and Mr. Englander disclaims any beneficial ownership of the shares owned by Riverview to the extent such beneficial ownership exceeds such person's pecuniary interest.</w:t>
      </w:r>
    </w:p>
    <w:p>
      <w:pPr>
        <w:spacing w:after="0" w:line="30" w:lineRule="exact"/>
        <w:rPr>
          <w:rFonts w:ascii="Arial" w:cs="Arial" w:eastAsia="Arial" w:hAnsi="Arial"/>
          <w:sz w:val="14"/>
          <w:szCs w:val="14"/>
          <w:color w:val="008000"/>
        </w:rPr>
      </w:pPr>
    </w:p>
    <w:p>
      <w:pPr>
        <w:ind w:left="20" w:right="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Millennium Partners, L.P., a Cayman Islands limited partnership ("Partners"), is a limited partner of Holding. As a limited partner, Partners has no ability to control Holding. Therefore, as of the date of this filing, Partners may not be deemed a beneficial owner of the shares of the Company or a member of the above-listed group.</w:t>
      </w:r>
    </w:p>
    <w:p>
      <w:pPr>
        <w:spacing w:after="0" w:line="37"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Israel A. Englander,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12/24/2003</w:t>
            </w:r>
          </w:p>
        </w:tc>
        <w:tc>
          <w:tcPr>
            <w:tcW w:w="0" w:type="dxa"/>
            <w:vAlign w:val="bottom"/>
          </w:tcPr>
          <w:p>
            <w:pPr>
              <w:spacing w:after="0"/>
              <w:rPr>
                <w:sz w:val="1"/>
                <w:szCs w:val="1"/>
                <w:color w:val="auto"/>
              </w:rPr>
            </w:pPr>
          </w:p>
        </w:tc>
      </w:tr>
      <w:tr>
        <w:trPr>
          <w:trHeight w:val="88"/>
        </w:trPr>
        <w:tc>
          <w:tcPr>
            <w:tcW w:w="13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Managing Member</w:t>
            </w:r>
          </w:p>
        </w:tc>
        <w:tc>
          <w:tcPr>
            <w:tcW w:w="26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4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60"/>
          </w:cols>
          <w:pgMar w:left="260" w:top="179" w:right="379"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The Riverview Group,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666 5th Avenue</w:t>
      </w:r>
    </w:p>
    <w:p>
      <w:pPr>
        <w:ind w:left="960"/>
        <w:spacing w:after="0" w:line="238" w:lineRule="auto"/>
        <w:rPr>
          <w:sz w:val="20"/>
          <w:szCs w:val="20"/>
          <w:color w:val="auto"/>
        </w:rPr>
      </w:pPr>
      <w:r>
        <w:rPr>
          <w:rFonts w:ascii="Courier New" w:cs="Courier New" w:eastAsia="Courier New" w:hAnsi="Courier New"/>
          <w:sz w:val="18"/>
          <w:szCs w:val="18"/>
          <w:color w:val="auto"/>
        </w:rPr>
        <w:t>New York, New York 10103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Filer: Millennium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 December 22, 2003</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THE RIVERVIEW GROUP, LLC</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 Terry Feeney</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Name: Terry Feeney</w:t>
      </w:r>
    </w:p>
    <w:p>
      <w:pPr>
        <w:ind w:left="1700"/>
        <w:spacing w:after="0" w:line="237" w:lineRule="auto"/>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Millennium Holding Group, 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666 5th Avenue</w:t>
      </w:r>
    </w:p>
    <w:p>
      <w:pPr>
        <w:ind w:left="960"/>
        <w:spacing w:after="0" w:line="238" w:lineRule="auto"/>
        <w:rPr>
          <w:sz w:val="20"/>
          <w:szCs w:val="20"/>
          <w:color w:val="auto"/>
        </w:rPr>
      </w:pPr>
      <w:r>
        <w:rPr>
          <w:rFonts w:ascii="Courier New" w:cs="Courier New" w:eastAsia="Courier New" w:hAnsi="Courier New"/>
          <w:sz w:val="18"/>
          <w:szCs w:val="18"/>
          <w:color w:val="auto"/>
        </w:rPr>
        <w:t>New York, New York 10103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Filer: Millennium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 December 22.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MILLENNIUM HOLDING GROUP, L.P.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Millennium Management LLC</w:t>
      </w:r>
    </w:p>
    <w:p>
      <w:pPr>
        <w:ind w:left="1160"/>
        <w:spacing w:after="0" w:line="238" w:lineRule="auto"/>
        <w:rPr>
          <w:sz w:val="20"/>
          <w:szCs w:val="20"/>
          <w:color w:val="auto"/>
        </w:rPr>
      </w:pPr>
      <w:r>
        <w:rPr>
          <w:rFonts w:ascii="Courier New" w:cs="Courier New" w:eastAsia="Courier New" w:hAnsi="Courier New"/>
          <w:sz w:val="18"/>
          <w:szCs w:val="18"/>
          <w:color w:val="auto"/>
        </w:rPr>
        <w:t>as General Partner</w:t>
      </w:r>
    </w:p>
    <w:p>
      <w:pPr>
        <w:ind w:left="1160"/>
        <w:spacing w:after="0"/>
        <w:rPr>
          <w:sz w:val="20"/>
          <w:szCs w:val="20"/>
          <w:color w:val="auto"/>
        </w:rPr>
      </w:pPr>
      <w:r>
        <w:rPr>
          <w:rFonts w:ascii="Courier New" w:cs="Courier New" w:eastAsia="Courier New" w:hAnsi="Courier New"/>
          <w:sz w:val="18"/>
          <w:szCs w:val="18"/>
          <w:color w:val="auto"/>
        </w:rPr>
        <w:t>By: Israel A. Englander</w:t>
      </w:r>
    </w:p>
    <w:p>
      <w:pPr>
        <w:ind w:left="1160"/>
        <w:spacing w:after="0" w:line="237" w:lineRule="auto"/>
        <w:rPr>
          <w:sz w:val="20"/>
          <w:szCs w:val="20"/>
          <w:color w:val="auto"/>
        </w:rPr>
      </w:pPr>
      <w:r>
        <w:rPr>
          <w:rFonts w:ascii="Courier New" w:cs="Courier New" w:eastAsia="Courier New" w:hAnsi="Courier New"/>
          <w:sz w:val="18"/>
          <w:szCs w:val="18"/>
          <w:color w:val="auto"/>
        </w:rPr>
        <w:t>as Sole Managing Member</w:t>
      </w:r>
    </w:p>
    <w:p>
      <w:pPr>
        <w:spacing w:after="0" w:line="200" w:lineRule="exact"/>
        <w:rPr>
          <w:sz w:val="20"/>
          <w:szCs w:val="20"/>
          <w:color w:val="auto"/>
        </w:rPr>
      </w:pPr>
    </w:p>
    <w:p>
      <w:pPr>
        <w:spacing w:after="0" w:line="204" w:lineRule="exact"/>
        <w:rPr>
          <w:sz w:val="20"/>
          <w:szCs w:val="20"/>
          <w:color w:val="auto"/>
        </w:rPr>
      </w:pPr>
    </w:p>
    <w:p>
      <w:pPr>
        <w:ind w:left="11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Israel A. Englander</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Name: Israel A. Englander</w:t>
      </w:r>
    </w:p>
    <w:p>
      <w:pPr>
        <w:sectPr>
          <w:pgSz w:w="11900" w:h="16838" w:orient="portrait"/>
          <w:cols w:equalWidth="0" w:num="1">
            <w:col w:w="10219"/>
          </w:cols>
          <w:pgMar w:left="240" w:top="136" w:right="1440" w:bottom="1440" w:gutter="0" w:footer="0" w:header="0"/>
        </w:sectPr>
      </w:pPr>
    </w:p>
    <w:bookmarkStart w:id="3" w:name="page4"/>
    <w:bookmarkEnd w:id="3"/>
    <w:p>
      <w:pPr>
        <w:jc w:val="right"/>
        <w:ind w:right="4739"/>
        <w:spacing w:after="0"/>
        <w:rPr>
          <w:sz w:val="20"/>
          <w:szCs w:val="20"/>
          <w:color w:val="auto"/>
        </w:rPr>
      </w:pPr>
      <w:r>
        <w:rPr>
          <w:rFonts w:ascii="Courier New" w:cs="Courier New" w:eastAsia="Courier New" w:hAnsi="Courier New"/>
          <w:sz w:val="18"/>
          <w:szCs w:val="18"/>
          <w:color w:val="auto"/>
        </w:rPr>
        <w:t>Joint Filer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Israel A. Englander.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666 5th Avenue</w:t>
      </w:r>
    </w:p>
    <w:p>
      <w:pPr>
        <w:ind w:left="960"/>
        <w:spacing w:after="0" w:line="238" w:lineRule="auto"/>
        <w:rPr>
          <w:sz w:val="20"/>
          <w:szCs w:val="20"/>
          <w:color w:val="auto"/>
        </w:rPr>
      </w:pPr>
      <w:r>
        <w:rPr>
          <w:rFonts w:ascii="Courier New" w:cs="Courier New" w:eastAsia="Courier New" w:hAnsi="Courier New"/>
          <w:sz w:val="18"/>
          <w:szCs w:val="18"/>
          <w:color w:val="auto"/>
        </w:rPr>
        <w:t>New York, New York 10103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Filer: Millennium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StemCells,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Event Requiring Statement: December 22, 2003</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ISRAEL A. ENGLANDER</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Israel A. Englander</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Israel A. Englander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273087" TargetMode="External"/><Relationship Id="rId13" Type="http://schemas.openxmlformats.org/officeDocument/2006/relationships/hyperlink" Target="http://www.sec.gov/cgi-bin/browse-edgar?action=getcompany&amp;CIK=0000883975" TargetMode="External"/><Relationship Id="rId14" Type="http://schemas.openxmlformats.org/officeDocument/2006/relationships/hyperlink" Target="http://www.sec.gov/cgi-bin/browse-edgar?action=getcompany&amp;CIK=0001273089" TargetMode="External"/><Relationship Id="rId15" Type="http://schemas.openxmlformats.org/officeDocument/2006/relationships/hyperlink" Target="http://www.sec.gov/cgi-bin/browse-edgar?action=getcompany&amp;CIK=0001273091" TargetMode="External"/><Relationship Id="rId16" Type="http://schemas.openxmlformats.org/officeDocument/2006/relationships/hyperlink" Target="http://www.sec.gov/cgi-bin/browse-edgar?action=getcompany&amp;CIK=00010174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2019-12-17T07:28:57Z</dcterms:created>
  <dcterms:modified xsi:type="dcterms:W3CDTF">2019-12-17T07:28:57Z</dcterms:modified>
</cp:coreProperties>
</file>