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posam.htm"/>
      <w:bookmarkStart w:id="1" w:name="ksformposam"/>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March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333-273207</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Amendment No. 1</w:t>
      </w:r>
      <w:r>
        <w:rPr>
          <w:rFonts w:ascii="Times New Roman;Times;Serif" w:hAnsi="Times New Roman;Times;Serif"/>
          <w:b w:val="false"/>
          <w:i w:val="false"/>
          <w:caps w:val="false"/>
          <w:smallCaps w:val="false"/>
          <w:sz w:val="24"/>
        </w:rPr>
        <w:t xml:space="preserve"> </w:t>
      </w:r>
      <w:r>
        <w:rPr>
          <w:rFonts w:ascii="Times New Roman;Times;Serif" w:hAnsi="Times New Roman;Times;Serif"/>
          <w:b/>
          <w:i w:val="false"/>
          <w:caps w:val="false"/>
          <w:smallCaps w:val="false"/>
          <w:sz w:val="24"/>
        </w:rPr>
        <w:t>to Post-Effective Amendment No. 1</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to</w:t>
      </w:r>
      <w:r>
        <w:rPr>
          <w:rFonts w:ascii="Times New Roman;Times;Serif" w:hAnsi="Times New Roman;Times;Serif"/>
          <w:b w:val="false"/>
          <w:i w:val="false"/>
          <w:caps w:val="false"/>
          <w:smallCaps w:val="false"/>
          <w:sz w:val="24"/>
        </w:rPr>
        <w:t xml:space="preserve"> </w:t>
      </w:r>
      <w:r>
        <w:rPr>
          <w:rFonts w:ascii="Times New Roman;Times;Serif" w:hAnsi="Times New Roman;Times;Serif"/>
          <w:b/>
          <w:i w:val="false"/>
          <w:caps w:val="false"/>
          <w:smallCaps w:val="false"/>
          <w:sz w:val="24"/>
        </w:rPr>
        <w:t>Form S-1 on</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MICROBOT MEDICAL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495"/>
        <w:gridCol w:w="60"/>
        <w:gridCol w:w="1535"/>
      </w:tblGrid>
      <w:tr>
        <w:trPr/>
        <w:tc>
          <w:tcPr>
            <w:tcW w:w="24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94-3078125</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 Derby St., Bld. 27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Hingham, MA 02043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(781) 875-3605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Harel Gadot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President and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 Derby St., Bld. 27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Hingham, MA 02043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(781) 875-3605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Stephen E. Fox,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Ruskin Moscou Faltischek, P.C.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1425 RXR Plaza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East Tower, 15</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Uniondale, New York 11556-1425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(516) 663-6600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after the effective date of this registration statement, as determined by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1925"/>
        <w:gridCol w:w="230"/>
        <w:gridCol w:w="2345"/>
        <w:gridCol w:w="245"/>
      </w:tblGrid>
      <w:tr>
        <w:trPr/>
        <w:tc>
          <w:tcPr>
            <w:tcW w:w="19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9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center"/>
        <w:rPr>
          <w:caps/>
        </w:rPr>
      </w:pPr>
      <w:r>
        <w:rPr>
          <w:caps/>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w:t>
      </w:r>
      <w:r>
        <w:rPr>
          <w:rFonts w:ascii="Times New Roman;Times;Serif" w:hAnsi="Times New Roman;Times;Serif"/>
          <w:b/>
          <w:i w:val="false"/>
          <w:caps w:val="false"/>
          <w:smallCaps w:val="false"/>
          <w:sz w:val="20"/>
        </w:rPr>
        <w:t>a</w:t>
      </w:r>
      <w:r>
        <w:rPr>
          <w:rFonts w:ascii="Times New Roman;Times;Serif" w:hAnsi="Times New Roman;Times;Serif"/>
          <w:b/>
          <w:i w:val="false"/>
          <w:caps/>
          <w:sz w:val="20"/>
        </w:rPr>
        <w:t>) of the Securities Act of 1933, AS AMENDED, or until THE registration statement shall become effective on such date as the SECURITIES AND EXCHANGE Commission, acting pursuant to SAID Section 8(</w:t>
      </w:r>
      <w:r>
        <w:rPr>
          <w:rFonts w:ascii="Times New Roman;Times;Serif" w:hAnsi="Times New Roman;Times;Serif"/>
          <w:b/>
          <w:i w:val="false"/>
          <w:caps w:val="false"/>
          <w:smallCaps w:val="false"/>
          <w:sz w:val="20"/>
        </w:rPr>
        <w:t>a</w:t>
      </w:r>
      <w:r>
        <w:rPr>
          <w:rFonts w:ascii="Times New Roman;Times;Serif" w:hAnsi="Times New Roman;Times;Serif"/>
          <w:b/>
          <w:i w:val="false"/>
          <w:caps/>
          <w:sz w:val="20"/>
        </w:rPr>
        <w:t>), may determine.</w:t>
      </w:r>
    </w:p>
    <w:p>
      <w:pPr>
        <w:pStyle w:val="TextBody"/>
        <w:bidi w:val="0"/>
        <w:jc w:val="both"/>
        <w:rPr>
          <w:caps/>
        </w:rPr>
      </w:pPr>
      <w:r>
        <w:rPr>
          <w:caps/>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rPr>
      </w:pPr>
      <w:r>
        <w:rPr>
          <w: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shd w:fill="FFFFFF" w:val="clear"/>
        <w:bidi w:val="0"/>
        <w:jc w:val="center"/>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11, 2023, Microbot Medical Inc. (the “Company”) filed a registration statement with the Securities and Exchange Commission (the “SEC”) on Form S-1 (File No. 333-273207) (the “Registration Statement”). The Registration Statement, as amended, was initially declared effective by the SEC on July 17, 2023. This Amendment No. 1 to Post-Effective Amendment No. 1 to Form S-1 on Form S-3 (“Amendment No. 1”) is being filed by the Company to (i) convert the Registration Statement into a Registration Statement on Form S-3, which the Company is eligible to use and (ii) to include updated information regarding the selling securityholders named in the prospectus. No additional securities are being registered under this Amendment No. 1. All applicable registration fees were paid at the time of the original filing of the Registration Statement.</w:t>
      </w:r>
    </w:p>
    <w:p>
      <w:pPr>
        <w:pStyle w:val="TextBody"/>
        <w:bidi w:val="0"/>
        <w:spacing w:before="0" w:after="0"/>
        <w:ind w:left="0" w:right="0" w:hanging="0"/>
        <w:jc w:val="both"/>
        <w:rPr>
          <w:caps/>
        </w:rPr>
      </w:pPr>
      <w:r>
        <w:rPr>
          <w: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FF0000"/>
          <w:sz w:val="20"/>
        </w:rPr>
      </w:pPr>
      <w:r>
        <w:rPr>
          <w:rFonts w:ascii="Times New Roman;Times;Serif" w:hAnsi="Times New Roman;Times;Serif"/>
          <w:b/>
          <w:i w:val="false"/>
          <w:caps/>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MARCH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2857500" cy="1428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14287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2,281,626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or other disposition from time to time of up to 2,281,626 shares of our common stock, $0.01 par value per share, by the selling stockholders named in this prospectus, including their transferees, pledgees, donees or successors, that may be issued upon the exercise of outstanding preferred investment options held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cover the issuance of the shares underlying the preferred investment options to the selling stockholders upon their exercise. We are not selling any shares of common stock under this prospectus and will not receive any of the proceeds from the sale of shares of common stock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the shares covered by this prospectus does not mean that the selling stockholders will actually exercise outstanding options held by them or offer or resell any of these shares once issued to them. The selling stockholders may resell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11.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resale of shares of our common stock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ticker symbol “MBOT.” On March 25, 2025, the last reported closing price of our common stock on the Nasdaq Capital Market was $1.59.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You should review carefully the risks and uncertainties described under the heading “Risk Factors” beginning on page 7 of this prospectus, and under similar headings in any amendments or supplements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2025.</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6605"/>
        <w:gridCol w:w="530"/>
      </w:tblGrid>
      <w:tr>
        <w:trPr/>
        <w:tc>
          <w:tcPr>
            <w:tcW w:w="660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Pages</w:t>
            </w:r>
          </w:p>
        </w:tc>
      </w:tr>
      <w:tr>
        <w:trPr/>
        <w:tc>
          <w:tcPr>
            <w:tcW w:w="660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i w:val="false"/>
                  <w:caps w:val="false"/>
                  <w:smallCaps w:val="false"/>
                  <w:sz w:val="20"/>
                </w:rPr>
                <w:t>ABOUT THIS PROSPECTUS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60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i w:val="false"/>
                  <w:caps w:val="false"/>
                  <w:smallCaps w:val="false"/>
                  <w:sz w:val="20"/>
                </w:rPr>
                <w:t>PROSPECTUS SUMMARY</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60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i w:val="false"/>
                  <w:caps w:val="false"/>
                  <w:smallCaps w:val="false"/>
                  <w:sz w:val="20"/>
                </w:rPr>
                <w:t>RISK FACTORS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60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i w:val="false"/>
                  <w:caps w:val="false"/>
                  <w:smallCaps w:val="false"/>
                  <w:sz w:val="20"/>
                </w:rPr>
                <w:t>CAUTIONARY NOTE REGARDING FORWARD-LOOKING STATEMENTS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60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i w:val="false"/>
                  <w:caps w:val="false"/>
                  <w:smallCaps w:val="false"/>
                  <w:sz w:val="20"/>
                </w:rPr>
                <w:t>USE OF PROCEEDS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60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i w:val="false"/>
                  <w:caps w:val="false"/>
                  <w:smallCaps w:val="false"/>
                  <w:sz w:val="20"/>
                </w:rPr>
                <w:t>SELLING STOCKHOLDERS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60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i w:val="false"/>
                  <w:caps w:val="false"/>
                  <w:smallCaps w:val="false"/>
                  <w:sz w:val="20"/>
                </w:rPr>
                <w:t>PLAN OF DISTRIBUTION</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60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i w:val="false"/>
                  <w:caps w:val="false"/>
                  <w:smallCaps w:val="false"/>
                  <w:sz w:val="20"/>
                </w:rPr>
                <w:t>DESCRIPTION OF SECURITIES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60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i w:val="false"/>
                  <w:caps w:val="false"/>
                  <w:smallCaps w:val="false"/>
                  <w:sz w:val="20"/>
                </w:rPr>
                <w:t>LEGAL MATTERS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60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i w:val="false"/>
                  <w:caps w:val="false"/>
                  <w:smallCaps w:val="false"/>
                  <w:sz w:val="20"/>
                </w:rPr>
                <w:t>EXPERTS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60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i w:val="false"/>
                  <w:caps w:val="false"/>
                  <w:smallCaps w:val="false"/>
                  <w:sz w:val="20"/>
                </w:rPr>
                <w:t>WHERE YOU CAN FIND MORE INFORMATION</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60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i w:val="false"/>
                  <w:caps w:val="false"/>
                  <w:smallCaps w:val="false"/>
                  <w:sz w:val="20"/>
                </w:rPr>
                <w:t>INCORPORATION OF CERTAIN INFORMATION BY REFERENCE</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bl>
    <w:p>
      <w:pPr>
        <w:pStyle w:val="TextBody"/>
        <w:bidi w:val="0"/>
        <w:spacing w:before="0" w:after="0"/>
        <w:ind w:left="0" w:right="0" w:firstLine="72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United States Securities and Exchange Commission (the “SEC”). You should read this prospectus, including the documents incorporated by reference herein, and the related registration statement carefully. This prospectus and registration statement contain important information you should consider when making your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have provided in this prospectus, including the documents incorporated by reference herein, and any applicable prospectus supplement. We have not authorized anyone to provide you with different information. No dealer, salesperson or other person is authorized to give any information or to represent anything not contained in this prospectus, including the documents incorporated by reference herein, and any applicable prospectus supplement. You must not rely on any unauthorized information or representation. This prospectus is an offer to sell only the securities offered hereby, but only under circumstances and in jurisdictions where it is lawful to do so. You should assume that the information in this prospectus, including the documents incorporated by reference herein, and any applicable prospectus supplement is accurate only as of the date on the front of the respective document, regardless of the time of delivery of this prospectus, any applicable prospectus supplement, or any sale of a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before making an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in this prospectus, the terms “Microbot,” the “Company,” “we,” “our” or “us” in this prospectus refer to Microbot Medical Inc. and its wholly-owned subsidiaries.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certain information about us and this offering contained elsewhere in this prospectus or in the documents we incorporate by reference. Because it is only a summary, it does not contain all of the information that you should consider before investing in shares of our securities and it is qualified in its entirety by, and should be read in conjunction with, the more detailed information appearing elsewhere or incorporated by reference in this prospectus. Before you decide to invest in our securities, you should read the entire prospectus carefully, including “Risk Factors” beginning on page 7, and the consolidated financial statements and related notes and the other information included or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clinical-stage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our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technological platform, we are developing the first ever fully disposable robot for various endovascular interventional procedures.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in the peripheral vasculature market. It is designed to eliminate the need for extensive capital equipment requiring dedicated Cath-lab rooms as well as dedicated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Registered Direct Offerings and Concurrent Private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2025, we entered into a securities purchase agreement with investors, pursuant to which we agreed to issue and sell, in a registered direct offering priced at-the-market under the rules of The Nasdaq Stock Market, an aggregate of 4,000,001 shares of our common stock at an offering price of $1.75 per share. In a concurrent private placement, we agreed to issue to the same investors series G preferred investment options to purchase up to 8,000,002 shares of our common stock at an exercise price of $1.75 per share. Each series G preferred investment option was exercisable immediately and expires two years from the initial exercise date. The offerings closed on January 7, 2025, and we raised approximately $7.0 million in aggregate gross proceeds from such offerings, before deducting placement agent fees and expenses and related offering expenses. We also issued at closing to the placement agent or its designees, warrants to purchase 200,000 shares of our common stock, which were exercisable immediately, expire two years from issuance, and have an exercise price of $2.1875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7, 2025, we entered into a securities purchase agreement with investors, pursuant to which we agreed to issue and sell, in a registered direct offering priced at-the-market under the rules of The Nasdaq Stock Market, an aggregate of 3,788,550 shares of our common stock at an offering price of $2.27 per share. In a concurrent private placement, we agreed to issue to the same investors series H preferred investment options to purchase up to 7,577,100 shares of our common stock at an exercise price of $2.10 per share. Each series H preferred investment option was exercisable immediately and expires two years from the initial exercise date. The offerings closed on January 10, 2025, and we raised approximately $8.6 million in aggregate gross proceeds from such offerings, before deducting placement agent fees and expenses and related offering expenses. We also issued at closing to the placement agent or its designees, warrants to purchase 189,428 shares of our common stock, which were exercisable immediately, expire two years from issuance, and have an exercise price of $2.8375 per share.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9, 2025, we entered into a securities purchase agreement with investors, pursuant to which we agreed to issue and sell, in a registered direct offering priced at-the-market under the rules of The Nasdaq Stock Market, an aggregate of 6,103,289 shares of our common stock at an offering price of $2.13 per share. In a concurrent private placement, we agreed to issue to the same investors series I preferred investment options to purchase up to 12,206,578 shares of our common stock at an exercise price of $2.13 per share. Each series I preferred investment option was exercisable commencing on or after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(the “Stockholder Approval Date”) and will expire two years from the initial exercise date. The offerings closed on February 11, 2025, and we raised approximately $11.8 million in aggregate net proceeds from such offerings, after deducting placement agent fees and expenses and related offering expenses. We also issued at closing to the placement agent or its designees, warrants to purchase 305,164 shares of our common stock, which </w:t>
      </w:r>
      <w:r>
        <w:rPr>
          <w:rFonts w:ascii="Times New Roman;Times;Serif" w:hAnsi="Times New Roman;Times;Serif"/>
          <w:b w:val="false"/>
          <w:i w:val="false"/>
          <w:caps w:val="false"/>
          <w:smallCaps w:val="false"/>
          <w:sz w:val="20"/>
          <w:shd w:fill="FFFFFF" w:val="clear"/>
        </w:rPr>
        <w:t>are exercisable on or after the later of (i) the Authorized Share Increase Date and (ii) the Stockholder Approval Date, will expire two years from the initial exercise date (but no later than February 9, 2030), and have an exercise price of $2.6625 per share</w:t>
      </w:r>
      <w:r>
        <w:rPr>
          <w:rFonts w:ascii="Times New Roman;Times;Serif" w:hAnsi="Times New Roman;Times;Serif"/>
          <w:b w:val="false"/>
          <w:i w:val="false"/>
          <w:caps w:val="false"/>
          <w:smallCaps w:val="false"/>
          <w:sz w:val="20"/>
        </w:rPr>
        <w:t>. We are seeking stockholder approval to increase the number of authorized shares of our common stock to 120,000,000 and to approve the issuance of the options and shares underlying the options, at a special meeting of stockholders expected to be held on April 11,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ATM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we entered into an At-the-Market Offering Agreement, as amended on July 1, 2024 (the “ATM Agreement”) with Wainwright as sales agent, in connection with an “at the market offering” under which we may offer and sell, from time to time in our sole discretion, shares of our common stock having an aggregate offering price of up to $4,819,905 at market prices or as otherwise agreed with Wainwright. The compensation to Wainwright for sales of the shares is a placement fee of 3.0% of the gross sales price of the shares of common stock sold pursuant to the ATM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entering into the ATM Agreement, on July 1, 2024, we filed with the SEC a prospectus supplement relating to the offer, issuance and sale of up to $4,819,905 of our shares of common stock pursuant to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January 7, 2025, we issued and sold an aggregate of 4,276,486 shares of our common stock pursuant to the ATM Agreement, for total gross proceeds of $4,819,278 before deducting aggregate placement fees of $144,578 and other offering expenses. Accordingly, we are no longer selling any further shares of our common stock under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510(k) Premarket Notification Submission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we announced that we submitted a 510(k) premarket notification to the U.S. Food and Drug Administration (FDA) for our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The 510(k) submission follows the successful completion of our multi-center, single-arm, trial to evaluate the performance and safety of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human subjects undergoing Peripheral Vascular Interventions.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FDA marketing clearance during the second quarter of 2025, with U.S. commercialization activities expected to commence after the clearance.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Israel-Hamas War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are on-going as of the date of this prospectus, although there have been temporary cease fires in such military operations from time to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considered various ongoing risks relating to the military operations and related matters,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some of our Israeli subcontractors, vendors, suppliers and other companies in which the Company relies, are currently only partially active, as instructed by the relevant authorities;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slowdown in the number of international flights in and out of Israel.</w:t>
            </w:r>
          </w:p>
        </w:tc>
      </w:tr>
    </w:tbl>
    <w:p>
      <w:pPr>
        <w:pStyle w:val="TextBody"/>
        <w:bidi w:val="0"/>
        <w:spacing w:before="0" w:after="0"/>
        <w:ind w:left="108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date of this prospectus, we have determined that there have not been any materially adverse effects on our business or operations, but we continue to monitor the situation, as any collapse of a cease-fire from time to time or any future escalation or change could result in a material adverse effect on the ability of our Israeli office to support the Company’s clinical and regulatory activities. We do not have any specific contingency plans in the event of any such escalation or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Technological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LIBERTY</w:t>
      </w:r>
      <w:r>
        <w:rPr>
          <w:rFonts w:ascii="Times New Roman;Times;Serif" w:hAnsi="Times New Roman;Times;Serif"/>
          <w:b/>
          <w:i/>
          <w:caps w:val="false"/>
          <w:smallCaps w:val="false"/>
          <w:position w:val="7"/>
          <w:sz w:val="16"/>
          <w:sz w:val="20"/>
        </w:rPr>
        <w:t xml:space="preserve">® </w:t>
      </w:r>
      <w:r>
        <w:rPr>
          <w:rFonts w:ascii="Times New Roman;Times;Serif" w:hAnsi="Times New Roman;Times;Serif"/>
          <w:b/>
          <w:i/>
          <w:caps w:val="false"/>
          <w:smallCaps w:val="false"/>
          <w:sz w:val="20"/>
        </w:rPr>
        <w:t>Endovascular Robotic Surgical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 Endovascular Robotic Surgical System features a unique compact design with the capability to be operated remotely, reduce radiation exposure and physical strain to the physician, as well as the potential to eliminate the use of multiple consumables when used with its NovaCross</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platform or possibly other guidewire/microcatheter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addressable markets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its current version includes the peripheral interventional radiology market, with future versions expected to include the Interventional Cardiology and Interventional Neuroradiology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unique characteristics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 compact, mobile, disposable and remotely controlled – also may open the opportunity of expanding telerobotic interventions to patients with limited access to life-saving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is being designed to have the following attributes: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Compact size - Eliminates the need for large capital equipment in dedicated cath-lab rooms with dedicated staff.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disposable - To our knowledge, the first fully disposable, robotic system for endovascular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&amp; Done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 Has the potential to be compatible with Microbot’s NitiLoop’s NovaCross</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products or possibly other instruments that combines guidewire and microcatheter into a single device. We are currently evaluating this combination in different applications.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the art maneuverability - Provides linear and rotational control of its guidewire, as well as linear and rotational control of a guide catheter, and the linear motion for an additional microcatheter (“over the wire”) device.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Compatibility with a wide range of commercially-available guidewires, microcatheters and guide-catheters.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operator safety and comfort - Aims to reduce exposure to ionizing radiation and reduce physical strain due to the need for heavy lead vests otherwise to be worn during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Ease of use - Its intuitive remote controls aims to simplify advanced procedures while shortening the physician’s learning curve.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Telemedicine capability – May serve as a platform for supporting tele-catheterization, carried out remotely by highly trained specialists. The Company’s research collaboration with Corewell Health™ has demonstrated the feasibility of using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System between separate and remote facilities in a coronary simulation model. The project assesses the feasibility of using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to perform simulated cardiovascular interventional procedures across two sites within the Corewell Health™ system located 5 miles apart. The telesurgery feature of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is still being evaluated and is not covered under the Company’s pending 510(k) premarket submission with the U.S. Food and Drug Administration.</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2020, Microbot announced the successful conclusion of its feasibility animal study using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2023, we announced that the LIBERTY®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System’s remote operation capabilities, to pre-determined vascular targets, with a 100% success rate of reaching the intended target with no observable on-site complications.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announced the successful initial outcomes from our pivotal preclinical study with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The pivotal study was conducted by three leading interventional radiologists that utilized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to reach a total of 48 animal targets. A total of 6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Systems were used in the study. All 6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Investigational Device Exemption (“IDE”) submission to the FDA to commence human clinical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 Regulation (MDR 2017/745) and supporting our future CE Mark approval, and to ultimately allow us to market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in Europe as well as other regions who accept the CE Mark. We anticipate CE Mark approval in the second half of 2026. However, we can give no assurance that we will meet this or any other projected milestones, if ever. In addition, in view of the recent revision published by the U.S. Food &amp; Drug Administration (FDA) regarding the quality system management regulation and its incorporation by reference of the ISO 13485 standard, we believe it will help streamline our transition into this revised FDA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we announced that we submitted a 510(k) premarket notification to the U.S. Food and Drug Administration (FDA) for our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The 510(k) submission follows the successful completion of our multi-center, single-arm, trial to evaluate the performance and safety of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human subjects undergoing Peripheral Vascular Interventions.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FDA marketing clearance during the second quarter of 2025, with U.S. commercialization activities expected to commence after the clearance.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 exploring the feasibility of integrating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with an imaging system to create an autonomous robotic system for endovascular procedures.</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NovaCross</w:t>
      </w:r>
      <w:r>
        <w:rPr>
          <w:rFonts w:ascii="Times New Roman;Times;Serif" w:hAnsi="Times New Roman;Times;Serif"/>
          <w:b/>
          <w:i/>
          <w:caps w:val="false"/>
          <w:smallCaps w:val="false"/>
          <w:position w:val="7"/>
          <w:sz w:val="16"/>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address is 175 Derby St., Bld. 27, Hingham, MA 02043. Microbot also has an executive office at 6 Hayozma Street, Yokneam,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financial results are subject to various risk and uncertainties. Before deciding to invest in our securities, you should carefully consider the factors described under “Risk Factors” beginning on page 7 of this prospectus, as well as the other information included elsewhere in this prospectus, and the risk factors described under “Part I, Item 1A. Risk Factors” in our most recent Annual Report on Form 10-K and in any subsequently-filed Quarterly Reports on Form 10-Q, and those contained in our other filings with the SEC that are incorporated by reference in this prospectus. Any of the foregoing risk factors could adversely affect our business, results of operations, financial condition and prospects. Additional risks and uncertainties not presently known to us or that we currently deem immaterial may also adversely affect our business operations.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stockholders identified in this prospectus of up to 2,281,626 shares of our common stock, as follows:</w:t>
      </w:r>
    </w:p>
    <w:p>
      <w:pPr>
        <w:pStyle w:val="TextBody"/>
        <w:bidi w:val="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51,125 shares of our common stock issuable upon the exercise of outstanding warrants expiring in October 2027, at an exercise price per share of $6.1125;</w:t>
            </w:r>
          </w:p>
        </w:tc>
      </w:tr>
    </w:tbl>
    <w:p>
      <w:pPr>
        <w:pStyle w:val="TextBody"/>
        <w:bidi w:val="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32,778 shares of our common stock issuable upon the exercise of outstanding warrants expiring in November 2026, at an exercise price per share of $2.75;</w:t>
            </w:r>
          </w:p>
        </w:tc>
      </w:tr>
    </w:tbl>
    <w:p>
      <w:pPr>
        <w:pStyle w:val="TextBody"/>
        <w:bidi w:val="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60,476 shares of our common stock issuable upon the exercise of outstanding warrants expiring in November 2026, at an exercise price per share of $2.75;</w:t>
            </w:r>
          </w:p>
        </w:tc>
      </w:tr>
    </w:tbl>
    <w:p>
      <w:pPr>
        <w:pStyle w:val="TextBody"/>
        <w:bidi w:val="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35,088 shares of our common stock issuable upon the exercise of outstanding warrants expiring in November 2026, at an exercise price per share of $2.6719;</w:t>
            </w:r>
          </w:p>
        </w:tc>
      </w:tr>
    </w:tbl>
    <w:p>
      <w:pPr>
        <w:pStyle w:val="TextBody"/>
        <w:bidi w:val="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31,231 shares of our common stock issuable upon the exercise of outstanding warrants expiring in June 2028, at an exercise price per share of $4.0625; and</w:t>
            </w:r>
          </w:p>
        </w:tc>
      </w:tr>
      <w:tr>
        <w:trPr/>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aggregate of 2,070,928 shares of our common stock issued prior to the date of this prospectus upon the exercise of then outstanding series A preferred investment options, series B preferred investment options, series C preferred investment options and series D preferred investment options.</w:t>
            </w:r>
          </w:p>
        </w:tc>
      </w:tr>
    </w:tbl>
    <w:p>
      <w:pPr>
        <w:pStyle w:val="TextBody"/>
        <w:bidi w:val="0"/>
        <w:spacing w:before="0" w:after="0"/>
        <w:ind w:left="0" w:right="0" w:hanging="0"/>
        <w:jc w:val="center"/>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4400"/>
        <w:gridCol w:w="60"/>
        <w:gridCol w:w="1505"/>
      </w:tblGrid>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offered by the selling stockholders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2,281,626 shares</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outstanding before the offering (2)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34,744,476 shares</w:t>
            </w:r>
          </w:p>
        </w:tc>
      </w:tr>
      <w:tr>
        <w:trPr/>
        <w:tc>
          <w:tcPr>
            <w:tcW w:w="4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to be outstanding after the offering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34,955,174 shares</w:t>
            </w:r>
          </w:p>
        </w:tc>
      </w:tr>
      <w:tr>
        <w:trPr/>
        <w:tc>
          <w:tcPr>
            <w:tcW w:w="4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 Symbol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MBOT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such shares, an aggregate of 2,070,928 shares underlying options have been previously exercised and, upon information and belief, sold by the exercising optionholders.</w:t>
            </w:r>
          </w:p>
        </w:tc>
      </w:tr>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9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number of shares outstanding as of March 25, 2025.</w:t>
            </w:r>
          </w:p>
        </w:tc>
      </w:tr>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the exercise of all of the options and warrants held by the selling stockholders, the underlying shares of which are being registered pursuant to the registration statement of which this prospectus forms a part. Does not include the exercise of any other options or warrants that may be outstanding or issuable, including those that may be held by the selling stockholders.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2,070,928 shares of common stock previously issued upon the exercise of options and warrants and the 210,698 shares of common stock issuable upon the exercise of currently outstanding options and warrants, in each case that are being offered for resale by the selling stockholders pursuant to this prospectus will be or have been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pStyle w:val="TextBody"/>
        <w:bidi w:val="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receive up to a total of approximately $3.5 million in gross proceeds if all of the options and warrants are exercised by the selling stockholders for cash, and of which through the date of this prospectus, we have received a total of approximately $2.7 million upon the exercise of such options and warrants. However, as we are unable to predict the timing or amount of potential exercises of the options or warrants, we have not allocated any proceeds of such exercises to any particular purpose. Accordingly, all such proceeds, if any would be allocated to working capital. Pursuant to conditions set forth in the options and warrants, the options and warrants are exercisable under certain circumstances on a cashless basis, and should a selling stockholder elect to exercise on a cashless basis we will not receive any proceeds from the sale of common stock issued upon the cashless exercise of the option or warrant.</w:t>
      </w:r>
    </w:p>
    <w:p>
      <w:pPr>
        <w:pStyle w:val="TextBody"/>
        <w:bidi w:val="0"/>
        <w:spacing w:before="0" w:after="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all costs associated with this registration statement and prospectus.</w:t>
      </w:r>
    </w:p>
    <w:p>
      <w:pPr>
        <w:pStyle w:val="TextBody"/>
        <w:bidi w:val="0"/>
        <w:spacing w:before="0" w:after="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dividends on our capital stock and do not anticipate paying any dividends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Registration Statement on Form S-3, of which this prospectus forms a part, to satisfy registration rights we granted to the selling stockholders.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risks. Before deciding whether to purchase our securities, you should carefully consider the risk factors incorporated by reference from our Annual Report on Form 10-K for the year ended December 31, 2024 filed with the SEC on March 25, 2025, under the heading “Item 1A. Risk Factors”, any updates to those risk factors contained in our subsequently filed Quarterly Reports on Form 10-Q or Current Reports on Form 8-K and the other information contained in this prospectus or any applicable prospectus supplement, as updated by those subsequent filings with the SEC under the Securities Exchange Act of 1934, as amended (the “Exchange Act”) that are incorporated herein by reference. These risks could materially affect our business, results of operations and financial condition and could cause the value of our securities to decline in value, in which case you may lose all or part of your investment. For more information, see “Where You Can Find More Information” and “Incorporation of Certain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may be required to confirm the safety and demonstrate the efficacy of our planned products; uncertainty as to whether the U.S. Food and Drug Administration, or the FDA, or other regulatory authorities will clear our proposed products for commercialization and sale; the risk that any planned clinical trials or studies could be substantially delayed beyond their expected dates or cause us to incur substantial unanticipated costs; uncertainties in our ability to obtain the capital resources needed to continue our current or future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regulatory and military developments in Israel including disruptions resulting from new and ongoing hostilities between Israel and the Palestinians, such as employees of Microbot and its vendors and business partners being called to active military duty; and other risks to which we are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w:t>
      </w:r>
      <w:r>
        <w:rPr>
          <w:rFonts w:ascii="Times New Roman;Times;Serif" w:hAnsi="Times New Roman;Times;Serif"/>
          <w:b w:val="false"/>
          <w:i/>
          <w:caps w:val="false"/>
          <w:smallCaps w:val="false"/>
          <w:sz w:val="20"/>
        </w:rPr>
        <w:t>Business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2,070,928 shares of common stock previously issued upon the exercise of options and warrants and the 210,698 shares of common stock issuable upon the exercise of currently outstanding options and warrants,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pStyle w:val="TextBody"/>
        <w:bidi w:val="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receive up to a total of approximately $3.5 million in gross proceeds if all of the options and warrants are exercised by the selling stockholders for cash, and of which through the date of this prospectus, we have received a total of approximately $2.7 million upon the exercise of such options and warrants. However, as we are unable to predict the timing or amount of potential exercises of the options or warrants, we have not allocated any proceeds of such exercises to any particular purpose. Accordingly, all such proceeds, if any would be allocated to working capital. Pursuant to conditions set forth in the options and warrants, the options are exercisable under certain circumstances on a cashless basis, and should a selling stockholder elect to exercise on a cashless basis we will not receive any proceeds from the sale of common stock issued upon the cashless exercise of the option or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all costs associated with this registration statement and prospectus.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 forth certain information regarding the selling stockholders and the shares of common stock beneficially owned by them.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13d-3(d) promulgated by the SEC under the Exchange Act. Unless otherwise provided, the percentage of shares beneficially owned prior to the offering is based on 34,744,476 shares of our common stock outstanding as of March 25,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259" w:type="dxa"/>
        <w:jc w:val="left"/>
        <w:tblInd w:w="0" w:type="dxa"/>
        <w:tblLayout w:type="fixed"/>
        <w:tblCellMar>
          <w:top w:w="0" w:type="dxa"/>
          <w:left w:w="0" w:type="dxa"/>
          <w:bottom w:w="0" w:type="dxa"/>
          <w:right w:w="0" w:type="dxa"/>
        </w:tblCellMar>
      </w:tblPr>
      <w:tblGrid>
        <w:gridCol w:w="2390"/>
        <w:gridCol w:w="60"/>
        <w:gridCol w:w="90"/>
        <w:gridCol w:w="1294"/>
        <w:gridCol w:w="290"/>
        <w:gridCol w:w="60"/>
        <w:gridCol w:w="125"/>
        <w:gridCol w:w="794"/>
        <w:gridCol w:w="80"/>
        <w:gridCol w:w="60"/>
        <w:gridCol w:w="76"/>
        <w:gridCol w:w="1098"/>
        <w:gridCol w:w="80"/>
        <w:gridCol w:w="60"/>
        <w:gridCol w:w="96"/>
        <w:gridCol w:w="1438"/>
        <w:gridCol w:w="77"/>
        <w:gridCol w:w="77"/>
        <w:gridCol w:w="113"/>
        <w:gridCol w:w="806"/>
        <w:gridCol w:w="95"/>
      </w:tblGrid>
      <w:tr>
        <w:trPr/>
        <w:tc>
          <w:tcPr>
            <w:tcW w:w="23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84"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w:t>
            </w:r>
          </w:p>
        </w:tc>
        <w:tc>
          <w:tcPr>
            <w:tcW w:w="2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19"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607"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Beneficially</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After Sale of All</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Pursuant to this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3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Stockholder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Before Any Sale</w:t>
            </w:r>
          </w:p>
        </w:tc>
        <w:tc>
          <w:tcPr>
            <w:tcW w:w="2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Class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Offered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tc>
        <w:tc>
          <w:tcPr>
            <w:tcW w:w="77" w:type="dxa"/>
            <w:tcBorders/>
            <w:vAlign w:val="center"/>
          </w:tcPr>
          <w:p>
            <w:pPr>
              <w:pStyle w:val="TableContents"/>
              <w:bidi w:val="0"/>
              <w:spacing w:before="0" w:after="283"/>
              <w:jc w:val="center"/>
              <w:rPr>
                <w:caps w:val="false"/>
                <w:smallCaps w:val="false"/>
              </w:rPr>
            </w:pPr>
            <w:r>
              <w:rPr>
                <w:caps w:val="false"/>
                <w:smallCaps w:val="false"/>
              </w:rPr>
              <w:t> </w:t>
            </w:r>
          </w:p>
        </w:tc>
        <w:tc>
          <w:tcPr>
            <w:tcW w:w="77" w:type="dxa"/>
            <w:tcBorders/>
            <w:vAlign w:val="center"/>
          </w:tcPr>
          <w:p>
            <w:pPr>
              <w:pStyle w:val="TableContents"/>
              <w:bidi w:val="0"/>
              <w:spacing w:before="0" w:after="283"/>
              <w:jc w:val="center"/>
              <w:rPr>
                <w:caps w:val="false"/>
                <w:smallCaps w:val="false"/>
              </w:rPr>
            </w:pPr>
            <w:r>
              <w:rPr>
                <w:caps w:val="false"/>
                <w:smallCaps w:val="false"/>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Class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Armistice Capital, LLC</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1,533,336</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1,533,336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4.23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Intracoastal Capital, LLC </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8,685,074</w:t>
            </w:r>
          </w:p>
        </w:tc>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8,685,074</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CVI Investments, Inc. </w:t>
            </w:r>
            <w:r>
              <w:rPr>
                <w:rFonts w:ascii="Times New Roman;Times;Serif" w:hAnsi="Times New Roman;Times;Serif"/>
                <w:b w:val="false"/>
                <w:i w:val="false"/>
                <w:caps w:val="false"/>
                <w:smallCaps w:val="false"/>
                <w:position w:val="7"/>
                <w:sz w:val="16"/>
                <w:sz w:val="20"/>
              </w:rPr>
              <w:t>(5)(6)</w:t>
            </w:r>
            <w:r>
              <w:rPr>
                <w:rFonts w:ascii="Times New Roman;Times;Serif" w:hAnsi="Times New Roman;Times;Serif"/>
                <w:b w:val="false"/>
                <w:i w:val="false"/>
                <w:caps w:val="false"/>
                <w:smallCaps w:val="false"/>
                <w:sz w:val="20"/>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9,507,077</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9,507,077</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Noam Rubenstein </w:t>
            </w:r>
            <w:r>
              <w:rPr>
                <w:rFonts w:ascii="Times New Roman;Times;Serif" w:hAnsi="Times New Roman;Times;Serif"/>
                <w:b w:val="false"/>
                <w:i w:val="false"/>
                <w:caps w:val="false"/>
                <w:smallCaps w:val="false"/>
                <w:position w:val="7"/>
                <w:sz w:val="16"/>
                <w:sz w:val="20"/>
              </w:rPr>
              <w:t>(7)(8)</w:t>
            </w:r>
            <w:r>
              <w:rPr>
                <w:rFonts w:ascii="Times New Roman;Times;Serif" w:hAnsi="Times New Roman;Times;Serif"/>
                <w:b w:val="false"/>
                <w:i w:val="false"/>
                <w:caps w:val="false"/>
                <w:smallCaps w:val="false"/>
                <w:sz w:val="20"/>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346,006</w:t>
            </w:r>
          </w:p>
        </w:tc>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279,637</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Michael Vasinkevich </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704,370</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569,260</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Craig Schwabe </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37,072</w:t>
            </w:r>
          </w:p>
        </w:tc>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29,961</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Charles Worthman </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10,985</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8,877</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w:t>
            </w:r>
            <w:r>
              <w:rPr>
                <w:rFonts w:ascii="Times New Roman;Times;Serif" w:hAnsi="Times New Roman;Times;Serif"/>
                <w:b/>
                <w:i w:val="false"/>
                <w:caps w:val="false"/>
                <w:smallCaps w:val="false"/>
                <w:position w:val="7"/>
                <w:sz w:val="16"/>
                <w:sz w:val="20"/>
              </w:rPr>
              <w:t>(9)</w:t>
            </w:r>
            <w:r>
              <w:rPr>
                <w:rFonts w:ascii="Times New Roman;Times;Serif" w:hAnsi="Times New Roman;Times;Serif"/>
                <w:b/>
                <w:i w:val="false"/>
                <w:caps w:val="false"/>
                <w:smallCaps w:val="false"/>
                <w:sz w:val="20"/>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9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2,281,626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pPr>
            <w:r>
              <w:rPr>
                <w:sz w:val="20"/>
              </w:rPr>
              <w:t>*</w:t>
            </w:r>
            <w:r>
              <w:rPr/>
              <w:t xml:space="preserve"> </w:t>
            </w:r>
          </w:p>
        </w:tc>
        <w:tc>
          <w:tcPr>
            <w:tcW w:w="9999" w:type="dxa"/>
            <w:tcBorders/>
            <w:vAlign w:val="center"/>
          </w:tcPr>
          <w:p>
            <w:pPr>
              <w:pStyle w:val="TableContents"/>
              <w:bidi w:val="0"/>
              <w:spacing w:before="0" w:after="283"/>
              <w:jc w:val="both"/>
              <w:rPr>
                <w:sz w:val="20"/>
              </w:rPr>
            </w:pPr>
            <w:r>
              <w:rPr>
                <w:sz w:val="20"/>
              </w:rPr>
              <w:t>Represents beneficial ownership of less than one percent of the outstanding shares of our common stock.</w:t>
            </w:r>
          </w:p>
        </w:tc>
      </w:tr>
      <w:tr>
        <w:trPr/>
        <w:tc>
          <w:tcPr>
            <w:tcW w:w="206" w:type="dxa"/>
            <w:tcBorders/>
            <w:vAlign w:val="center"/>
          </w:tcPr>
          <w:p>
            <w:pPr>
              <w:pStyle w:val="TableContents"/>
              <w:bidi w:val="0"/>
              <w:spacing w:before="0" w:after="283"/>
              <w:jc w:val="left"/>
              <w:rPr>
                <w:sz w:val="20"/>
              </w:rPr>
            </w:pPr>
            <w:r>
              <w:rPr>
                <w:sz w:val="20"/>
              </w:rPr>
              <w:t>(1)</w:t>
            </w:r>
          </w:p>
        </w:tc>
        <w:tc>
          <w:tcPr>
            <w:tcW w:w="9999" w:type="dxa"/>
            <w:tcBorders/>
            <w:vAlign w:val="center"/>
          </w:tcPr>
          <w:p>
            <w:pPr>
              <w:pStyle w:val="TableContents"/>
              <w:bidi w:val="0"/>
              <w:spacing w:before="0" w:after="283"/>
              <w:jc w:val="both"/>
              <w:rPr>
                <w:sz w:val="20"/>
              </w:rPr>
            </w:pPr>
            <w:r>
              <w:rPr>
                <w:sz w:val="20"/>
              </w:rPr>
              <w:t>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options are subject to a beneficial ownership limitation of 4.99%, which such limitation restricts the selling stockholder from exercising that portion of the options that would result in it and its affiliates owning, after exercise, a number of shares of common stock in excess of the beneficial ownership limitation. The address of Armistice Capital and the Master Fund is c/o Armistice Capital, LLC, 510 Madison Avenue, 7th Floor, New York, NY 10022.</w:t>
            </w:r>
          </w:p>
        </w:tc>
      </w:tr>
      <w:tr>
        <w:trPr/>
        <w:tc>
          <w:tcPr>
            <w:tcW w:w="206" w:type="dxa"/>
            <w:tcBorders/>
            <w:vAlign w:val="center"/>
          </w:tcPr>
          <w:p>
            <w:pPr>
              <w:pStyle w:val="TableContents"/>
              <w:bidi w:val="0"/>
              <w:spacing w:before="0" w:after="283"/>
              <w:jc w:val="left"/>
              <w:rPr/>
            </w:pPr>
            <w:r>
              <w:rPr>
                <w:sz w:val="20"/>
              </w:rPr>
              <w:t>(2)</w:t>
            </w:r>
            <w:r>
              <w:rPr/>
              <w:t xml:space="preserve"> </w:t>
            </w:r>
          </w:p>
        </w:tc>
        <w:tc>
          <w:tcPr>
            <w:tcW w:w="9999" w:type="dxa"/>
            <w:tcBorders/>
            <w:vAlign w:val="center"/>
          </w:tcPr>
          <w:p>
            <w:pPr>
              <w:pStyle w:val="TableContents"/>
              <w:bidi w:val="0"/>
              <w:spacing w:before="0" w:after="283"/>
              <w:jc w:val="both"/>
              <w:rPr/>
            </w:pPr>
            <w:r>
              <w:rPr>
                <w:sz w:val="20"/>
              </w:rPr>
              <w:t>Represents shares of our common stock underlying outstanding options held by the selling stockholder on the date of this prospectus.</w:t>
            </w:r>
            <w:r>
              <w:rPr/>
              <w:t xml:space="preserve"> </w:t>
            </w:r>
          </w:p>
        </w:tc>
      </w:tr>
      <w:tr>
        <w:trPr/>
        <w:tc>
          <w:tcPr>
            <w:tcW w:w="206" w:type="dxa"/>
            <w:tcBorders/>
            <w:vAlign w:val="center"/>
          </w:tcPr>
          <w:p>
            <w:pPr>
              <w:pStyle w:val="TableContents"/>
              <w:bidi w:val="0"/>
              <w:spacing w:before="0" w:after="283"/>
              <w:jc w:val="left"/>
              <w:rPr/>
            </w:pPr>
            <w:r>
              <w:rPr>
                <w:sz w:val="20"/>
              </w:rPr>
              <w:t>(3)</w:t>
            </w:r>
            <w:r>
              <w:rPr/>
              <w:t xml:space="preserve"> </w:t>
            </w:r>
          </w:p>
        </w:tc>
        <w:tc>
          <w:tcPr>
            <w:tcW w:w="9999" w:type="dxa"/>
            <w:tcBorders/>
            <w:vAlign w:val="center"/>
          </w:tcPr>
          <w:p>
            <w:pPr>
              <w:pStyle w:val="TableContents"/>
              <w:bidi w:val="0"/>
              <w:spacing w:before="0" w:after="283"/>
              <w:jc w:val="both"/>
              <w:rPr/>
            </w:pPr>
            <w:r>
              <w:rPr>
                <w:sz w:val="20"/>
              </w:rPr>
              <w:t>The number of shares of common stock originally offered consisted of 1,745,763 shares of our common stock and common stock underlying previously exercised options, originally registered pursuant to the registration statement of which this prospectus forms a part and previously beneficially owned by the selling stockholder. Upon information and belief, since such original registration, such registered shares are no longer beneficially owned by the selling stockholder.</w:t>
            </w:r>
            <w:r>
              <w:rPr/>
              <w:t xml:space="preserve"> </w:t>
            </w:r>
          </w:p>
        </w:tc>
      </w:tr>
      <w:tr>
        <w:trPr/>
        <w:tc>
          <w:tcPr>
            <w:tcW w:w="206" w:type="dxa"/>
            <w:tcBorders/>
            <w:vAlign w:val="center"/>
          </w:tcPr>
          <w:p>
            <w:pPr>
              <w:pStyle w:val="TableContents"/>
              <w:bidi w:val="0"/>
              <w:spacing w:before="0" w:after="283"/>
              <w:jc w:val="left"/>
              <w:rPr/>
            </w:pPr>
            <w:r>
              <w:rPr>
                <w:sz w:val="20"/>
              </w:rPr>
              <w:t>(4)</w:t>
            </w:r>
            <w:r>
              <w:rPr/>
              <w:t xml:space="preserve"> </w:t>
            </w:r>
          </w:p>
        </w:tc>
        <w:tc>
          <w:tcPr>
            <w:tcW w:w="9999" w:type="dxa"/>
            <w:tcBorders/>
            <w:vAlign w:val="center"/>
          </w:tcPr>
          <w:p>
            <w:pPr>
              <w:pStyle w:val="TableContents"/>
              <w:bidi w:val="0"/>
              <w:spacing w:before="0" w:after="283"/>
              <w:jc w:val="both"/>
              <w:rPr>
                <w:sz w:val="20"/>
              </w:rPr>
            </w:pPr>
            <w:r>
              <w:rPr>
                <w:sz w:val="20"/>
              </w:rPr>
              <w:t xml:space="preserve">The registration statement of which this prospectus forms a part, originally registered on behalf of the selling stockholder 221,062 shares of common stock underlying preferred investment options. Such options have been exercised and upon information and belief, the shares underlying the options are no longer beneficially owned by the selling stockholder.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(the “Exchange Act”)) of the securities reported herein that are held by Intracoastal. The options are subject to a beneficial ownership limitation of 4.99% or 9.99%,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office of Intracoastal is 245 Palm Trail, Delray Beach, FL 33483. </w:t>
            </w:r>
          </w:p>
        </w:tc>
      </w:tr>
      <w:tr>
        <w:trPr/>
        <w:tc>
          <w:tcPr>
            <w:tcW w:w="206" w:type="dxa"/>
            <w:tcBorders/>
            <w:vAlign w:val="center"/>
          </w:tcPr>
          <w:p>
            <w:pPr>
              <w:pStyle w:val="TableContents"/>
              <w:bidi w:val="0"/>
              <w:spacing w:before="0" w:after="283"/>
              <w:jc w:val="left"/>
              <w:rPr/>
            </w:pPr>
            <w:r>
              <w:rPr>
                <w:sz w:val="20"/>
              </w:rPr>
              <w:t>(5)</w:t>
            </w:r>
            <w:r>
              <w:rPr/>
              <w:t xml:space="preserve"> </w:t>
            </w:r>
          </w:p>
        </w:tc>
        <w:tc>
          <w:tcPr>
            <w:tcW w:w="9999" w:type="dxa"/>
            <w:tcBorders/>
            <w:vAlign w:val="center"/>
          </w:tcPr>
          <w:p>
            <w:pPr>
              <w:pStyle w:val="TableContents"/>
              <w:bidi w:val="0"/>
              <w:spacing w:before="0" w:after="283"/>
              <w:jc w:val="both"/>
              <w:rPr>
                <w:sz w:val="20"/>
              </w:rPr>
            </w:pPr>
            <w:r>
              <w:rPr>
                <w:sz w:val="20"/>
              </w:rPr>
              <w:t>The registration statement of which this prospectus forms a part, originally registered on behalf of the selling stockholder 104,103 shares of common stock underlying preferred investment options. Such options have been exercised and upon information and belief, the shares underlying the options are no longer beneficially owned by the selling stockholder. Heights Capital Management, Inc. (“Heights”), the authorized agent of CVI Investments, Inc. (“CVI”), has discretionary authority to vote and dispose of the shares held by CVI and may be deemed to be the beneficial owner of these shares. Martin Kobinger, in his capacity as President of Heights,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Registration Statement on Form S-3 of which this prospectus forms a part. Pursuant to a Schedule 13G filed by CVI on January 13, 2025, Heights and CVI beneficially owned approximately 6.1% of our common stock, based on 20,651,434 shares outstanding at December 4, 2024. Since that date, we have issued an additional 14,093,042 shares of common stock and, accordingly, the selling stockholder’s percentage ownership has changed since such reporting date. The options are subject to a beneficial ownership limitation of 4.99% or 9.99%, as the case may be,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CVI is c/o Heights Capital Management, Inc., 101 California Street, Suite 3250, San Francisco, CA 94111.</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pPr>
            <w:r>
              <w:rPr>
                <w:sz w:val="20"/>
              </w:rPr>
              <w:t>(6)</w:t>
            </w:r>
            <w:r>
              <w:rPr/>
              <w:t xml:space="preserve"> </w:t>
            </w:r>
          </w:p>
        </w:tc>
        <w:tc>
          <w:tcPr>
            <w:tcW w:w="9991" w:type="dxa"/>
            <w:tcBorders/>
            <w:vAlign w:val="center"/>
          </w:tcPr>
          <w:p>
            <w:pPr>
              <w:pStyle w:val="TableContents"/>
              <w:bidi w:val="0"/>
              <w:spacing w:before="0" w:after="283"/>
              <w:jc w:val="both"/>
              <w:rPr>
                <w:sz w:val="20"/>
              </w:rPr>
            </w:pPr>
            <w:r>
              <w:rPr>
                <w:sz w:val="20"/>
              </w:rPr>
              <w:t>The selling stockholder is an affiliate of a registered broker-dealer.</w:t>
            </w:r>
          </w:p>
        </w:tc>
      </w:tr>
      <w:tr>
        <w:trPr/>
        <w:tc>
          <w:tcPr>
            <w:tcW w:w="214" w:type="dxa"/>
            <w:tcBorders/>
            <w:vAlign w:val="center"/>
          </w:tcPr>
          <w:p>
            <w:pPr>
              <w:pStyle w:val="TableContents"/>
              <w:bidi w:val="0"/>
              <w:spacing w:before="0" w:after="283"/>
              <w:jc w:val="left"/>
              <w:rPr/>
            </w:pPr>
            <w:r>
              <w:rPr>
                <w:sz w:val="20"/>
              </w:rPr>
              <w:t>(7)</w:t>
            </w:r>
            <w:r>
              <w:rPr/>
              <w:t xml:space="preserve"> </w:t>
            </w:r>
          </w:p>
        </w:tc>
        <w:tc>
          <w:tcPr>
            <w:tcW w:w="9991" w:type="dxa"/>
            <w:tcBorders/>
            <w:vAlign w:val="center"/>
          </w:tcPr>
          <w:p>
            <w:pPr>
              <w:pStyle w:val="TableContents"/>
              <w:bidi w:val="0"/>
              <w:spacing w:before="0" w:after="283"/>
              <w:jc w:val="both"/>
              <w:rPr>
                <w:sz w:val="20"/>
              </w:rPr>
            </w:pPr>
            <w:r>
              <w:rPr>
                <w:sz w:val="20"/>
              </w:rPr>
              <w:t xml:space="preserve">Consists of warrants or options to purchase shares of common stock. Each of such selling stockholders is affiliated with H.C. Wainwright &amp; Co., LLC, a registered broker dealer with a registered address of c/o H.C. Wainwright &amp; Co., LLC, 430 Park Ave, 3rd Floor, New York, NY 10022, and has sole 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over the last three years.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 </w:t>
            </w:r>
          </w:p>
        </w:tc>
      </w:tr>
      <w:tr>
        <w:trPr/>
        <w:tc>
          <w:tcPr>
            <w:tcW w:w="214" w:type="dxa"/>
            <w:tcBorders/>
            <w:vAlign w:val="center"/>
          </w:tcPr>
          <w:p>
            <w:pPr>
              <w:pStyle w:val="TableContents"/>
              <w:bidi w:val="0"/>
              <w:spacing w:before="0" w:after="283"/>
              <w:jc w:val="left"/>
              <w:rPr/>
            </w:pPr>
            <w:r>
              <w:rPr>
                <w:sz w:val="20"/>
              </w:rPr>
              <w:t>(8)</w:t>
            </w:r>
            <w:r>
              <w:rPr/>
              <w:t xml:space="preserve"> </w:t>
            </w:r>
          </w:p>
        </w:tc>
        <w:tc>
          <w:tcPr>
            <w:tcW w:w="9991" w:type="dxa"/>
            <w:tcBorders/>
            <w:vAlign w:val="center"/>
          </w:tcPr>
          <w:p>
            <w:pPr>
              <w:pStyle w:val="TableContents"/>
              <w:bidi w:val="0"/>
              <w:spacing w:before="0" w:after="283"/>
              <w:jc w:val="both"/>
              <w:rPr>
                <w:sz w:val="20"/>
              </w:rPr>
            </w:pPr>
            <w:r>
              <w:rPr>
                <w:sz w:val="20"/>
              </w:rPr>
              <w:t>Does not include an aggregate of 938,968 shares of our common stock and an aggregate of 2,863,716 shares of common stock underlying preferred investment options held by Stuywater Capital LLC, of which Mr. Rubenstein is the sole member and has sole voting and investment control. Such options are subject to a beneficial ownership limitation of 4.99%o.</w:t>
            </w:r>
          </w:p>
        </w:tc>
      </w:tr>
      <w:tr>
        <w:trPr/>
        <w:tc>
          <w:tcPr>
            <w:tcW w:w="214" w:type="dxa"/>
            <w:tcBorders/>
            <w:vAlign w:val="center"/>
          </w:tcPr>
          <w:p>
            <w:pPr>
              <w:pStyle w:val="TableContents"/>
              <w:bidi w:val="0"/>
              <w:spacing w:before="0" w:after="283"/>
              <w:jc w:val="left"/>
              <w:rPr/>
            </w:pPr>
            <w:r>
              <w:rPr>
                <w:sz w:val="20"/>
              </w:rPr>
              <w:t>(9)</w:t>
            </w:r>
            <w:r>
              <w:rPr/>
              <w:t xml:space="preserve"> </w:t>
            </w:r>
          </w:p>
        </w:tc>
        <w:tc>
          <w:tcPr>
            <w:tcW w:w="9991" w:type="dxa"/>
            <w:tcBorders/>
            <w:vAlign w:val="center"/>
          </w:tcPr>
          <w:p>
            <w:pPr>
              <w:pStyle w:val="TableContents"/>
              <w:bidi w:val="0"/>
              <w:spacing w:before="0" w:after="283"/>
              <w:jc w:val="both"/>
              <w:rPr>
                <w:sz w:val="20"/>
              </w:rPr>
            </w:pPr>
            <w:r>
              <w:rPr>
                <w:sz w:val="20"/>
              </w:rPr>
              <w:t xml:space="preserve">Does not take into account any 4.99% beneficial ownership limitation that certain of the selling stockholders are subject to. Of such shares, an aggregate of 2,070,928 shares underlying options have been previously exercised and, upon information and belief, sold by the exercising optionholders. </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Relationships with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connection with the transactions described above and elsewhere in this prospectus, we have not had any material relationships with the selling stockholders in the last three years.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use any one or more of the following methods when disposing of shares or interests therein: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sales effected after the date the registration statement of which this prospectus is a part is declared effective by the SEC;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agree with the selling stockholders to sell a specified number of such shares at a stipulated price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by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also may resell all or a portion of the shares in open market transactions in reliance upon Rule 144 under the Securities Act, provided that they meet the criteria and conform to the requirements of that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of which this prospectus is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DESCRIPTION OF CAPITAL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Nevada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60,000,000 shares of common stock, par value $0.01, of which 34,744,476 shares were issued and outstanding as of March 25, 2025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stockholder approval to increase the number of authorized shares of our common stock to 120,000,000, at a special meeting of stockholders expected to be held on April 11,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25, 2025, we had: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3,022,145 shares of our common stock issuable upon the exercise of outstanding stock options granted to employees, directors and consultants, with exercise prices ranging from approximately $0.005 to $15.75 and having a weighted-average exercise price of $4.19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156,585 shares of our common stock reserved for future grant under our 2017 Equity Incentive Plan;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127,217 shares of our common stock reserved for future grant under our 2020 Omnibus Performance Award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and Preferred Investment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25, 2025, we had outstanding: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51,125 shares of our common stock issuable upon the exercise of outstanding warrants expiring in October 2027, at an exercise price per share of $6.1125;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32,778 shares of our common stock issuable upon the exercise of outstanding warrants expiring in November 2026, at an exercise price per share of $2.75;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60,476 shares of our common stock issuable upon the exercise of outstanding warrants expiring in November 2026, at an exercise price per share of $2.75;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35,088 shares of our common stock issuable upon the exercise of outstanding warrants expiring in November 2026, at an exercise price per share of $2.6719;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1,075,165 shares of our common stock issuable upon the exercise of outstanding series E preferred investment options expiring in July 2029, at an exercise price per share of $1.50;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3,133,338 shares of our common stock issuable upon the exercise of outstanding series F preferred investment options expiring in June 2026, at an exercise price per share of $1.50;</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8,000,002 shares of our common stock issuable upon the exercise of outstanding series G preferred investment options expiring in January 2027, at an exercise price per share of $1.75;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7,577,100 shares of our common stock issuable upon the exercise of outstanding series H preferred investment options expiring in January 2027, at an exercise price per share of $2.10;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12,206,578 shares of our common stock issuable upon the exercise of outstanding series I preferred investment options, expiring two years after the later of (i) the Authorized Share Increase Date and (ii) the Stockholder Approval Date, at an exercise price per share of $2.13;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31,231 shares of our common stock issuable upon the exercise of outstanding warrants expiring in June 2028, at an exercise price per share of $4.0625;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84,284 shares of our common stock issuable upon the exercise of outstanding placement agent preferred investment options expiring in July 2029, at an exercise price per share of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78,333 shares of our common stock issuable upon the exercise of outstanding placement agent preferred investment options expiring in June 2026, at an exercise price per share of $1.875;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 shares of our common stock issuable upon the exercise of outstanding placement agent preferred investment options expiring in January 2027, at an exercise price per share of $2.1875;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189,428 shares of our common stock issuable upon the exercise of outstanding placement agent preferred investment options expiring in January 2027, at an exercise price per share of $2.8375;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305,164 shares of our common stock issuable upon the exercise of placement agent preferred investment options, expiring two years after the later of (i) the Authorized Share Increase Date and (ii) the Stockholder Approval Date, at an exercise price per share of $2.6625;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30,526 shares of our common stock issuable upon the exercise of placement agent preferred investment options, expiring in July 2030, at an exercise price per share of $1.875.</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our common stock are currently quoted on the Nasdaq Capital Market under the symbol “MBOT”.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of our common stock is Computershare Trust Company, N.A. Its address is 150 Royall Street, Canton, MA 02021.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Provisions of Delaware Law and of the Company’s Certificate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Staggered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provisions for 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meetings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stockholder action by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Super-majority stockholder vote required for certain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of Liability and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pStyle w:val="TextBody"/>
        <w:bidi w:val="0"/>
        <w:spacing w:before="0" w:after="0"/>
        <w:ind w:left="0" w:right="0" w:hanging="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breach of the director’s duty of loyalty to us or our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acts or omissions not in good faith or which involve intentional misconduct or a knowing violation of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174 of the DGCL;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transaction from which the director derived an improper personal benefit.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being offered under this prospectus by us is being passed upon for us by Ruskin Moscou Faltischek, P.C., Uniondale,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Microbot Medical Inc. as of December 31, 2024 and 2023, and for each of the two years in the period ended December 31, 2024,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and file annual, quarterly and current reports, proxy statements and other information with the SEC. SEC filings are available at the SEC’s website at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2024 filed with the SEC on March 25,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on </w:t>
            </w:r>
            <w:hyperlink r:id="rId4">
              <w:r>
                <w:rPr>
                  <w:rStyle w:val="InternetLink"/>
                  <w:rFonts w:ascii="Times New Roman;Times;Serif" w:hAnsi="Times New Roman;Times;Serif"/>
                  <w:b w:val="false"/>
                  <w:i w:val="false"/>
                  <w:caps w:val="false"/>
                  <w:smallCaps w:val="false"/>
                  <w:sz w:val="20"/>
                </w:rPr>
                <w:t>January 6, 2025</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January 7, 2025</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January 10, 2025</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January 24, 2025</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January 27, 2025</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February 7, 2025</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February 10, 2025</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February 11, 2025</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February 12, 2025</w:t>
              </w:r>
            </w:hyperlink>
            <w:r>
              <w:rPr>
                <w:rFonts w:ascii="Times New Roman;Times;Serif" w:hAnsi="Times New Roman;Times;Serif"/>
                <w:b w:val="false"/>
                <w:i w:val="false"/>
                <w:caps w:val="false"/>
                <w:smallCaps w:val="false"/>
                <w:sz w:val="20"/>
              </w:rPr>
              <w:t xml:space="preserve"> and </w:t>
            </w:r>
            <w:hyperlink r:id="rId13">
              <w:r>
                <w:rPr>
                  <w:rStyle w:val="InternetLink"/>
                  <w:rFonts w:ascii="Times New Roman;Times;Serif" w:hAnsi="Times New Roman;Times;Serif"/>
                  <w:b w:val="false"/>
                  <w:i w:val="false"/>
                  <w:caps w:val="false"/>
                  <w:smallCaps w:val="false"/>
                  <w:sz w:val="20"/>
                </w:rPr>
                <w:t>February 25, 2025</w:t>
              </w:r>
            </w:hyperlink>
            <w:r>
              <w:rPr>
                <w:rFonts w:ascii="Times New Roman;Times;Serif" w:hAnsi="Times New Roman;Times;Serif"/>
                <w:b w:val="false"/>
                <w:i w:val="false"/>
                <w:caps w:val="false"/>
                <w:smallCaps w:val="false"/>
                <w:sz w:val="20"/>
              </w:rPr>
              <w:t xml:space="preserve"> (except in each case for information contained therein which is furnished rather than filed);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our common stock contained in our registration statement on Form 8-A filed August 3, 1998, under the Exchange Act, including any amendment or report filed for the purpose of updating such description;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subsequently filed by us pursuant to Sections 13(a), 13(c), 14 and 15(d) of the Exchange Act, including all such reports and documents we may file with the SEC after the date of filing of the registration statement of which this prospectus forms a part and prior to the effectiveness of such registration statement, except as to any portion of any report or documents that is not deemed filed under such provisions, prior to the termination of this offering.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file number for each of the documents listed above is 000-19871.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Attn: Chief Financial Officer, 175 Derby St., Bld. 27, Hingham, MA 02043. You may also telephone us at (781) 875-3605.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various expenses in connection with the sale and distribution of the securities being registered, all of which are being borne by us.</w:t>
      </w:r>
    </w:p>
    <w:p>
      <w:pPr>
        <w:pStyle w:val="TextBody"/>
        <w:bidi w:val="0"/>
        <w:spacing w:before="0" w:after="0"/>
        <w:ind w:left="0" w:right="0" w:hanging="0"/>
        <w:jc w:val="left"/>
        <w:rPr>
          <w:caps w:val="false"/>
          <w:smallCaps w:val="false"/>
        </w:rPr>
      </w:pPr>
      <w:r>
        <w:rPr>
          <w:caps w:val="false"/>
          <w:smallCaps w:val="false"/>
        </w:rPr>
        <w:t> </w:t>
      </w:r>
    </w:p>
    <w:tbl>
      <w:tblPr>
        <w:tblW w:w="4400" w:type="dxa"/>
        <w:jc w:val="center"/>
        <w:tblInd w:w="0" w:type="dxa"/>
        <w:tblLayout w:type="fixed"/>
        <w:tblCellMar>
          <w:top w:w="0" w:type="dxa"/>
          <w:left w:w="0" w:type="dxa"/>
          <w:bottom w:w="0" w:type="dxa"/>
          <w:right w:w="0" w:type="dxa"/>
        </w:tblCellMar>
      </w:tblPr>
      <w:tblGrid>
        <w:gridCol w:w="2900"/>
        <w:gridCol w:w="60"/>
        <w:gridCol w:w="140"/>
        <w:gridCol w:w="980"/>
        <w:gridCol w:w="320"/>
      </w:tblGrid>
      <w:tr>
        <w:trPr/>
        <w:tc>
          <w:tcPr>
            <w:tcW w:w="2900"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692.71</w:t>
            </w:r>
          </w:p>
        </w:tc>
        <w:tc>
          <w:tcPr>
            <w:tcW w:w="320" w:type="dxa"/>
            <w:tcBorders/>
            <w:shd w:fill="CCEEFF" w:val="clear"/>
            <w:vAlign w:val="center"/>
          </w:tcPr>
          <w:p>
            <w:pPr>
              <w:pStyle w:val="TableContents"/>
              <w:bidi w:val="0"/>
              <w:spacing w:before="0" w:after="283"/>
              <w:jc w:val="left"/>
              <w:rPr/>
            </w:pPr>
            <w:r>
              <w:rPr>
                <w:position w:val="8"/>
                <w:sz w:val="19"/>
              </w:rPr>
              <w:t>(1)</w:t>
            </w:r>
            <w:r>
              <w:rPr/>
              <w:t xml:space="preserve"> </w:t>
            </w:r>
          </w:p>
        </w:tc>
      </w:tr>
      <w:tr>
        <w:trPr/>
        <w:tc>
          <w:tcPr>
            <w:tcW w:w="2900"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12,000.00</w:t>
            </w:r>
          </w:p>
        </w:tc>
        <w:tc>
          <w:tcPr>
            <w:tcW w:w="32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22,000.00</w:t>
            </w:r>
          </w:p>
        </w:tc>
        <w:tc>
          <w:tcPr>
            <w:tcW w:w="32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Miscellaneous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2,307.29</w:t>
            </w:r>
          </w:p>
        </w:tc>
        <w:tc>
          <w:tcPr>
            <w:tcW w:w="32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980" w:type="dxa"/>
            <w:tcBorders/>
            <w:shd w:fill="CCEEFF" w:val="clear"/>
            <w:vAlign w:val="center"/>
          </w:tcPr>
          <w:p>
            <w:pPr>
              <w:pStyle w:val="TableContents"/>
              <w:bidi w:val="0"/>
              <w:spacing w:before="0" w:after="283"/>
              <w:jc w:val="right"/>
              <w:rPr>
                <w:b/>
              </w:rPr>
            </w:pPr>
            <w:r>
              <w:rPr>
                <w:b/>
              </w:rPr>
              <w:t>37,000.00</w:t>
            </w:r>
          </w:p>
        </w:tc>
        <w:tc>
          <w:tcPr>
            <w:tcW w:w="32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965" w:right="0" w:hanging="0"/>
        <w:jc w:val="both"/>
        <w:rPr>
          <w:caps w:val="false"/>
          <w:smallCaps w:val="false"/>
        </w:rPr>
      </w:pPr>
      <w:r>
        <w:rPr>
          <w:caps w:val="false"/>
          <w:smallCaps w:val="false"/>
        </w:rPr>
        <w:t> </w:t>
      </w:r>
    </w:p>
    <w:p>
      <w:pPr>
        <w:pStyle w:val="TextBody"/>
        <w:bidi w:val="0"/>
        <w:ind w:left="800" w:right="0" w:hanging="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220"/>
        <w:gridCol w:w="1770"/>
        <w:gridCol w:w="8215"/>
      </w:tblGrid>
      <w:tr>
        <w:trPr/>
        <w:tc>
          <w:tcPr>
            <w:tcW w:w="220"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pPr>
            <w:r>
              <w:rPr>
                <w:sz w:val="20"/>
              </w:rPr>
              <w:t>(1)</w:t>
            </w:r>
            <w:r>
              <w:rPr/>
              <w:t xml:space="preserve"> </w:t>
            </w:r>
          </w:p>
        </w:tc>
        <w:tc>
          <w:tcPr>
            <w:tcW w:w="8215" w:type="dxa"/>
            <w:tcBorders/>
            <w:vAlign w:val="center"/>
          </w:tcPr>
          <w:p>
            <w:pPr>
              <w:pStyle w:val="TableContents"/>
              <w:bidi w:val="0"/>
              <w:spacing w:before="0" w:after="283"/>
              <w:jc w:val="both"/>
              <w:rPr/>
            </w:pPr>
            <w:r>
              <w:rPr>
                <w:sz w:val="20"/>
              </w:rPr>
              <w:t>Previously paid.</w:t>
            </w:r>
            <w:r>
              <w:rPr/>
              <w:t xml:space="preserve"> </w:t>
            </w:r>
          </w:p>
        </w:tc>
      </w:tr>
    </w:tbl>
    <w:p>
      <w:pPr>
        <w:pStyle w:val="TextBody"/>
        <w:bidi w:val="0"/>
        <w:spacing w:before="0" w:after="0"/>
        <w:ind w:left="96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pStyle w:val="TextBody"/>
        <w:bidi w:val="0"/>
        <w:spacing w:before="0" w:after="0"/>
        <w:ind w:left="0" w:right="0" w:firstLine="72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to this registration statement are listed in the Exhibit Index to this registration statement, which Exhibit Index is hereby incorporated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include any material information with respect to the plan of distribution not previously disclosed in the registration statement or any material change to such information in the registration statement;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of 1933 to any purchaser:</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810" w:right="0" w:firstLine="45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before="0" w:after="0"/>
        <w:ind w:left="36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Hingham, State of Massachusetts, on the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March, 2025.</w:t>
      </w:r>
    </w:p>
    <w:p>
      <w:pPr>
        <w:pStyle w:val="TextBody"/>
        <w:bidi w:val="0"/>
        <w:spacing w:before="0" w:after="0"/>
        <w:ind w:left="0" w:right="0" w:firstLine="720"/>
        <w:jc w:val="both"/>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75"/>
        <w:gridCol w:w="320"/>
        <w:gridCol w:w="40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President and Chief Executive Officer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455" w:type="dxa"/>
        <w:jc w:val="left"/>
        <w:tblInd w:w="0" w:type="dxa"/>
        <w:tblLayout w:type="fixed"/>
        <w:tblCellMar>
          <w:top w:w="0" w:type="dxa"/>
          <w:left w:w="0" w:type="dxa"/>
          <w:bottom w:w="28" w:type="dxa"/>
          <w:right w:w="0" w:type="dxa"/>
        </w:tblCellMar>
      </w:tblPr>
      <w:tblGrid>
        <w:gridCol w:w="2045"/>
        <w:gridCol w:w="60"/>
        <w:gridCol w:w="3965"/>
        <w:gridCol w:w="60"/>
        <w:gridCol w:w="1325"/>
      </w:tblGrid>
      <w:tr>
        <w:trPr/>
        <w:tc>
          <w:tcPr>
            <w:tcW w:w="2045" w:type="dxa"/>
            <w:tcBorders>
              <w:bottom w:val="single" w:sz="8" w:space="0" w:color="000000"/>
            </w:tcBorders>
            <w:vAlign w:val="center"/>
          </w:tcPr>
          <w:p>
            <w:pPr>
              <w:pStyle w:val="TableContents"/>
              <w:bidi w:val="0"/>
              <w:spacing w:before="0" w:after="283"/>
              <w:jc w:val="center"/>
              <w:rPr>
                <w:b/>
                <w:sz w:val="20"/>
              </w:rPr>
            </w:pPr>
            <w:r>
              <w:rPr>
                <w:b/>
                <w:sz w:val="20"/>
              </w:rPr>
              <w:t>Signature</w:t>
            </w:r>
          </w:p>
        </w:tc>
        <w:tc>
          <w:tcPr>
            <w:tcW w:w="60" w:type="dxa"/>
            <w:tcBorders/>
            <w:tcMar>
              <w:bottom w:w="0" w:type="dxa"/>
            </w:tcMar>
            <w:vAlign w:val="center"/>
          </w:tcPr>
          <w:p>
            <w:pPr>
              <w:pStyle w:val="TableContents"/>
              <w:bidi w:val="0"/>
              <w:spacing w:before="0" w:after="283"/>
              <w:jc w:val="center"/>
              <w:rPr/>
            </w:pPr>
            <w:r>
              <w:rPr/>
              <w:t> </w:t>
            </w:r>
          </w:p>
        </w:tc>
        <w:tc>
          <w:tcPr>
            <w:tcW w:w="3965" w:type="dxa"/>
            <w:tcBorders>
              <w:bottom w:val="single" w:sz="8" w:space="0" w:color="000000"/>
            </w:tcBorders>
            <w:vAlign w:val="center"/>
          </w:tcPr>
          <w:p>
            <w:pPr>
              <w:pStyle w:val="TableContents"/>
              <w:bidi w:val="0"/>
              <w:spacing w:before="0" w:after="283"/>
              <w:jc w:val="center"/>
              <w:rPr>
                <w:b/>
                <w:sz w:val="20"/>
              </w:rPr>
            </w:pPr>
            <w:r>
              <w:rPr>
                <w:b/>
                <w:sz w:val="20"/>
              </w:rPr>
              <w:t>Title</w:t>
            </w:r>
          </w:p>
        </w:tc>
        <w:tc>
          <w:tcPr>
            <w:tcW w:w="60" w:type="dxa"/>
            <w:tcBorders/>
            <w:tcMar>
              <w:bottom w:w="0" w:type="dxa"/>
            </w:tcMar>
            <w:vAlign w:val="center"/>
          </w:tcPr>
          <w:p>
            <w:pPr>
              <w:pStyle w:val="TableContents"/>
              <w:bidi w:val="0"/>
              <w:spacing w:before="0" w:after="283"/>
              <w:jc w:val="center"/>
              <w:rPr/>
            </w:pPr>
            <w:r>
              <w:rPr/>
              <w:t> </w:t>
            </w:r>
          </w:p>
        </w:tc>
        <w:tc>
          <w:tcPr>
            <w:tcW w:w="1325" w:type="dxa"/>
            <w:tcBorders>
              <w:bottom w:val="single" w:sz="8" w:space="0" w:color="000000"/>
            </w:tcBorders>
            <w:vAlign w:val="center"/>
          </w:tcPr>
          <w:p>
            <w:pPr>
              <w:pStyle w:val="TableContents"/>
              <w:bidi w:val="0"/>
              <w:spacing w:before="0" w:after="283"/>
              <w:jc w:val="center"/>
              <w:rPr>
                <w:b/>
                <w:sz w:val="20"/>
              </w:rPr>
            </w:pPr>
            <w:r>
              <w:rPr>
                <w:b/>
                <w:sz w:val="20"/>
              </w:rPr>
              <w:t>Date</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8" w:space="0" w:color="000000"/>
            </w:tcBorders>
            <w:vAlign w:val="center"/>
          </w:tcPr>
          <w:p>
            <w:pPr>
              <w:pStyle w:val="TableContents"/>
              <w:bidi w:val="0"/>
              <w:spacing w:before="0" w:after="283"/>
              <w:jc w:val="left"/>
              <w:rPr>
                <w:i/>
                <w:sz w:val="20"/>
              </w:rPr>
            </w:pPr>
            <w:r>
              <w:rPr>
                <w:i/>
                <w:sz w:val="20"/>
              </w:rPr>
              <w:t>/s/ Harel Gadot</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Chairman, President and Chief Executive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sz w:val="20"/>
              </w:rPr>
            </w:pPr>
            <w:r>
              <w:rPr>
                <w:sz w:val="20"/>
              </w:rPr>
              <w:t>March 31, 2025</w:t>
            </w:r>
          </w:p>
        </w:tc>
      </w:tr>
      <w:tr>
        <w:trPr/>
        <w:tc>
          <w:tcPr>
            <w:tcW w:w="2045" w:type="dxa"/>
            <w:tcBorders/>
            <w:tcMar>
              <w:bottom w:w="0" w:type="dxa"/>
            </w:tcMar>
            <w:vAlign w:val="center"/>
          </w:tcPr>
          <w:p>
            <w:pPr>
              <w:pStyle w:val="TableContents"/>
              <w:bidi w:val="0"/>
              <w:spacing w:before="0" w:after="283"/>
              <w:jc w:val="left"/>
              <w:rPr>
                <w:b/>
                <w:sz w:val="20"/>
              </w:rPr>
            </w:pPr>
            <w:r>
              <w:rPr>
                <w:b/>
                <w:sz w:val="20"/>
              </w:rPr>
              <w:t>Harel Gadot</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8" w:space="0" w:color="000000"/>
            </w:tcBorders>
            <w:vAlign w:val="center"/>
          </w:tcPr>
          <w:p>
            <w:pPr>
              <w:pStyle w:val="TableContents"/>
              <w:bidi w:val="0"/>
              <w:spacing w:before="0" w:after="283"/>
              <w:jc w:val="left"/>
              <w:rPr>
                <w:i/>
                <w:sz w:val="20"/>
              </w:rPr>
            </w:pPr>
            <w:r>
              <w:rPr>
                <w:i/>
                <w:sz w:val="20"/>
              </w:rPr>
              <w:t>/s/ Rachel Vaknin</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sz w:val="20"/>
              </w:rPr>
            </w:pPr>
            <w:r>
              <w:rPr>
                <w:sz w:val="20"/>
              </w:rPr>
              <w:t>March 31, 2025</w:t>
            </w:r>
          </w:p>
        </w:tc>
      </w:tr>
      <w:tr>
        <w:trPr/>
        <w:tc>
          <w:tcPr>
            <w:tcW w:w="2045" w:type="dxa"/>
            <w:tcBorders/>
            <w:tcMar>
              <w:bottom w:w="0" w:type="dxa"/>
            </w:tcMar>
            <w:vAlign w:val="center"/>
          </w:tcPr>
          <w:p>
            <w:pPr>
              <w:pStyle w:val="TableContents"/>
              <w:bidi w:val="0"/>
              <w:spacing w:before="0" w:after="283"/>
              <w:jc w:val="left"/>
              <w:rPr>
                <w:b/>
                <w:sz w:val="20"/>
              </w:rPr>
            </w:pPr>
            <w:r>
              <w:rPr>
                <w:b/>
                <w:sz w:val="20"/>
              </w:rPr>
              <w:t>Rachel Vaknin</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8" w:space="0" w:color="000000"/>
            </w:tcBorders>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sz w:val="20"/>
              </w:rPr>
            </w:pPr>
            <w:r>
              <w:rPr>
                <w:sz w:val="20"/>
              </w:rPr>
              <w:t>March 31, 2025</w:t>
            </w:r>
          </w:p>
        </w:tc>
      </w:tr>
      <w:tr>
        <w:trPr/>
        <w:tc>
          <w:tcPr>
            <w:tcW w:w="2045" w:type="dxa"/>
            <w:tcBorders/>
            <w:tcMar>
              <w:bottom w:w="0" w:type="dxa"/>
            </w:tcMar>
            <w:vAlign w:val="center"/>
          </w:tcPr>
          <w:p>
            <w:pPr>
              <w:pStyle w:val="TableContents"/>
              <w:bidi w:val="0"/>
              <w:spacing w:before="0" w:after="283"/>
              <w:jc w:val="left"/>
              <w:rPr>
                <w:b/>
                <w:sz w:val="20"/>
              </w:rPr>
            </w:pPr>
            <w:r>
              <w:rPr>
                <w:b/>
                <w:sz w:val="20"/>
              </w:rPr>
              <w:t>Tal Wenderow</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b/>
                <w:sz w:val="20"/>
              </w:rPr>
            </w:pPr>
            <w:r>
              <w:rPr>
                <w:b/>
                <w:sz w:val="20"/>
              </w:rPr>
              <w:t>David J. Wilson</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8" w:space="0" w:color="000000"/>
            </w:tcBorders>
            <w:vAlign w:val="center"/>
          </w:tcPr>
          <w:p>
            <w:pPr>
              <w:pStyle w:val="TableContents"/>
              <w:bidi w:val="0"/>
              <w:spacing w:before="0" w:after="283"/>
              <w:jc w:val="left"/>
              <w:rPr>
                <w:i/>
                <w:sz w:val="20"/>
              </w:rPr>
            </w:pPr>
            <w:r>
              <w:rPr>
                <w:i/>
                <w:sz w:val="20"/>
              </w:rPr>
              <w:t>*</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sz w:val="20"/>
              </w:rPr>
            </w:pPr>
            <w:r>
              <w:rPr>
                <w:sz w:val="20"/>
              </w:rPr>
              <w:t>March 31, 2025</w:t>
            </w:r>
          </w:p>
        </w:tc>
      </w:tr>
      <w:tr>
        <w:trPr/>
        <w:tc>
          <w:tcPr>
            <w:tcW w:w="2045" w:type="dxa"/>
            <w:tcBorders/>
            <w:tcMar>
              <w:bottom w:w="0" w:type="dxa"/>
            </w:tcMar>
            <w:vAlign w:val="center"/>
          </w:tcPr>
          <w:p>
            <w:pPr>
              <w:pStyle w:val="TableContents"/>
              <w:bidi w:val="0"/>
              <w:spacing w:before="0" w:after="283"/>
              <w:jc w:val="left"/>
              <w:rPr>
                <w:b/>
                <w:sz w:val="20"/>
              </w:rPr>
            </w:pPr>
            <w:r>
              <w:rPr>
                <w:b/>
                <w:sz w:val="20"/>
              </w:rPr>
              <w:t>Prattipati Laxminarain</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8" w:space="0" w:color="000000"/>
            </w:tcBorders>
            <w:vAlign w:val="center"/>
          </w:tcPr>
          <w:p>
            <w:pPr>
              <w:pStyle w:val="TableContents"/>
              <w:bidi w:val="0"/>
              <w:spacing w:before="0" w:after="283"/>
              <w:jc w:val="left"/>
              <w:rPr>
                <w:i/>
                <w:sz w:val="20"/>
              </w:rPr>
            </w:pPr>
            <w:r>
              <w:rPr>
                <w:i/>
                <w:sz w:val="20"/>
              </w:rPr>
              <w:t>*</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sz w:val="20"/>
              </w:rPr>
            </w:pPr>
            <w:r>
              <w:rPr>
                <w:sz w:val="20"/>
              </w:rPr>
              <w:t>March 31, 2025</w:t>
            </w:r>
          </w:p>
        </w:tc>
      </w:tr>
      <w:tr>
        <w:trPr/>
        <w:tc>
          <w:tcPr>
            <w:tcW w:w="2045" w:type="dxa"/>
            <w:tcBorders/>
            <w:tcMar>
              <w:bottom w:w="0" w:type="dxa"/>
            </w:tcMar>
            <w:vAlign w:val="center"/>
          </w:tcPr>
          <w:p>
            <w:pPr>
              <w:pStyle w:val="TableContents"/>
              <w:bidi w:val="0"/>
              <w:spacing w:before="0" w:after="283"/>
              <w:jc w:val="left"/>
              <w:rPr>
                <w:b/>
                <w:sz w:val="20"/>
              </w:rPr>
            </w:pPr>
            <w:r>
              <w:rPr>
                <w:b/>
                <w:sz w:val="20"/>
              </w:rPr>
              <w:t>Scott Burell</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8" w:space="0" w:color="000000"/>
            </w:tcBorders>
            <w:vAlign w:val="center"/>
          </w:tcPr>
          <w:p>
            <w:pPr>
              <w:pStyle w:val="TableContents"/>
              <w:bidi w:val="0"/>
              <w:spacing w:before="0" w:after="283"/>
              <w:jc w:val="left"/>
              <w:rPr>
                <w:i/>
                <w:sz w:val="20"/>
              </w:rPr>
            </w:pPr>
            <w:r>
              <w:rPr>
                <w:i/>
                <w:sz w:val="20"/>
              </w:rPr>
              <w:t>*</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sz w:val="20"/>
              </w:rPr>
            </w:pPr>
            <w:r>
              <w:rPr>
                <w:sz w:val="20"/>
              </w:rPr>
              <w:t>March 31, 2025</w:t>
            </w:r>
          </w:p>
        </w:tc>
      </w:tr>
      <w:tr>
        <w:trPr/>
        <w:tc>
          <w:tcPr>
            <w:tcW w:w="2045" w:type="dxa"/>
            <w:tcBorders/>
            <w:tcMar>
              <w:bottom w:w="0" w:type="dxa"/>
            </w:tcMar>
            <w:vAlign w:val="center"/>
          </w:tcPr>
          <w:p>
            <w:pPr>
              <w:pStyle w:val="TableContents"/>
              <w:bidi w:val="0"/>
              <w:spacing w:before="0" w:after="283"/>
              <w:jc w:val="left"/>
              <w:rPr>
                <w:b/>
                <w:sz w:val="20"/>
              </w:rPr>
            </w:pPr>
            <w:r>
              <w:rPr>
                <w:b/>
                <w:sz w:val="20"/>
              </w:rPr>
              <w:t>Martin Madden</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8" w:space="0" w:color="000000"/>
            </w:tcBorders>
            <w:vAlign w:val="center"/>
          </w:tcPr>
          <w:p>
            <w:pPr>
              <w:pStyle w:val="TableContents"/>
              <w:bidi w:val="0"/>
              <w:spacing w:before="0" w:after="283"/>
              <w:jc w:val="left"/>
              <w:rPr>
                <w:i/>
                <w:sz w:val="20"/>
              </w:rPr>
            </w:pPr>
            <w:r>
              <w:rPr>
                <w:i/>
                <w:sz w:val="20"/>
              </w:rPr>
              <w:t>*</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sz w:val="20"/>
              </w:rPr>
            </w:pPr>
            <w:r>
              <w:rPr>
                <w:sz w:val="20"/>
              </w:rPr>
              <w:t>March 31, 2025</w:t>
            </w:r>
          </w:p>
        </w:tc>
      </w:tr>
      <w:tr>
        <w:trPr/>
        <w:tc>
          <w:tcPr>
            <w:tcW w:w="2045" w:type="dxa"/>
            <w:tcBorders/>
            <w:tcMar>
              <w:bottom w:w="0" w:type="dxa"/>
            </w:tcMar>
            <w:vAlign w:val="center"/>
          </w:tcPr>
          <w:p>
            <w:pPr>
              <w:pStyle w:val="TableContents"/>
              <w:bidi w:val="0"/>
              <w:spacing w:before="0" w:after="283"/>
              <w:jc w:val="left"/>
              <w:rPr>
                <w:b/>
                <w:sz w:val="20"/>
              </w:rPr>
            </w:pPr>
            <w:r>
              <w:rPr>
                <w:b/>
                <w:sz w:val="20"/>
              </w:rPr>
              <w:t>Aileen Stockburger</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589" w:type="dxa"/>
        <w:jc w:val="left"/>
        <w:tblInd w:w="0" w:type="dxa"/>
        <w:tblLayout w:type="fixed"/>
        <w:tblCellMar>
          <w:top w:w="0" w:type="dxa"/>
          <w:left w:w="0" w:type="dxa"/>
          <w:bottom w:w="0" w:type="dxa"/>
          <w:right w:w="0" w:type="dxa"/>
        </w:tblCellMar>
      </w:tblPr>
      <w:tblGrid>
        <w:gridCol w:w="140"/>
        <w:gridCol w:w="538"/>
        <w:gridCol w:w="1911"/>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91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24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 Attorney-in-Fact</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Agreement and Plan of Merger and Reorganization, dated as of August 15, 2016, by and among StemCells, Inc., C&amp;RD Israel Ltd. and Microbot Medical Ltd. (incorporated by reference to the Company’s Current Report on Form 8-K filed on August 15, 2016)</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Restated Certificate of Incorporation of the Company (incorporated by reference to the Company’s Annual Report on Form 10-K for the fiscal year ended December 31, 2006 and filed on March 15, 2007).</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Certificate of Amendment to the Restated Certificate of Incorporation of the Company (incorporated by reference to the Company’s Current Report on Form 8-K filed on November 29, 2016)</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Certificate of Amendment to the Restated Certificate of Incorporation (incorporated by reference to the Company’s Current Report on Form 8-K filed on September 4, 2018)</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Amended and Restated By-Laws of the Company (incorporated by reference to the Company’s Current Report on Form 8-K filed on May 3, 2016)</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Certificate of Elimination (incorporated by reference to the Company’s Current Report on Form 8-K filed on December 12, 2018)</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Certificate of Amendment to the Restated Certificate of Incorporation (incorporated by reference to the Company’s Current Report on Form 8-K filed on September 11, 2019)</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Amendment to Section 5 of the Amended and Restated By-Laws of the Company (incorporated by reference to the Company’s Current Report on Form 8-K filed on May 3, 2021)</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Description of the Company’s Securities (incorporated by reference to the Registrant’s Annual Report on Form 10-K for the fiscal year ended December 31, 2019)</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Form of Series A Warrant (incorporated by reference to the Registrant’s Current Report on Form 8-K filed on October 25, 2022)</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October 25, 2022)</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May 23,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May 24,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Form of Warrant Amendment Agreement (incorporated by reference to the Registrant’s Current Report on Form 8-K filed on May 24,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Form of Series C Warrant (incorporated by reference to the Registrant’s Current Report on Form 8-K filed on June 6,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June 6,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Form of Series D Warrant (incorporated by reference to the Registrant’s Current Report on Form 8-K filed on June 28,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June 28,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Form of Inducement Investment Option (incorporated by reference to the Registrant’s Current Report on Form 8-K filed on January 2, 2024)</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January 2, 2024)</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Form of Series F Preferred Investment Option (incorporated by reference to the Registrant’s Current Report on Form 8-K filed on June 4, 2024)</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June 4, 2024)</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Form of Series G Preferred Investment Option (incorporated by reference to the Registrant’s Current Report on Form 8-K filed on January 7,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January 7,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Form of Series H Preferred Investment Option (incorporated by reference to the Registrant’s Current Report on Form 8-K filed on January 10,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January 10,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Form of Series I Preferred Investment Option (incorporated by reference to the Registrant’s Current Report on Form 8-K filed on February 11,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February 11,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shd w:fill="FFFFFF" w:val="clear"/>
                </w:rPr>
                <w:t>Opinion of Ruskin Moscou Faltischek, P.C.</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Consent of Ruskin Moscou Faltischek, P.C. (contained in Exhibit 5.1)</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w:anchor="ex23-2.htm">
              <w:r>
                <w:rPr>
                  <w:rStyle w:val="InternetLink"/>
                  <w:rFonts w:ascii="Times New Roman;Times;Serif" w:hAnsi="Times New Roman;Times;Serif"/>
                  <w:b w:val="false"/>
                  <w:i w:val="false"/>
                  <w:caps w:val="false"/>
                  <w:smallCaps w:val="false"/>
                  <w:sz w:val="20"/>
                  <w:shd w:fill="FFFFFF" w:val="clear"/>
                </w:rPr>
                <w:t>Consent of Brightman Almagor Zohar &amp; Co., a firm in the Deloitte Global Network</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"https://www.sec.gov/Archives/edgar/data/883975/000149315223024262/forms-1.htm" \l "poa_001"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Power of Attorney (included on the signature page hereto)</w:t>
            </w:r>
            <w:r>
              <w:rPr>
                <w:rStyle w:val="InternetLink"/>
                <w:smallCaps w:val="false"/>
                <w:caps w:val="false"/>
                <w:sz w:val="20"/>
                <w:i w:val="false"/>
                <w:b w:val="false"/>
                <w:rFonts w:ascii="Times New Roman;Times;Serif" w:hAnsi="Times New Roman;Times;Serif"/>
              </w:rPr>
              <w:fldChar w:fldCharType="end"/>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735" w:type="dxa"/>
        <w:jc w:val="left"/>
        <w:tblInd w:w="0" w:type="dxa"/>
        <w:tblLayout w:type="fixed"/>
        <w:tblCellMar>
          <w:top w:w="0" w:type="dxa"/>
          <w:left w:w="0" w:type="dxa"/>
          <w:bottom w:w="0" w:type="dxa"/>
          <w:right w:w="0" w:type="dxa"/>
        </w:tblCellMar>
      </w:tblPr>
      <w:tblGrid>
        <w:gridCol w:w="155"/>
        <w:gridCol w:w="1580"/>
      </w:tblGrid>
      <w:tr>
        <w:trPr/>
        <w:tc>
          <w:tcPr>
            <w:tcW w:w="155"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283"/>
              <w:jc w:val="left"/>
              <w:rPr/>
            </w:pPr>
            <w:r>
              <w:rPr/>
              <w:t>Previously filed.</w:t>
            </w:r>
          </w:p>
        </w:tc>
      </w:tr>
    </w:tbl>
    <w:p>
      <w:pPr>
        <w:pStyle w:val="TextBody"/>
        <w:bidi w:val="0"/>
        <w:spacing w:before="0" w:after="0"/>
        <w:ind w:left="0" w:right="0" w:hanging="0"/>
        <w:jc w:val="righ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4" w:name="ex23-2.htm"/>
      <w:bookmarkStart w:id="15" w:name="ksex232"/>
      <w:bookmarkEnd w:id="14"/>
      <w:bookmarkEnd w:id="1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Amendment No. 1 to the Registration Statement on Post-Effective Amendment No. 1 to Form S-1 on Form S-3 (Registration No. 333-273207) of our report dated March 25, 2025 relating to the financial statements of Microbot Medical Inc. appearing in the Annual Report on Form 10-K of Microbot Medical Inc. for the year ended December 31, 2024. We also consent to the reference to us under the heading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Brightman Almagor Zohar &amp;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Brightman Almagor Zohar &amp;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Public Accountants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Firm in the Deloitte Global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2025</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83975/000164117225000614/form10-k.htm" TargetMode="External"/><Relationship Id="rId4" Type="http://schemas.openxmlformats.org/officeDocument/2006/relationships/hyperlink" Target="https://www.sec.gov/Archives/edgar/data/883975/000149315225000366/form8-k.htm" TargetMode="External"/><Relationship Id="rId5" Type="http://schemas.openxmlformats.org/officeDocument/2006/relationships/hyperlink" Target="https://www.sec.gov/Archives/edgar/data/883975/000149315225001133/form8-k.htm" TargetMode="External"/><Relationship Id="rId6" Type="http://schemas.openxmlformats.org/officeDocument/2006/relationships/hyperlink" Target="https://www.sec.gov/Archives/edgar/data/883975/000149315225001559/form8-k.htm" TargetMode="External"/><Relationship Id="rId7" Type="http://schemas.openxmlformats.org/officeDocument/2006/relationships/hyperlink" Target="https://www.sec.gov/Archives/edgar/data/883975/000149315225003582/form8-k.htm" TargetMode="External"/><Relationship Id="rId8" Type="http://schemas.openxmlformats.org/officeDocument/2006/relationships/hyperlink" Target="https://www.sec.gov/Archives/edgar/data/883975/000149315225003818/form8-k.htm" TargetMode="External"/><Relationship Id="rId9" Type="http://schemas.openxmlformats.org/officeDocument/2006/relationships/hyperlink" Target="https://www.sec.gov/Archives/edgar/data/883975/000149315225005410/form8-k.htm" TargetMode="External"/><Relationship Id="rId10" Type="http://schemas.openxmlformats.org/officeDocument/2006/relationships/hyperlink" Target="https://www.sec.gov/Archives/edgar/data/883975/000149315225005489/form8-k.htm" TargetMode="External"/><Relationship Id="rId11" Type="http://schemas.openxmlformats.org/officeDocument/2006/relationships/hyperlink" Target="https://www.sec.gov/Archives/edgar/data/883975/000149315225005820/form8-k.htm" TargetMode="External"/><Relationship Id="rId12" Type="http://schemas.openxmlformats.org/officeDocument/2006/relationships/hyperlink" Target="https://www.sec.gov/Archives/edgar/data/883975/000149315225005967/form8-k.htm" TargetMode="External"/><Relationship Id="rId13" Type="http://schemas.openxmlformats.org/officeDocument/2006/relationships/hyperlink" Target="https://www.sec.gov/Archives/edgar/data/883975/000149315225008140/form8-k.htm" TargetMode="External"/><Relationship Id="rId14" Type="http://schemas.openxmlformats.org/officeDocument/2006/relationships/hyperlink" Target="https://www.sec.gov/Archives/edgar/data/883975/000119312516682077/d161430dex21.htm" TargetMode="External"/><Relationship Id="rId15" Type="http://schemas.openxmlformats.org/officeDocument/2006/relationships/hyperlink" Target="https://www.sec.gov/Archives/edgar/data/883975/000095013407005808/f27726exv3w1.htm" TargetMode="External"/><Relationship Id="rId16" Type="http://schemas.openxmlformats.org/officeDocument/2006/relationships/hyperlink" Target="https://www.sec.gov/Archives/edgar/data/883975/000119312516779597/d296933dex31.htm" TargetMode="External"/><Relationship Id="rId17" Type="http://schemas.openxmlformats.org/officeDocument/2006/relationships/hyperlink" Target="https://www.sec.gov/Archives/edgar/data/883975/000149315218012872/ex3-1.htm" TargetMode="External"/><Relationship Id="rId18" Type="http://schemas.openxmlformats.org/officeDocument/2006/relationships/hyperlink" Target="https://www.sec.gov/Archives/edgar/data/883975/000129993316002374/exhibit1.htm" TargetMode="External"/><Relationship Id="rId19" Type="http://schemas.openxmlformats.org/officeDocument/2006/relationships/hyperlink" Target="https://www.sec.gov/Archives/edgar/data/883975/000149315218017395/ex3-1.htm" TargetMode="External"/><Relationship Id="rId20" Type="http://schemas.openxmlformats.org/officeDocument/2006/relationships/hyperlink" Target="https://www.sec.gov/Archives/edgar/data/883975/000149315219013998/ex3-1.htm" TargetMode="External"/><Relationship Id="rId21" Type="http://schemas.openxmlformats.org/officeDocument/2006/relationships/hyperlink" Target="https://www.sec.gov/Archives/edgar/data/883975/000149315221010347/ex3-1.htm" TargetMode="External"/><Relationship Id="rId22" Type="http://schemas.openxmlformats.org/officeDocument/2006/relationships/hyperlink" Target="https://www.sec.gov/Archives/edgar/data/883975/000149315220006338/ex4-10.htm" TargetMode="External"/><Relationship Id="rId23" Type="http://schemas.openxmlformats.org/officeDocument/2006/relationships/hyperlink" Target="https://www.sec.gov/Archives/edgar/data/883975/000149315222029541/ex4-2.htm" TargetMode="External"/><Relationship Id="rId24" Type="http://schemas.openxmlformats.org/officeDocument/2006/relationships/hyperlink" Target="https://www.sec.gov/Archives/edgar/data/883975/000149315222029541/ex4-4.htm" TargetMode="External"/><Relationship Id="rId25" Type="http://schemas.openxmlformats.org/officeDocument/2006/relationships/hyperlink" Target="https://www.sec.gov/Archives/edgar/data/883975/000149315223018718/ex4-1.htm" TargetMode="External"/><Relationship Id="rId26" Type="http://schemas.openxmlformats.org/officeDocument/2006/relationships/hyperlink" Target="https://www.sec.gov/Archives/edgar/data/883975/000149315223018932/ex4-2.htm" TargetMode="External"/><Relationship Id="rId27" Type="http://schemas.openxmlformats.org/officeDocument/2006/relationships/hyperlink" Target="https://www.sec.gov/Archives/edgar/data/883975/000149315223018932/ex10-2.htm" TargetMode="External"/><Relationship Id="rId28" Type="http://schemas.openxmlformats.org/officeDocument/2006/relationships/hyperlink" Target="https://www.sec.gov/Archives/edgar/data/883975/000149315223020309/ex4-1.htm" TargetMode="External"/><Relationship Id="rId29" Type="http://schemas.openxmlformats.org/officeDocument/2006/relationships/hyperlink" Target="https://www.sec.gov/Archives/edgar/data/883975/000149315223020309/ex4-2.htm" TargetMode="External"/><Relationship Id="rId30" Type="http://schemas.openxmlformats.org/officeDocument/2006/relationships/hyperlink" Target="https://www.sec.gov/Archives/edgar/data/883975/000149315223022814/ex4-1.htm" TargetMode="External"/><Relationship Id="rId31" Type="http://schemas.openxmlformats.org/officeDocument/2006/relationships/hyperlink" Target="https://www.sec.gov/Archives/edgar/data/883975/000149315223022814/ex4-2.htm" TargetMode="External"/><Relationship Id="rId32" Type="http://schemas.openxmlformats.org/officeDocument/2006/relationships/hyperlink" Target="https://www.sec.gov/Archives/edgar/data/883975/000149315224000109/ex4-1.htm" TargetMode="External"/><Relationship Id="rId33" Type="http://schemas.openxmlformats.org/officeDocument/2006/relationships/hyperlink" Target="https://www.sec.gov/Archives/edgar/data/883975/000149315224000109/ex4-2.htm" TargetMode="External"/><Relationship Id="rId34" Type="http://schemas.openxmlformats.org/officeDocument/2006/relationships/hyperlink" Target="https://www.sec.gov/Archives/edgar/data/883975/000149315224022560/ex4-1.htm" TargetMode="External"/><Relationship Id="rId35" Type="http://schemas.openxmlformats.org/officeDocument/2006/relationships/hyperlink" Target="https://www.sec.gov/Archives/edgar/data/883975/000149315224022560/ex4-2.htm" TargetMode="External"/><Relationship Id="rId36" Type="http://schemas.openxmlformats.org/officeDocument/2006/relationships/hyperlink" Target="https://www.sec.gov/Archives/edgar/data/883975/000149315225001133/ex4-1.htm" TargetMode="External"/><Relationship Id="rId37" Type="http://schemas.openxmlformats.org/officeDocument/2006/relationships/hyperlink" Target="https://www.sec.gov/Archives/edgar/data/883975/000149315225001133/ex4-2.htm" TargetMode="External"/><Relationship Id="rId38" Type="http://schemas.openxmlformats.org/officeDocument/2006/relationships/hyperlink" Target="https://www.sec.gov/Archives/edgar/data/883975/000149315225001559/ex4-1.htm" TargetMode="External"/><Relationship Id="rId39" Type="http://schemas.openxmlformats.org/officeDocument/2006/relationships/hyperlink" Target="https://www.sec.gov/Archives/edgar/data/883975/000149315225001559/ex4-2.htm" TargetMode="External"/><Relationship Id="rId40" Type="http://schemas.openxmlformats.org/officeDocument/2006/relationships/hyperlink" Target="https://www.sec.gov/Archives/edgar/data/883975/000149315225005820/ex4-1.htm" TargetMode="External"/><Relationship Id="rId41" Type="http://schemas.openxmlformats.org/officeDocument/2006/relationships/hyperlink" Target="https://www.sec.gov/Archives/edgar/data/883975/000149315225005820/ex4-2.htm" TargetMode="External"/><Relationship Id="rId42" Type="http://schemas.openxmlformats.org/officeDocument/2006/relationships/hyperlink" Target="https://www.sec.gov/Archives/edgar/data/883975/000149315223024579/ex5-1.htm" TargetMode="External"/><Relationship Id="rId43" Type="http://schemas.openxmlformats.org/officeDocument/2006/relationships/hyperlink" Target="https://www.sec.gov/Archives/edgar/data/883975/000149315223024579/ex5-1.htm" TargetMode="External"/><Relationship Id="rId44" Type="http://schemas.openxmlformats.org/officeDocument/2006/relationships/hyperlink" Target="https://www.sec.gov/Archives/edgar/data/883975/000149315223024262/ex107.htm"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16438</Words>
  <Characters>88567</Characters>
  <CharactersWithSpaces>105174</CharactersWithSpaces>
  <Paragraphs>1414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