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MCGLYNN MARTIN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STEMCELLS,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3155 PORTER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STEMCELLS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STEM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05/15/2010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CEO</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PALO ALTO</w:t>
            </w:r>
          </w:p>
        </w:tc>
        <w:tc>
          <w:tcPr>
            <w:tcW w:w="1000" w:type="dxa"/>
            <w:vAlign w:val="bottom"/>
          </w:tcPr>
          <w:p>
            <w:pPr>
              <w:ind w:left="16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94304</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05/15/2010</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87"/>
              </w:rPr>
              <w:t>21,519</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1.09</w:t>
            </w:r>
          </w:p>
        </w:tc>
        <w:tc>
          <w:tcPr>
            <w:tcW w:w="1260" w:type="dxa"/>
            <w:vAlign w:val="bottom"/>
            <w:tcBorders>
              <w:bottom w:val="single" w:sz="8" w:color="2C2C2C"/>
            </w:tcBorders>
            <w:gridSpan w:val="2"/>
          </w:tcPr>
          <w:p>
            <w:pPr>
              <w:jc w:val="center"/>
              <w:ind w:right="217"/>
              <w:spacing w:after="0"/>
              <w:rPr>
                <w:sz w:val="20"/>
                <w:szCs w:val="20"/>
                <w:color w:val="auto"/>
              </w:rPr>
            </w:pPr>
            <w:r>
              <w:rPr>
                <w:rFonts w:ascii="Arial" w:cs="Arial" w:eastAsia="Arial" w:hAnsi="Arial"/>
                <w:sz w:val="18"/>
                <w:szCs w:val="18"/>
                <w:color w:val="0000FF"/>
              </w:rPr>
              <w:t>350,648</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357"/>
              <w:spacing w:after="0"/>
              <w:rPr>
                <w:sz w:val="20"/>
                <w:szCs w:val="20"/>
                <w:color w:val="auto"/>
              </w:rPr>
            </w:pPr>
            <w:r>
              <w:rPr>
                <w:rFonts w:ascii="Arial" w:cs="Arial" w:eastAsia="Arial" w:hAnsi="Arial"/>
                <w:sz w:val="18"/>
                <w:szCs w:val="18"/>
                <w:color w:val="0000FF"/>
                <w:w w:val="83"/>
              </w:rPr>
              <w:t>40,513</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Plan</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 176,000 restricted stock units, with 58,667 of this grant vesting on each of May 15, 2010, May 15, 2011 and May 15, 2012, and (2) 137,500 restricted stock units, vesting on March 10, 2011.</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401(k) account, in accordance with issuer's employer-match policies.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9"/>
              </w:rPr>
              <w:t>Martin M. McGlynn by Ken</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05/19/2010</w:t>
            </w:r>
          </w:p>
        </w:tc>
        <w:tc>
          <w:tcPr>
            <w:tcW w:w="0" w:type="dxa"/>
            <w:vAlign w:val="bottom"/>
          </w:tcPr>
          <w:p>
            <w:pPr>
              <w:spacing w:after="0"/>
              <w:rPr>
                <w:sz w:val="1"/>
                <w:szCs w:val="1"/>
                <w:color w:val="auto"/>
              </w:rPr>
            </w:pPr>
          </w:p>
        </w:tc>
      </w:tr>
      <w:tr>
        <w:trPr>
          <w:trHeight w:val="88"/>
        </w:trPr>
        <w:tc>
          <w:tcPr>
            <w:tcW w:w="19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8"/>
              </w:rPr>
              <w:t>Stratton, as attorney-in-fact</w:t>
            </w:r>
          </w:p>
        </w:tc>
        <w:tc>
          <w:tcPr>
            <w:tcW w:w="6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940" w:type="dxa"/>
            <w:vAlign w:val="bottom"/>
            <w:tcBorders>
              <w:top w:val="single" w:sz="8" w:color="auto"/>
              <w:bottom w:val="single" w:sz="8" w:color="auto"/>
            </w:tcBorders>
            <w:vMerge w:val="continue"/>
          </w:tcPr>
          <w:p>
            <w:pPr>
              <w:spacing w:after="0"/>
              <w:rPr>
                <w:sz w:val="7"/>
                <w:szCs w:val="7"/>
                <w:color w:val="auto"/>
              </w:rPr>
            </w:pPr>
          </w:p>
        </w:tc>
        <w:tc>
          <w:tcPr>
            <w:tcW w:w="6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0631"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2019-12-18T01:40:12Z</dcterms:created>
  <dcterms:modified xsi:type="dcterms:W3CDTF">2019-12-18T01:40:12Z</dcterms:modified>
</cp:coreProperties>
</file>