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June 24, 2008</w:t>
      </w:r>
    </w:p>
    <w:p>
      <w:pPr>
        <w:spacing w:after="0" w:line="59"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ASHINGTON</w:t>
      </w:r>
      <w:r>
        <w:rPr>
          <w:rFonts w:ascii="Arial" w:cs="Arial" w:eastAsia="Arial" w:hAnsi="Arial"/>
          <w:sz w:val="22"/>
          <w:szCs w:val="22"/>
          <w:b w:val="1"/>
          <w:bCs w:val="1"/>
          <w:color w:val="auto"/>
        </w:rPr>
        <w:t>,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2"/>
          <w:szCs w:val="22"/>
          <w:b w:val="1"/>
          <w:bCs w:val="1"/>
          <w:color w:val="auto"/>
        </w:rPr>
        <w:t>ORM</w:t>
      </w:r>
      <w:r>
        <w:rPr>
          <w:rFonts w:ascii="Arial" w:cs="Arial" w:eastAsia="Arial" w:hAnsi="Arial"/>
          <w:sz w:val="32"/>
          <w:szCs w:val="32"/>
          <w:b w:val="1"/>
          <w:bCs w:val="1"/>
          <w:color w:val="auto"/>
        </w:rPr>
        <w:t xml:space="preserve"> S-3</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520" w:type="dxa"/>
        <w:tblCellMar>
          <w:top w:w="0" w:type="dxa"/>
          <w:left w:w="0" w:type="dxa"/>
          <w:bottom w:w="0" w:type="dxa"/>
          <w:right w:w="0" w:type="dxa"/>
        </w:tblCellMar>
      </w:tblPr>
      <w:tr>
        <w:trPr>
          <w:trHeight w:val="220"/>
        </w:trPr>
        <w:tc>
          <w:tcPr>
            <w:tcW w:w="43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Delaware</w:t>
            </w:r>
          </w:p>
        </w:tc>
        <w:tc>
          <w:tcPr>
            <w:tcW w:w="364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94-3078125</w:t>
            </w:r>
          </w:p>
        </w:tc>
      </w:tr>
      <w:tr>
        <w:trPr>
          <w:trHeight w:val="216"/>
        </w:trPr>
        <w:tc>
          <w:tcPr>
            <w:tcW w:w="4380" w:type="dxa"/>
            <w:vAlign w:val="bottom"/>
          </w:tcPr>
          <w:p>
            <w:pPr>
              <w:jc w:val="center"/>
              <w:ind w:right="1930"/>
              <w:spacing w:after="0"/>
              <w:rPr>
                <w:sz w:val="20"/>
                <w:szCs w:val="20"/>
                <w:color w:val="auto"/>
              </w:rPr>
            </w:pPr>
            <w:r>
              <w:rPr>
                <w:rFonts w:ascii="Arial" w:cs="Arial" w:eastAsia="Arial" w:hAnsi="Arial"/>
                <w:sz w:val="18"/>
                <w:szCs w:val="18"/>
                <w:i w:val="1"/>
                <w:iCs w:val="1"/>
                <w:color w:val="auto"/>
                <w:w w:val="93"/>
              </w:rPr>
              <w:t>(State or other jurisdiction</w:t>
            </w:r>
          </w:p>
        </w:tc>
        <w:tc>
          <w:tcPr>
            <w:tcW w:w="3640" w:type="dxa"/>
            <w:vAlign w:val="bottom"/>
          </w:tcPr>
          <w:p>
            <w:pPr>
              <w:jc w:val="center"/>
              <w:ind w:left="18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80" w:type="dxa"/>
            <w:vAlign w:val="bottom"/>
          </w:tcPr>
          <w:p>
            <w:pPr>
              <w:jc w:val="center"/>
              <w:ind w:right="1890"/>
              <w:spacing w:after="0"/>
              <w:rPr>
                <w:sz w:val="20"/>
                <w:szCs w:val="20"/>
                <w:color w:val="auto"/>
              </w:rPr>
            </w:pPr>
            <w:r>
              <w:rPr>
                <w:rFonts w:ascii="Arial" w:cs="Arial" w:eastAsia="Arial" w:hAnsi="Arial"/>
                <w:sz w:val="18"/>
                <w:szCs w:val="18"/>
                <w:i w:val="1"/>
                <w:iCs w:val="1"/>
                <w:color w:val="auto"/>
                <w:w w:val="94"/>
              </w:rPr>
              <w:t>of incorporation or organization)</w:t>
            </w:r>
          </w:p>
        </w:tc>
        <w:tc>
          <w:tcPr>
            <w:tcW w:w="3640" w:type="dxa"/>
            <w:vAlign w:val="bottom"/>
          </w:tcPr>
          <w:p>
            <w:pPr>
              <w:jc w:val="center"/>
              <w:ind w:left="1890"/>
              <w:spacing w:after="0"/>
              <w:rPr>
                <w:sz w:val="20"/>
                <w:szCs w:val="20"/>
                <w:color w:val="auto"/>
              </w:rPr>
            </w:pPr>
            <w:r>
              <w:rPr>
                <w:rFonts w:ascii="Arial" w:cs="Arial" w:eastAsia="Arial" w:hAnsi="Arial"/>
                <w:sz w:val="18"/>
                <w:szCs w:val="18"/>
                <w:i w:val="1"/>
                <w:iCs w:val="1"/>
                <w:color w:val="auto"/>
                <w:w w:val="94"/>
              </w:rPr>
              <w:t>Identification Number)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and telephone number, including area code of principal executive offices)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Kenneth B. Stratton,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(Name, address, including zip code, and telephone</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send copies of all communications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Geoffrey Davis,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Ropes &amp; Gray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International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 951-7000</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effectiveness of the Registration Statement.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40" w:lineRule="exact"/>
        <w:rPr>
          <w:sz w:val="20"/>
          <w:szCs w:val="20"/>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62"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16"/>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Large accelerated filer o</w:t>
            </w:r>
          </w:p>
        </w:tc>
        <w:tc>
          <w:tcPr>
            <w:tcW w:w="2200" w:type="dxa"/>
            <w:vAlign w:val="bottom"/>
            <w:gridSpan w:val="2"/>
            <w:vMerge w:val="restart"/>
          </w:tcPr>
          <w:p>
            <w:pPr>
              <w:ind w:left="3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4880" w:type="dxa"/>
            <w:vAlign w:val="bottom"/>
            <w:gridSpan w:val="2"/>
          </w:tcPr>
          <w:p>
            <w:pPr>
              <w:jc w:val="center"/>
              <w:ind w:right="671"/>
              <w:spacing w:after="0"/>
              <w:rPr>
                <w:sz w:val="20"/>
                <w:szCs w:val="20"/>
                <w:color w:val="auto"/>
              </w:rPr>
            </w:pPr>
            <w:r>
              <w:rPr>
                <w:rFonts w:ascii="Arial" w:cs="Arial" w:eastAsia="Arial" w:hAnsi="Arial"/>
                <w:sz w:val="18"/>
                <w:szCs w:val="18"/>
                <w:color w:val="auto"/>
                <w:w w:val="91"/>
              </w:rPr>
              <w:t>Non-accelerated filer o</w:t>
            </w:r>
          </w:p>
        </w:tc>
        <w:tc>
          <w:tcPr>
            <w:tcW w:w="2160" w:type="dxa"/>
            <w:vAlign w:val="bottom"/>
            <w:vMerge w:val="restart"/>
          </w:tcPr>
          <w:p>
            <w:pPr>
              <w:ind w:left="20"/>
              <w:spacing w:after="0"/>
              <w:rPr>
                <w:sz w:val="20"/>
                <w:szCs w:val="20"/>
                <w:color w:val="auto"/>
              </w:rPr>
            </w:pPr>
            <w:r>
              <w:rPr>
                <w:rFonts w:ascii="Arial" w:cs="Arial" w:eastAsia="Arial" w:hAnsi="Arial"/>
                <w:sz w:val="18"/>
                <w:szCs w:val="18"/>
                <w:color w:val="auto"/>
                <w:w w:val="92"/>
              </w:rPr>
              <w:t>Smaller reporting company o</w:t>
            </w:r>
          </w:p>
        </w:tc>
        <w:tc>
          <w:tcPr>
            <w:tcW w:w="0" w:type="dxa"/>
            <w:vAlign w:val="bottom"/>
          </w:tcPr>
          <w:p>
            <w:pPr>
              <w:spacing w:after="0"/>
              <w:rPr>
                <w:sz w:val="1"/>
                <w:szCs w:val="1"/>
                <w:color w:val="auto"/>
              </w:rPr>
            </w:pPr>
          </w:p>
        </w:tc>
      </w:tr>
      <w:tr>
        <w:trPr>
          <w:trHeight w:val="142"/>
        </w:trPr>
        <w:tc>
          <w:tcPr>
            <w:tcW w:w="2180" w:type="dxa"/>
            <w:vAlign w:val="bottom"/>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4880" w:type="dxa"/>
            <w:vAlign w:val="bottom"/>
            <w:gridSpan w:val="2"/>
            <w:vMerge w:val="restart"/>
          </w:tcPr>
          <w:p>
            <w:pPr>
              <w:jc w:val="center"/>
              <w:ind w:right="671"/>
              <w:spacing w:after="0"/>
              <w:rPr>
                <w:sz w:val="20"/>
                <w:szCs w:val="20"/>
                <w:color w:val="auto"/>
              </w:rPr>
            </w:pPr>
            <w:r>
              <w:rPr>
                <w:rFonts w:ascii="Arial" w:cs="Arial" w:eastAsia="Arial" w:hAnsi="Arial"/>
                <w:sz w:val="18"/>
                <w:szCs w:val="18"/>
                <w:color w:val="auto"/>
                <w:w w:val="91"/>
              </w:rPr>
              <w:t>(Do not check if a smaller reporting company)</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1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1"/>
        </w:trPr>
        <w:tc>
          <w:tcPr>
            <w:tcW w:w="2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80" w:type="dxa"/>
            <w:vAlign w:val="bottom"/>
            <w:gridSpan w:val="3"/>
          </w:tcPr>
          <w:p>
            <w:pPr>
              <w:ind w:left="280"/>
              <w:spacing w:after="0"/>
              <w:rPr>
                <w:sz w:val="20"/>
                <w:szCs w:val="20"/>
                <w:color w:val="auto"/>
              </w:rPr>
            </w:pPr>
            <w:r>
              <w:rPr>
                <w:rFonts w:ascii="Arial" w:cs="Arial" w:eastAsia="Arial" w:hAnsi="Arial"/>
                <w:sz w:val="18"/>
                <w:szCs w:val="18"/>
                <w:b w:val="1"/>
                <w:bCs w:val="1"/>
                <w:color w:val="auto"/>
              </w:rPr>
              <w:t>CALCULATION OF REGISTRATION FEE (1)</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2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rPr>
              <w:t>Proposed maximum</w:t>
            </w: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2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aggregate offering</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Title of each class of securities to be registered</w:t>
            </w:r>
          </w:p>
        </w:tc>
        <w:tc>
          <w:tcPr>
            <w:tcW w:w="800" w:type="dxa"/>
            <w:vAlign w:val="bottom"/>
            <w:tcBorders>
              <w:bottom w:val="single" w:sz="8" w:color="auto"/>
            </w:tcBorders>
          </w:tcPr>
          <w:p>
            <w:pPr>
              <w:spacing w:after="0"/>
              <w:rPr>
                <w:sz w:val="15"/>
                <w:szCs w:val="15"/>
                <w:color w:val="auto"/>
              </w:rPr>
            </w:pPr>
          </w:p>
        </w:tc>
        <w:tc>
          <w:tcPr>
            <w:tcW w:w="302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price (1)(2)</w:t>
            </w:r>
          </w:p>
        </w:tc>
        <w:tc>
          <w:tcPr>
            <w:tcW w:w="2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8"/>
              </w:rPr>
              <w:t>Amount of registration fee (2)(3)</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7"/>
              </w:rPr>
              <w:t>Common Stock, $.01 par value per share (4)</w:t>
            </w:r>
          </w:p>
        </w:tc>
        <w:tc>
          <w:tcPr>
            <w:tcW w:w="800" w:type="dxa"/>
            <w:vAlign w:val="bottom"/>
            <w:tcBorders>
              <w:bottom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Preferred Stock (5)</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Warrants (6)</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Debt securities (7)</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2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2"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$100,000,000(1)</w:t>
            </w:r>
          </w:p>
        </w:tc>
        <w:tc>
          <w:tcPr>
            <w:tcW w:w="21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  0(3)</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no event will the aggregate offering price of all securities issued from time to time by the registrant under this registration statement exceed</w:t>
      </w:r>
    </w:p>
    <w:p>
      <w:pPr>
        <w:spacing w:after="0" w:line="34" w:lineRule="exact"/>
        <w:rPr>
          <w:rFonts w:ascii="Arial" w:cs="Arial" w:eastAsia="Arial" w:hAnsi="Arial"/>
          <w:sz w:val="17"/>
          <w:szCs w:val="17"/>
          <w:color w:val="auto"/>
        </w:rPr>
      </w:pPr>
    </w:p>
    <w:p>
      <w:pPr>
        <w:ind w:left="460" w:right="300"/>
        <w:spacing w:after="0" w:line="290" w:lineRule="auto"/>
        <w:rPr>
          <w:rFonts w:ascii="Arial" w:cs="Arial" w:eastAsia="Arial" w:hAnsi="Arial"/>
          <w:sz w:val="17"/>
          <w:szCs w:val="17"/>
          <w:color w:val="auto"/>
        </w:rPr>
      </w:pPr>
      <w:r>
        <w:rPr>
          <w:rFonts w:ascii="Arial" w:cs="Arial" w:eastAsia="Arial" w:hAnsi="Arial"/>
          <w:sz w:val="17"/>
          <w:szCs w:val="17"/>
          <w:color w:val="auto"/>
        </w:rPr>
        <w:t>$100,000,000 or its equivalent in any other currency, currency units, or composite currency or currencies. The securities covered by this registration statement may be sold separately, together or as units with other securities registered under this registration statement.</w:t>
      </w:r>
    </w:p>
    <w:p>
      <w:pPr>
        <w:spacing w:after="0" w:line="12" w:lineRule="exact"/>
        <w:rPr>
          <w:rFonts w:ascii="Arial" w:cs="Arial" w:eastAsia="Arial" w:hAnsi="Arial"/>
          <w:sz w:val="17"/>
          <w:szCs w:val="17"/>
          <w:color w:val="auto"/>
        </w:rPr>
      </w:pPr>
    </w:p>
    <w:p>
      <w:pPr>
        <w:ind w:left="460" w:right="1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price has been estimated solely for the purpose of calculating the registration fee pursuant to Rule 457(o) under the Securities Act.</w:t>
      </w:r>
    </w:p>
    <w:p>
      <w:pPr>
        <w:spacing w:after="0" w:line="21" w:lineRule="exact"/>
        <w:rPr>
          <w:rFonts w:ascii="Arial" w:cs="Arial" w:eastAsia="Arial" w:hAnsi="Arial"/>
          <w:sz w:val="18"/>
          <w:szCs w:val="18"/>
          <w:color w:val="auto"/>
        </w:rPr>
      </w:pPr>
    </w:p>
    <w:p>
      <w:pPr>
        <w:ind w:left="460" w:right="120" w:hanging="452"/>
        <w:spacing w:after="0" w:line="25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415(a)(6) and Rule 457(p) under the Securities Act, the registrant is applying the filing fee of $3,930 associated with the unsold securities under its registration statement on Form S-3 (No. 333-128797) initially filed with the Securities and Exchange Commission on October 4, 2005 (the “Prior Registration Statement”) against the total filing fee of $3,930 that would otherwise be due in connection with this registration statement. Pursuant to Rule 415(a)(6), the offering of unsold securities under the Prior Registration Statement will be deemed terminated as of the date of effectiveness of this registration statement.</w:t>
      </w:r>
    </w:p>
    <w:p>
      <w:pPr>
        <w:spacing w:after="0" w:line="39"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note (1), this registration statement covers such an indeterminate amount of common stock (with accompanying purchase rights, if any), as may be sold, from time to time, at indeterminate prices, by the registrant.</w:t>
      </w:r>
    </w:p>
    <w:p>
      <w:pPr>
        <w:spacing w:after="0" w:line="21"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note (1), this registration statement covers such an indeterminate number of shares of preferred stock (with accompanying purchase rights, if any) as may be sold from time to time at indeterminate prices by the registrant. Also covered is such an indeterminate amount of common stock (with accompanying purchase rights, if any,) (i) as may be issuable or deliverable upon conversion of shares of preferred stock, and (ii) as may be required for delivery upon conversion of shares of preferred stock as a result of anti-dilution provisions.</w:t>
      </w:r>
    </w:p>
    <w:p>
      <w:pPr>
        <w:spacing w:after="0" w:line="38" w:lineRule="exact"/>
        <w:rPr>
          <w:rFonts w:ascii="Arial" w:cs="Arial" w:eastAsia="Arial" w:hAnsi="Arial"/>
          <w:sz w:val="18"/>
          <w:szCs w:val="18"/>
          <w:color w:val="auto"/>
        </w:rPr>
      </w:pPr>
    </w:p>
    <w:p>
      <w:pPr>
        <w:ind w:left="460" w:right="220" w:hanging="452"/>
        <w:spacing w:after="0" w:line="25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note (1), this registration statement covers such an indeterminate amount and number of warrants, representing rights to purchase common stock, preferred stock and debt securities registered under this registration statement as may be sold from time to time at indeterminate prices by the registrant. Also covered is such an indeterminate amount of common stock and preferred stock (in each case, with accompanying purchase rights, if any) and debt securities (i) as may be issuable or deliverable upon exercise of warrants, and (ii) as may be required for delivery upon exercise of any warrants as a result of anti-dilution provisions.</w:t>
      </w:r>
    </w:p>
    <w:p>
      <w:pPr>
        <w:spacing w:after="0" w:line="39" w:lineRule="exact"/>
        <w:rPr>
          <w:rFonts w:ascii="Arial" w:cs="Arial" w:eastAsia="Arial" w:hAnsi="Arial"/>
          <w:sz w:val="18"/>
          <w:szCs w:val="18"/>
          <w:color w:val="auto"/>
        </w:rPr>
      </w:pPr>
    </w:p>
    <w:p>
      <w:pPr>
        <w:ind w:left="460" w:right="60" w:hanging="452"/>
        <w:spacing w:after="0" w:line="297"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Subject to note (1), this registration statement covers such an indeterminate amount of debt securities as may be sold from time to time at indeterminate prices by the registrant. If any debt securities are issued at an original issue discount, then the offering price shall be in such greater principal amount as shall result in an aggregate initial offering price not to exceed $100,000,000. Also covered is such an indeterminate amount of common stock and preferred stock (in each case, with accompanying purchase rights, if any) (i) as may be issuable or deliverable upon the exercise or conversion of debt securities, and (ii) as may be required for delivery upon exercise or conversion of debt securities as a result of anti-dilution.</w:t>
      </w:r>
    </w:p>
    <w:p>
      <w:pPr>
        <w:spacing w:after="0" w:line="46"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Security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3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553085"/>
                    </a:xfrm>
                    <a:prstGeom prst="rect">
                      <a:avLst/>
                    </a:prstGeom>
                    <a:noFill/>
                  </pic:spPr>
                </pic:pic>
              </a:graphicData>
            </a:graphic>
          </wp:anchor>
        </w:drawing>
      </w:r>
    </w:p>
    <w:p>
      <w:pPr>
        <w:spacing w:after="0" w:line="394" w:lineRule="exact"/>
        <w:rPr>
          <w:sz w:val="20"/>
          <w:szCs w:val="20"/>
          <w:color w:val="auto"/>
        </w:rPr>
      </w:pPr>
    </w:p>
    <w:p>
      <w:pPr>
        <w:ind w:left="120" w:right="240"/>
        <w:spacing w:after="0" w:line="266" w:lineRule="auto"/>
        <w:rPr>
          <w:sz w:val="20"/>
          <w:szCs w:val="20"/>
          <w:color w:val="auto"/>
        </w:rPr>
      </w:pPr>
      <w:r>
        <w:rPr>
          <w:rFonts w:ascii="Arial" w:cs="Arial" w:eastAsia="Arial" w:hAnsi="Arial"/>
          <w:sz w:val="18"/>
          <w:szCs w:val="18"/>
          <w:b w:val="1"/>
          <w:bCs w:val="1"/>
          <w:color w:val="FF0000"/>
        </w:rPr>
        <w:t>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7"/>
          <w:szCs w:val="17"/>
          <w:color w:val="FF0000"/>
        </w:rPr>
        <w:t>SUBJECT TO COMPLETION</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June 24, 2008</w:t>
      </w:r>
    </w:p>
    <w:p>
      <w:pPr>
        <w:spacing w:after="0" w:line="200" w:lineRule="exact"/>
        <w:rPr>
          <w:sz w:val="20"/>
          <w:szCs w:val="20"/>
          <w:color w:val="auto"/>
        </w:rPr>
      </w:pPr>
    </w:p>
    <w:p>
      <w:pPr>
        <w:sectPr>
          <w:pgSz w:w="11900" w:h="16838" w:orient="portrait"/>
          <w:cols w:equalWidth="0" w:num="2">
            <w:col w:w="8460" w:space="720"/>
            <w:col w:w="2240"/>
          </w:cols>
          <w:pgMar w:left="240" w:top="419" w:right="239" w:bottom="1440" w:gutter="0" w:footer="0" w:header="0"/>
          <w:type w:val="continuous"/>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$100,000,000</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STEMCELLS, INC.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Common Stock</w:t>
      </w:r>
    </w:p>
    <w:p>
      <w:pPr>
        <w:jc w:val="center"/>
        <w:spacing w:after="0" w:line="238" w:lineRule="auto"/>
        <w:rPr>
          <w:sz w:val="20"/>
          <w:szCs w:val="20"/>
          <w:color w:val="auto"/>
        </w:rPr>
      </w:pPr>
      <w:r>
        <w:rPr>
          <w:rFonts w:ascii="Arial" w:cs="Arial" w:eastAsia="Arial" w:hAnsi="Arial"/>
          <w:sz w:val="22"/>
          <w:szCs w:val="22"/>
          <w:color w:val="auto"/>
        </w:rPr>
        <w:t>Preferred Stock</w:t>
      </w:r>
    </w:p>
    <w:p>
      <w:pPr>
        <w:jc w:val="center"/>
        <w:spacing w:after="0" w:line="230" w:lineRule="auto"/>
        <w:rPr>
          <w:sz w:val="20"/>
          <w:szCs w:val="20"/>
          <w:color w:val="auto"/>
        </w:rPr>
      </w:pPr>
      <w:r>
        <w:rPr>
          <w:rFonts w:ascii="Arial" w:cs="Arial" w:eastAsia="Arial" w:hAnsi="Arial"/>
          <w:sz w:val="22"/>
          <w:szCs w:val="22"/>
          <w:color w:val="auto"/>
        </w:rPr>
        <w:t>Warrants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offer to the public, from time to time, in one or more series or issuances:</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shares of our common stock;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shares of our preferred stock;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warrants to purchase shares of our common stock, preferred stock and/or debt securities;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debt securities consisting of debentures, notes or other evidences of indebtedness.</w:t>
      </w:r>
    </w:p>
    <w:p>
      <w:pPr>
        <w:spacing w:after="0" w:line="117"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This prospectus provides a general description of the securities we may offer. Each time we sell securities, we will provide specific terms of the securities offered in a supplement to this prospectus. The prospectus supplement may also add, update or change information contained in this prospectus. You should read this prospectus and the applicable prospectus supplement carefully before you invest in any securities. This prospectus may not be used to consummate a sale of securities unless accompanied by an applicable prospectus supplement. You should read both this prospectus and any prospectus supplement together with additional information described under the heading “Where You Can Find More Information” before you make your investment decision.</w:t>
      </w:r>
    </w:p>
    <w:p>
      <w:pPr>
        <w:spacing w:after="0" w:line="5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We will sell these securities directly to our stockholders or to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Our common stock is traded on the Nasdaq Global Market under the symbol “STEM.” On June 11, 2008, the closing price of our common stock was $1.37 per share.</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Investing in our securities involves risks. See “Risk Factors” on page 3</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297180</wp:posOffset>
            </wp:positionV>
            <wp:extent cx="1878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251460</wp:posOffset>
            </wp:positionV>
            <wp:extent cx="1878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ind w:left="3500"/>
              <w:spacing w:after="0"/>
              <w:rPr>
                <w:sz w:val="20"/>
                <w:szCs w:val="20"/>
                <w:color w:val="auto"/>
              </w:rPr>
            </w:pPr>
            <w:r>
              <w:rPr>
                <w:rFonts w:ascii="Arial" w:cs="Arial" w:eastAsia="Arial" w:hAnsi="Arial"/>
                <w:sz w:val="18"/>
                <w:szCs w:val="18"/>
                <w:color w:val="auto"/>
                <w:w w:val="91"/>
              </w:rPr>
              <w:t>The date of this prospectus is</w:t>
            </w:r>
          </w:p>
        </w:tc>
        <w:tc>
          <w:tcPr>
            <w:tcW w:w="5740" w:type="dxa"/>
            <w:vAlign w:val="bottom"/>
            <w:gridSpan w:val="2"/>
          </w:tcPr>
          <w:p>
            <w:pPr>
              <w:jc w:val="right"/>
              <w:ind w:right="3480"/>
              <w:spacing w:after="0"/>
              <w:rPr>
                <w:sz w:val="20"/>
                <w:szCs w:val="20"/>
                <w:color w:val="auto"/>
              </w:rPr>
            </w:pPr>
            <w:r>
              <w:rPr>
                <w:rFonts w:ascii="Arial" w:cs="Arial" w:eastAsia="Arial" w:hAnsi="Arial"/>
                <w:sz w:val="18"/>
                <w:szCs w:val="18"/>
                <w:color w:val="auto"/>
              </w:rPr>
              <w:t>, 2008</w:t>
            </w:r>
          </w:p>
        </w:tc>
      </w:tr>
      <w:tr>
        <w:trPr>
          <w:trHeight w:val="639"/>
        </w:trPr>
        <w:tc>
          <w:tcPr>
            <w:tcW w:w="5680" w:type="dxa"/>
            <w:vAlign w:val="bottom"/>
            <w:tcBorders>
              <w:bottom w:val="single" w:sz="8" w:color="808080"/>
            </w:tcBorders>
          </w:tcPr>
          <w:p>
            <w:pPr>
              <w:spacing w:after="0"/>
              <w:rPr>
                <w:sz w:val="24"/>
                <w:szCs w:val="24"/>
                <w:color w:val="auto"/>
              </w:rPr>
            </w:pPr>
          </w:p>
        </w:tc>
        <w:tc>
          <w:tcPr>
            <w:tcW w:w="1800" w:type="dxa"/>
            <w:vAlign w:val="bottom"/>
            <w:tcBorders>
              <w:top w:val="single" w:sz="8" w:color="auto"/>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40" w:type="dxa"/>
            <w:vAlign w:val="bottom"/>
            <w:gridSpan w:val="3"/>
          </w:tcPr>
          <w:p>
            <w:pPr>
              <w:jc w:val="right"/>
              <w:ind w:right="45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4180" w:type="dxa"/>
            <w:vAlign w:val="bottom"/>
            <w:gridSpan w:val="17"/>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668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4180" w:type="dxa"/>
            <w:vAlign w:val="bottom"/>
            <w:gridSpan w:val="17"/>
            <w:vMerge w:val="continue"/>
          </w:tcPr>
          <w:p>
            <w:pPr>
              <w:spacing w:after="0"/>
              <w:rPr>
                <w:sz w:val="14"/>
                <w:szCs w:val="14"/>
                <w:color w:val="auto"/>
              </w:rPr>
            </w:pPr>
          </w:p>
        </w:tc>
        <w:tc>
          <w:tcPr>
            <w:tcW w:w="6680" w:type="dxa"/>
            <w:vAlign w:val="bottom"/>
          </w:tcPr>
          <w:p>
            <w:pPr>
              <w:spacing w:after="0"/>
              <w:rPr>
                <w:sz w:val="14"/>
                <w:szCs w:val="14"/>
                <w:color w:val="auto"/>
              </w:rPr>
            </w:pPr>
          </w:p>
        </w:tc>
        <w:tc>
          <w:tcPr>
            <w:tcW w:w="3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About StemCells, Inc.</w:t>
              </w:r>
            </w:hyperlink>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Risk Factors</w:t>
              </w:r>
            </w:hyperlink>
          </w:p>
        </w:tc>
        <w:tc>
          <w:tcPr>
            <w:tcW w:w="680" w:type="dxa"/>
            <w:vAlign w:val="bottom"/>
            <w:tcBorders>
              <w:top w:val="single" w:sz="8" w:color="0000EE"/>
            </w:tcBorders>
            <w:gridSpan w:val="5"/>
          </w:tcPr>
          <w:p>
            <w:pPr>
              <w:spacing w:after="0"/>
              <w:rPr>
                <w:sz w:val="17"/>
                <w:szCs w:val="17"/>
                <w:color w:val="auto"/>
              </w:rPr>
            </w:pPr>
          </w:p>
        </w:tc>
        <w:tc>
          <w:tcPr>
            <w:tcW w:w="2580" w:type="dxa"/>
            <w:vAlign w:val="bottom"/>
            <w:gridSpan w:val="9"/>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Note Regarding Forward-Looking Statements</w:t>
              </w:r>
            </w:hyperlink>
          </w:p>
        </w:tc>
        <w:tc>
          <w:tcPr>
            <w:tcW w:w="860" w:type="dxa"/>
            <w:vAlign w:val="bottom"/>
            <w:gridSpan w:val="2"/>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Use of Proceeds</w:t>
              </w:r>
            </w:hyperlink>
          </w:p>
        </w:tc>
        <w:tc>
          <w:tcPr>
            <w:tcW w:w="3000" w:type="dxa"/>
            <w:vAlign w:val="bottom"/>
            <w:gridSpan w:val="12"/>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 of Earnings to Fixed Charges</w:t>
              </w:r>
            </w:hyperlink>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Plan of Distribution</w:t>
              </w:r>
            </w:hyperlink>
          </w:p>
        </w:tc>
        <w:tc>
          <w:tcPr>
            <w:tcW w:w="1100" w:type="dxa"/>
            <w:vAlign w:val="bottom"/>
            <w:tcBorders>
              <w:top w:val="single" w:sz="8" w:color="0000EE"/>
            </w:tcBorders>
            <w:gridSpan w:val="7"/>
          </w:tcPr>
          <w:p>
            <w:pPr>
              <w:spacing w:after="0"/>
              <w:rPr>
                <w:sz w:val="17"/>
                <w:szCs w:val="17"/>
                <w:color w:val="auto"/>
              </w:rPr>
            </w:pPr>
          </w:p>
        </w:tc>
        <w:tc>
          <w:tcPr>
            <w:tcW w:w="1640" w:type="dxa"/>
            <w:vAlign w:val="bottom"/>
            <w:gridSpan w:val="4"/>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Description of Common Stock</w:t>
              </w:r>
            </w:hyperlink>
          </w:p>
        </w:tc>
        <w:tc>
          <w:tcPr>
            <w:tcW w:w="1940" w:type="dxa"/>
            <w:vAlign w:val="bottom"/>
            <w:gridSpan w:val="5"/>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Description of Preferred Stock</w:t>
              </w:r>
            </w:hyperlink>
          </w:p>
        </w:tc>
        <w:tc>
          <w:tcPr>
            <w:tcW w:w="1960" w:type="dxa"/>
            <w:vAlign w:val="bottom"/>
            <w:gridSpan w:val="6"/>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Description of Warrants</w:t>
              </w:r>
            </w:hyperlink>
          </w:p>
        </w:tc>
        <w:tc>
          <w:tcPr>
            <w:tcW w:w="2440" w:type="dxa"/>
            <w:vAlign w:val="bottom"/>
            <w:gridSpan w:val="8"/>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Description of Debt Securities</w:t>
              </w:r>
            </w:hyperlink>
          </w:p>
        </w:tc>
        <w:tc>
          <w:tcPr>
            <w:tcW w:w="1980" w:type="dxa"/>
            <w:vAlign w:val="bottom"/>
            <w:gridSpan w:val="7"/>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Where You Can Find More Information</w:t>
              </w:r>
            </w:hyperlink>
          </w:p>
        </w:tc>
        <w:tc>
          <w:tcPr>
            <w:tcW w:w="1300" w:type="dxa"/>
            <w:vAlign w:val="bottom"/>
            <w:gridSpan w:val="3"/>
          </w:tcPr>
          <w:p>
            <w:pPr>
              <w:spacing w:after="0"/>
              <w:rPr>
                <w:sz w:val="17"/>
                <w:szCs w:val="17"/>
                <w:color w:val="auto"/>
              </w:rPr>
            </w:pPr>
          </w:p>
        </w:tc>
        <w:tc>
          <w:tcPr>
            <w:tcW w:w="7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Incorporation of Certain Documents by Reference</w:t>
              </w:r>
            </w:hyperlink>
          </w:p>
        </w:tc>
        <w:tc>
          <w:tcPr>
            <w:tcW w:w="7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Legal Matters</w:t>
              </w:r>
            </w:hyperlink>
          </w:p>
        </w:tc>
        <w:tc>
          <w:tcPr>
            <w:tcW w:w="2600" w:type="dxa"/>
            <w:vAlign w:val="bottom"/>
            <w:tcBorders>
              <w:top w:val="single" w:sz="8" w:color="0000EE"/>
            </w:tcBorders>
            <w:gridSpan w:val="12"/>
          </w:tcPr>
          <w:p>
            <w:pPr>
              <w:spacing w:after="0"/>
              <w:rPr>
                <w:sz w:val="17"/>
                <w:szCs w:val="17"/>
                <w:color w:val="auto"/>
              </w:rPr>
            </w:pPr>
          </w:p>
        </w:tc>
        <w:tc>
          <w:tcPr>
            <w:tcW w:w="560" w:type="dxa"/>
            <w:vAlign w:val="bottom"/>
          </w:tcPr>
          <w:p>
            <w:pPr>
              <w:spacing w:after="0"/>
              <w:rPr>
                <w:sz w:val="17"/>
                <w:szCs w:val="17"/>
                <w:color w:val="auto"/>
              </w:rPr>
            </w:pPr>
          </w:p>
        </w:tc>
        <w:tc>
          <w:tcPr>
            <w:tcW w:w="7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Experts</w:t>
              </w:r>
            </w:hyperlink>
          </w:p>
        </w:tc>
        <w:tc>
          <w:tcPr>
            <w:tcW w:w="3620" w:type="dxa"/>
            <w:vAlign w:val="bottom"/>
            <w:gridSpan w:val="15"/>
          </w:tcPr>
          <w:p>
            <w:pPr>
              <w:spacing w:after="0"/>
              <w:rPr>
                <w:sz w:val="17"/>
                <w:szCs w:val="17"/>
                <w:color w:val="auto"/>
              </w:rPr>
            </w:pPr>
          </w:p>
        </w:tc>
        <w:tc>
          <w:tcPr>
            <w:tcW w:w="7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EXHIBIT 4.4</w:t>
            </w:r>
          </w:p>
        </w:tc>
        <w:tc>
          <w:tcPr>
            <w:tcW w:w="3160" w:type="dxa"/>
            <w:vAlign w:val="bottom"/>
            <w:gridSpan w:val="13"/>
          </w:tcPr>
          <w:p>
            <w:pPr>
              <w:spacing w:after="0"/>
              <w:rPr>
                <w:sz w:val="17"/>
                <w:szCs w:val="17"/>
                <w:color w:val="auto"/>
              </w:rPr>
            </w:pPr>
          </w:p>
        </w:tc>
        <w:tc>
          <w:tcPr>
            <w:tcW w:w="6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5.1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23.2</w:t>
      </w:r>
    </w:p>
    <w:p>
      <w:pPr>
        <w:spacing w:after="0" w:line="105" w:lineRule="exact"/>
        <w:rPr>
          <w:sz w:val="20"/>
          <w:szCs w:val="20"/>
          <w:color w:val="auto"/>
        </w:rPr>
      </w:pPr>
    </w:p>
    <w:p>
      <w:pPr>
        <w:ind w:firstLine="218"/>
        <w:spacing w:after="0" w:line="279" w:lineRule="auto"/>
        <w:rPr>
          <w:sz w:val="20"/>
          <w:szCs w:val="20"/>
          <w:color w:val="auto"/>
        </w:rPr>
      </w:pPr>
      <w:r>
        <w:rPr>
          <w:rFonts w:ascii="Arial" w:cs="Arial" w:eastAsia="Arial" w:hAnsi="Arial"/>
          <w:sz w:val="17"/>
          <w:szCs w:val="17"/>
          <w:color w:val="auto"/>
        </w:rPr>
        <w:t>You should rely only on the information contained in this prospectus. We have not authorized anyone to give you information different from that contained in this prospectus. We are not making an offer to sell these securities in any jurisdiction where the offer is not permitted. The information contained in this prospectus is accurate only as of the date on the front cover of this prospectus, regardless of when this prospectus is delivered or when any sale of our securities occurs.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This prospectus is a part of a registration statement that we filed with the Securities and Exchange Commission, or the SEC, using a “shelf” registration process. Under this shelf registration process, we may offer to sell any combination of the securities described in this prospectus in one or more offerings up to a total dollar amount of $100,000,000.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You should read both this prospectus and any prospectus supplement, including all documents incorporated herein or therein by reference, together with additional information described under “Where You Can Find More Information.”</w:t>
      </w:r>
    </w:p>
    <w:p>
      <w:pPr>
        <w:spacing w:after="0" w:line="81"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STEMCELLS, INC.</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StemCells, Inc. is engaged in the discovery and development of cell-based therapeutics to treat damage to, or degeneration of, major organ systems. Our aim is to restore or support organ function, improve patients’ lives and reduce the substantial health care costs associated with these diseases and disorders by identifying and developing stem and progenitor cells as potential therapeutic agents. We currently have product development programs for two cell types: the human neural stem cell and human liver engrafting cells. In our CNS Program, we are conducting a Phase I clinical trial to evaluate the safety and preliminary efficacy of our HuCNS-SC</w:t>
      </w:r>
      <w:r>
        <w:rPr>
          <w:rFonts w:ascii="Arial" w:cs="Arial" w:eastAsia="Arial" w:hAnsi="Arial"/>
          <w:sz w:val="13"/>
          <w:szCs w:val="13"/>
          <w:color w:val="auto"/>
        </w:rPr>
        <w:t>®</w:t>
      </w:r>
      <w:r>
        <w:rPr>
          <w:rFonts w:ascii="Arial" w:cs="Arial" w:eastAsia="Arial" w:hAnsi="Arial"/>
          <w:sz w:val="16"/>
          <w:szCs w:val="16"/>
          <w:color w:val="auto"/>
        </w:rPr>
        <w:t xml:space="preserve"> product candidate (purified human neural stem cells) as a treatment for infantile and late infantile neuronal ceroid lipofuscinosis (NCL), two forms of a group of disorders often referred to as Batten disease. We have completed enrollment and dosing in this six-patient trial and expect it to be completed in early 2009. In addition, we are conducting preclinical work for spinal cord injury, myelin disorders and retinal disorders. In our Liver Program, we are in preclinical development with, and are continuing to improve processes to isolate and purify, our human liver engrafting cells (hLEC).</w:t>
      </w:r>
    </w:p>
    <w:p>
      <w:pPr>
        <w:spacing w:after="0" w:line="58"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Many degenerative diseases are caused by the loss of normal cellular function in a particular organ. When cells are damaged or destroyed, they no longer produce, metabolize or accurately regulate substances, such as sugars, amino acids, neurotransmitters, and hormones, which are essential to life. Although traditional pharmaceuticals and genetically engineered biologics may have some utility in addressing a degenerative condition, there is no technology existing today that can deliver these essential substances precisely to the sites of action, under the appropriate physiological regulation, in the appropriate quantity, or for the duration required to cure the degenerative condition. Cells, however, can do all this naturally. Thus, transplantation of stem or progenitor cells may prevent the loss of, or even generate new, functional cells and potentially maintain or restore organ function and the patient’s health.</w:t>
      </w:r>
    </w:p>
    <w:p>
      <w:pPr>
        <w:spacing w:after="0" w:line="57" w:lineRule="exact"/>
        <w:rPr>
          <w:sz w:val="20"/>
          <w:szCs w:val="20"/>
          <w:color w:val="auto"/>
        </w:rPr>
      </w:pPr>
    </w:p>
    <w:p>
      <w:pPr>
        <w:ind w:right="240" w:firstLine="222"/>
        <w:spacing w:after="0" w:line="257" w:lineRule="auto"/>
        <w:rPr>
          <w:sz w:val="20"/>
          <w:szCs w:val="20"/>
          <w:color w:val="auto"/>
        </w:rPr>
      </w:pPr>
      <w:r>
        <w:rPr>
          <w:rFonts w:ascii="Arial" w:cs="Arial" w:eastAsia="Arial" w:hAnsi="Arial"/>
          <w:sz w:val="18"/>
          <w:szCs w:val="18"/>
          <w:color w:val="auto"/>
        </w:rPr>
        <w:t>We believe that, if successfully developed, our cell technologies will create the basis for therapies that would address a number of conditions with significant unmet medical needs. Many neurodegenerative diseases involve the failure of an organ that cannot be transplanted, i.e., the brain or spinal cord. Many liver diseases, such as hepatitis, can be addressed by a liver transplant, but transplantable livers are in very limited supply. We estimate that degenerative conditions of the central nervous system (CNS) and the liver together affect more than 35 million people in the United States and account for nearly $200 billion annually in health care costs.</w:t>
      </w:r>
      <w:r>
        <w:rPr>
          <w:rFonts w:ascii="Arial" w:cs="Arial" w:eastAsia="Arial" w:hAnsi="Arial"/>
          <w:sz w:val="15"/>
          <w:szCs w:val="15"/>
          <w:color w:val="auto"/>
        </w:rPr>
        <w:t>1</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principal executive offices are located at StemCells, Inc., 3155 Porter Drive, Palo Alto, CA 94304 and our phone number is (650)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9" w:lineRule="exact"/>
        <w:rPr>
          <w:sz w:val="20"/>
          <w:szCs w:val="20"/>
          <w:color w:val="auto"/>
        </w:rPr>
      </w:pPr>
    </w:p>
    <w:p>
      <w:pPr>
        <w:ind w:left="460" w:right="80" w:hanging="452"/>
        <w:spacing w:after="0" w:line="302"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6"/>
          <w:szCs w:val="16"/>
          <w:color w:val="auto"/>
        </w:rPr>
        <w:t>This estimate is based on information from the Alzheimer’s Association, the Alzheimer’s Disease Education &amp; Referral Center (National Institute on Aging), the National Parkinson Foundation, the National Institutes of Health’s National Institute on Neurological Disorders and Stroke, the Foundation for Spinal Cord Injury Prevention, Care &amp; Cure, the Travis Roy Foundation, the Centers for Disease Control and Prevention, the Wisconsin Chapter of the Huntington’s Disease Society of America, the American Liver Foundation, the Cincinnati Children’s Hospital Medical Center, and JAIDs.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i w:val="1"/>
          <w:iCs w:val="1"/>
          <w:color w:val="auto"/>
        </w:rPr>
        <w:t>You should consider the “Risk Factors” included under Part I-Item 1A. of our most recent Annual Report on Form 10-K, which is incorporated by reference in this prospectus. The risks and uncertainties we describe are not the only ones facing us. Additional risks not presently known to us, or that we currently deem immaterial, may also impair our business operations. If any of these risks were to occur, our business, financial condition, and results of operations could be severely harmed. This could cause the trading price of our common stock to decline, and you could lose all or part of your investment.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This prospectus and the documents incorporated in this prospectus by reference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7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this prospectus.</w:t>
      </w:r>
    </w:p>
    <w:p>
      <w:pPr>
        <w:spacing w:after="0" w:line="7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forward-looking statements included in this prospectus represent our estimates as of the date of this prospectus. We specifically disclaim any obligation to update these forward-looking statements in the future. These forward-looking statements should not be relied upon as representing our estimates or views as of any date subsequent to the date of this prospectus.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Except as otherwise provided in the applicable prospectus supplement, we intend to use the net proceeds from the sale of the securities covered by this prospectus for general corporate purposes, which may include working capital, capital expenditures, research and development expenditures, clinical trial expenditures, acquisitions of new technologies or businesses, and investments. Additional information on the use of net proceeds from the sale of securities covered by this prospectus may be set forth in the prospectus supplement relating to the specific offering.</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Our earnings are inadequate to cover fixed charges. The following table sets forth the dollar amount of the coverage. We have not included a ratio of earnings to combined fixed charges and preferred stock dividends because we do not have any preferred stock outstanding.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jc w:val="center"/>
              <w:ind w:left="302"/>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4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2003</w:t>
            </w:r>
          </w:p>
        </w:tc>
        <w:tc>
          <w:tcPr>
            <w:tcW w:w="12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1920" w:type="dxa"/>
            <w:vAlign w:val="bottom"/>
            <w:vMerge w:val="continue"/>
          </w:tcPr>
          <w:p>
            <w:pPr>
              <w:spacing w:after="0"/>
              <w:rPr>
                <w:sz w:val="12"/>
                <w:szCs w:val="12"/>
                <w:color w:val="auto"/>
              </w:rPr>
            </w:pPr>
          </w:p>
        </w:tc>
        <w:tc>
          <w:tcPr>
            <w:tcW w:w="124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2006</w:t>
            </w:r>
          </w:p>
        </w:tc>
        <w:tc>
          <w:tcPr>
            <w:tcW w:w="150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2007</w:t>
            </w:r>
          </w:p>
        </w:tc>
        <w:tc>
          <w:tcPr>
            <w:tcW w:w="12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920" w:type="dxa"/>
            <w:vAlign w:val="bottom"/>
          </w:tcPr>
          <w:p>
            <w:pPr>
              <w:jc w:val="right"/>
              <w:ind w:right="741"/>
              <w:spacing w:after="0" w:line="149" w:lineRule="exact"/>
              <w:rPr>
                <w:sz w:val="20"/>
                <w:szCs w:val="20"/>
                <w:color w:val="auto"/>
              </w:rPr>
            </w:pPr>
            <w:r>
              <w:rPr>
                <w:rFonts w:ascii="Arial" w:cs="Arial" w:eastAsia="Arial" w:hAnsi="Arial"/>
                <w:sz w:val="14"/>
                <w:szCs w:val="14"/>
                <w:b w:val="1"/>
                <w:bCs w:val="1"/>
                <w:color w:val="auto"/>
              </w:rPr>
              <w:t>2005</w:t>
            </w:r>
          </w:p>
        </w:tc>
        <w:tc>
          <w:tcPr>
            <w:tcW w:w="124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2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86"/>
        </w:trPr>
        <w:tc>
          <w:tcPr>
            <w:tcW w:w="266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160" w:type="dxa"/>
            <w:vAlign w:val="bottom"/>
            <w:gridSpan w:val="2"/>
          </w:tcPr>
          <w:p>
            <w:pPr>
              <w:jc w:val="right"/>
              <w:ind w:right="936"/>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20"/>
              <w:spacing w:after="0"/>
              <w:rPr>
                <w:sz w:val="20"/>
                <w:szCs w:val="20"/>
                <w:color w:val="auto"/>
              </w:rPr>
            </w:pPr>
            <w:r>
              <w:rPr>
                <w:rFonts w:ascii="Arial" w:cs="Arial" w:eastAsia="Arial" w:hAnsi="Arial"/>
                <w:sz w:val="18"/>
                <w:szCs w:val="18"/>
                <w:color w:val="auto"/>
              </w:rPr>
              <w:t>charges (1)</w:t>
            </w:r>
          </w:p>
        </w:tc>
        <w:tc>
          <w:tcPr>
            <w:tcW w:w="14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60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Deficiency of earnings available</w:t>
            </w: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20"/>
              <w:spacing w:after="0"/>
              <w:rPr>
                <w:sz w:val="20"/>
                <w:szCs w:val="20"/>
                <w:color w:val="auto"/>
              </w:rPr>
            </w:pPr>
            <w:r>
              <w:rPr>
                <w:rFonts w:ascii="Arial" w:cs="Arial" w:eastAsia="Arial" w:hAnsi="Arial"/>
                <w:sz w:val="18"/>
                <w:szCs w:val="18"/>
                <w:color w:val="auto"/>
              </w:rPr>
              <w:t>to cover fixed charges</w:t>
            </w:r>
          </w:p>
        </w:tc>
        <w:tc>
          <w:tcPr>
            <w:tcW w:w="1400" w:type="dxa"/>
            <w:vAlign w:val="bottom"/>
          </w:tcPr>
          <w:p>
            <w:pPr>
              <w:jc w:val="right"/>
              <w:ind w:right="296"/>
              <w:spacing w:after="0"/>
              <w:rPr>
                <w:sz w:val="20"/>
                <w:szCs w:val="20"/>
                <w:color w:val="auto"/>
              </w:rPr>
            </w:pPr>
            <w:r>
              <w:rPr>
                <w:rFonts w:ascii="Arial" w:cs="Arial" w:eastAsia="Arial" w:hAnsi="Arial"/>
                <w:sz w:val="18"/>
                <w:szCs w:val="18"/>
                <w:color w:val="auto"/>
              </w:rPr>
              <w:t>$(14,425)</w:t>
            </w: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$(15,330)</w:t>
            </w:r>
          </w:p>
        </w:tc>
        <w:tc>
          <w:tcPr>
            <w:tcW w:w="1920" w:type="dxa"/>
            <w:vAlign w:val="bottom"/>
          </w:tcPr>
          <w:p>
            <w:pPr>
              <w:jc w:val="right"/>
              <w:ind w:right="541"/>
              <w:spacing w:after="0"/>
              <w:rPr>
                <w:sz w:val="20"/>
                <w:szCs w:val="20"/>
                <w:color w:val="auto"/>
              </w:rPr>
            </w:pPr>
            <w:r>
              <w:rPr>
                <w:rFonts w:ascii="Arial" w:cs="Arial" w:eastAsia="Arial" w:hAnsi="Arial"/>
                <w:sz w:val="18"/>
                <w:szCs w:val="18"/>
                <w:color w:val="auto"/>
              </w:rPr>
              <w:t>$(11,738)</w:t>
            </w:r>
          </w:p>
        </w:tc>
        <w:tc>
          <w:tcPr>
            <w:tcW w:w="1240" w:type="dxa"/>
            <w:vAlign w:val="bottom"/>
          </w:tcPr>
          <w:p>
            <w:pPr>
              <w:jc w:val="right"/>
              <w:ind w:right="296"/>
              <w:spacing w:after="0"/>
              <w:rPr>
                <w:sz w:val="20"/>
                <w:szCs w:val="20"/>
                <w:color w:val="auto"/>
              </w:rPr>
            </w:pPr>
            <w:r>
              <w:rPr>
                <w:rFonts w:ascii="Arial" w:cs="Arial" w:eastAsia="Arial" w:hAnsi="Arial"/>
                <w:sz w:val="18"/>
                <w:szCs w:val="18"/>
                <w:color w:val="auto"/>
              </w:rPr>
              <w:t>$(18,948)</w:t>
            </w:r>
          </w:p>
        </w:tc>
        <w:tc>
          <w:tcPr>
            <w:tcW w:w="1500" w:type="dxa"/>
            <w:vAlign w:val="bottom"/>
          </w:tcPr>
          <w:p>
            <w:pPr>
              <w:jc w:val="right"/>
              <w:ind w:right="296"/>
              <w:spacing w:after="0"/>
              <w:rPr>
                <w:sz w:val="20"/>
                <w:szCs w:val="20"/>
                <w:color w:val="auto"/>
              </w:rPr>
            </w:pPr>
            <w:r>
              <w:rPr>
                <w:rFonts w:ascii="Arial" w:cs="Arial" w:eastAsia="Arial" w:hAnsi="Arial"/>
                <w:sz w:val="18"/>
                <w:szCs w:val="18"/>
                <w:color w:val="auto"/>
              </w:rPr>
              <w:t>$(25,023)</w:t>
            </w:r>
          </w:p>
        </w:tc>
        <w:tc>
          <w:tcPr>
            <w:tcW w:w="1260" w:type="dxa"/>
            <w:vAlign w:val="bottom"/>
          </w:tcPr>
          <w:p>
            <w:pPr>
              <w:jc w:val="right"/>
              <w:ind w:right="62"/>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60" w:right="1680" w:hanging="5652"/>
        <w:spacing w:after="0" w:line="481" w:lineRule="auto"/>
        <w:tabs>
          <w:tab w:leader="none" w:pos="44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each of the periods presented, our earnings were insufficient to cover fixed charges and accordingly ratios are not presented.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securities in any of the ways described below or in any combination of these:</w:t>
      </w:r>
    </w:p>
    <w:p>
      <w:pPr>
        <w:spacing w:after="0" w:line="117" w:lineRule="exact"/>
        <w:rPr>
          <w:sz w:val="20"/>
          <w:szCs w:val="20"/>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or through underwriters or dealers;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through one or more agents; or</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directly to purchasers or to a single purchaser.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17" w:lineRule="exact"/>
        <w:rPr>
          <w:sz w:val="20"/>
          <w:szCs w:val="20"/>
          <w:color w:val="auto"/>
        </w:rPr>
      </w:pPr>
    </w:p>
    <w:p>
      <w:pPr>
        <w:ind w:left="1120" w:hanging="437"/>
        <w:spacing w:after="0"/>
        <w:tabs>
          <w:tab w:leader="none" w:pos="1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at negotiated prices.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117" w:lineRule="exact"/>
        <w:rPr>
          <w:sz w:val="20"/>
          <w:szCs w:val="20"/>
          <w:color w:val="auto"/>
        </w:rPr>
      </w:pPr>
    </w:p>
    <w:p>
      <w:pPr>
        <w:ind w:right="400" w:firstLine="447"/>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62" w:lineRule="exact"/>
        <w:rPr>
          <w:sz w:val="20"/>
          <w:szCs w:val="20"/>
          <w:color w:val="auto"/>
        </w:rPr>
      </w:pPr>
    </w:p>
    <w:p>
      <w:pPr>
        <w:ind w:left="1120" w:hanging="437"/>
        <w:spacing w:after="0"/>
        <w:tabs>
          <w:tab w:leader="none" w:pos="112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b w:val="1"/>
          <w:bCs w:val="1"/>
          <w:color w:val="auto"/>
        </w:rPr>
      </w:pPr>
    </w:p>
    <w:p>
      <w:pPr>
        <w:ind w:left="1120" w:right="20" w:hanging="437"/>
        <w:spacing w:after="0" w:line="277" w:lineRule="auto"/>
        <w:tabs>
          <w:tab w:leader="none" w:pos="1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initial public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b w:val="1"/>
          <w:bCs w:val="1"/>
          <w:color w:val="auto"/>
        </w:rPr>
      </w:pPr>
    </w:p>
    <w:p>
      <w:pPr>
        <w:ind w:left="1120" w:hanging="437"/>
        <w:spacing w:after="0"/>
        <w:tabs>
          <w:tab w:leader="none" w:pos="1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any securities exchanges on which the securities may be listed.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129" w:lineRule="exact"/>
        <w:rPr>
          <w:sz w:val="20"/>
          <w:szCs w:val="20"/>
          <w:color w:val="auto"/>
        </w:rPr>
      </w:pPr>
    </w:p>
    <w:p>
      <w:pPr>
        <w:ind w:right="580" w:firstLine="450"/>
        <w:spacing w:after="0" w:line="277" w:lineRule="auto"/>
        <w:rPr>
          <w:sz w:val="20"/>
          <w:szCs w:val="20"/>
          <w:color w:val="auto"/>
        </w:rPr>
      </w:pPr>
      <w:r>
        <w:rPr>
          <w:rFonts w:ascii="Arial" w:cs="Arial" w:eastAsia="Arial" w:hAnsi="Arial"/>
          <w:sz w:val="18"/>
          <w:szCs w:val="18"/>
          <w:color w:val="auto"/>
        </w:rPr>
        <w:t>Only the agents or underwriters named in each prospectus supplement are agents or underwriters in connection with the securities being offered thereby.</w:t>
      </w:r>
    </w:p>
    <w:p>
      <w:pPr>
        <w:spacing w:after="0" w:line="62" w:lineRule="exact"/>
        <w:rPr>
          <w:sz w:val="20"/>
          <w:szCs w:val="20"/>
          <w:color w:val="auto"/>
        </w:rPr>
      </w:pPr>
    </w:p>
    <w:p>
      <w:pPr>
        <w:ind w:right="20" w:firstLine="447"/>
        <w:spacing w:after="0" w:line="272" w:lineRule="auto"/>
        <w:rPr>
          <w:sz w:val="20"/>
          <w:szCs w:val="20"/>
          <w:color w:val="auto"/>
        </w:rPr>
      </w:pPr>
      <w:r>
        <w:rPr>
          <w:rFonts w:ascii="Arial" w:cs="Arial" w:eastAsia="Arial" w:hAnsi="Arial"/>
          <w:sz w:val="17"/>
          <w:szCs w:val="17"/>
          <w:color w:val="auto"/>
        </w:rPr>
        <w:t>We may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each applicable prospectus supplement, and each prospectus supplement will set forth any commissions we pay for solicitation of these contracts.</w:t>
      </w:r>
    </w:p>
    <w:p>
      <w:pPr>
        <w:spacing w:after="0" w:line="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Agents, underwriters and other third parties described above may be entitled to indemnification by us against certain civil liabilities, including liabilities under the Securities Act of 1933,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0"/>
        <w:spacing w:after="0" w:line="291" w:lineRule="auto"/>
        <w:rPr>
          <w:sz w:val="20"/>
          <w:szCs w:val="20"/>
          <w:color w:val="auto"/>
        </w:rPr>
      </w:pPr>
      <w:r>
        <w:rPr>
          <w:rFonts w:ascii="Arial" w:cs="Arial" w:eastAsia="Arial" w:hAnsi="Arial"/>
          <w:sz w:val="16"/>
          <w:szCs w:val="16"/>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any remarketing firm and the terms of its agreement, if any, with us and will describe the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59"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w:t>
      </w:r>
    </w:p>
    <w:p>
      <w:pPr>
        <w:spacing w:after="0" w:line="73" w:lineRule="exact"/>
        <w:rPr>
          <w:sz w:val="20"/>
          <w:szCs w:val="20"/>
          <w:color w:val="auto"/>
        </w:rPr>
      </w:pPr>
    </w:p>
    <w:p>
      <w:pPr>
        <w:ind w:right="280" w:firstLine="447"/>
        <w:spacing w:after="0" w:line="312" w:lineRule="auto"/>
        <w:rPr>
          <w:sz w:val="20"/>
          <w:szCs w:val="20"/>
          <w:color w:val="auto"/>
        </w:rPr>
      </w:pPr>
      <w:r>
        <w:rPr>
          <w:rFonts w:ascii="Arial" w:cs="Arial" w:eastAsia="Arial" w:hAnsi="Arial"/>
          <w:sz w:val="16"/>
          <w:szCs w:val="16"/>
          <w:color w:val="auto"/>
        </w:rPr>
        <w:t>The securities may be new issues of securities and may have no established trading market. The securities may or may not be listed on a national securities exchange. Underwriters may make a market in these securities, but will not be obligated to do so and may discontinue any market making at any time without notice. We can make no assurance as to the liquidity of, or the existence of trading markets for, any of our securities.</w:t>
      </w:r>
    </w:p>
    <w:p>
      <w:pPr>
        <w:spacing w:after="0" w:line="3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Certain persons participating in this offering may engage in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DESCRIPTION OF COMMON STOCK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authorized to issue 125,000,000 shares of common stock. As of June 1, 2008, we had 80,810,302 shares of common stock outstanding.</w:t>
      </w:r>
    </w:p>
    <w:p>
      <w:pPr>
        <w:spacing w:after="0" w:line="129"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our restated certificate of incorporation and our amended and restated by-laws, both of which are on file with the SEC as exhibits to previous SEC filings. The summary below is also qualified by provisions of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Holders of common stock are entitled to one vote per share on matters on which our stockholders vote. There are no cumulative voting rights. Holders of common stock are entitled to receive dividends, if declared by our board of directors, out of funds that we may legally use to pay dividends. If we liquidate or dissolve, holders of common stock are entitled to share ratably in our assets once our debts and any liquidation preference owed to any then-outstanding preferred stockholders are paid. Our certificate of incorporation does not provide the common stock with any redemption, conversion or preemptive rights. All shares of common stock that are outstanding as of the date of this prospectus and, upon issuance and sale, all shares we are offering by this prospectus, will be fully-paid and nonassessable.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common stock is listed for quotation on the Nasdaq Global Market under the symbol “STEM.”</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PREFERRED STOCK</w:t>
      </w:r>
    </w:p>
    <w:p>
      <w:pPr>
        <w:spacing w:after="0" w:line="121" w:lineRule="exact"/>
        <w:rPr>
          <w:sz w:val="20"/>
          <w:szCs w:val="20"/>
          <w:color w:val="auto"/>
        </w:rPr>
      </w:pPr>
    </w:p>
    <w:p>
      <w:pPr>
        <w:jc w:val="both"/>
        <w:ind w:right="160" w:firstLine="222"/>
        <w:spacing w:after="0" w:line="259" w:lineRule="auto"/>
        <w:rPr>
          <w:sz w:val="20"/>
          <w:szCs w:val="20"/>
          <w:color w:val="auto"/>
        </w:rPr>
      </w:pPr>
      <w:r>
        <w:rPr>
          <w:rFonts w:ascii="Arial" w:cs="Arial" w:eastAsia="Arial" w:hAnsi="Arial"/>
          <w:sz w:val="18"/>
          <w:szCs w:val="18"/>
          <w:color w:val="auto"/>
        </w:rPr>
        <w:t>We are authorized to issue 1,000,000 shares of undesignated preferred stock. As of June 1, 2008, no shares of our preferred stock were outstanding. The following summary of certain provisions of our preferred stock does not purport to be complete. You should refer to our restated certificate of incorporation and our amended and restated by-laws, both of which are on file with the SEC as exhibits to previous SEC filings. The summary below is also qualified by provisions of applicable law.</w:t>
      </w:r>
    </w:p>
    <w:p>
      <w:pPr>
        <w:spacing w:after="0" w:line="79"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58" w:lineRule="exact"/>
        <w:rPr>
          <w:sz w:val="20"/>
          <w:szCs w:val="20"/>
          <w:color w:val="auto"/>
        </w:rPr>
      </w:pPr>
    </w:p>
    <w:p>
      <w:pPr>
        <w:jc w:val="both"/>
        <w:ind w:right="340" w:firstLine="225"/>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73"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title and stated value;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number of shares offered, the liquidation preference per share and the purchase price;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dividend rate(s), period(s) and/or payment date(s), or method(s) of calculation for such dividends;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provisions for redemption, if applicable;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75"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StemCells, Inc.; and</w:t>
      </w:r>
    </w:p>
    <w:p>
      <w:pPr>
        <w:spacing w:after="0" w:line="75"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StemCells, Inc.</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preferred stock offered by this prospectus, when issued, will not have, or be subject to, any preemptive or similar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each applicable prospectus supplement.</w:t>
      </w: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to the warrants.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specific designation and aggregate number of, and the price at which we will issue, the warrants;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designation, amount and terms of the securities purchasable upon exercise of the warrants;</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75"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12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75"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75" w:lineRule="exact"/>
        <w:rPr>
          <w:rFonts w:ascii="Arial" w:cs="Arial" w:eastAsia="Arial" w:hAnsi="Arial"/>
          <w:sz w:val="18"/>
          <w:szCs w:val="18"/>
          <w:b w:val="1"/>
          <w:bCs w:val="1"/>
          <w:color w:val="auto"/>
        </w:rPr>
      </w:pPr>
    </w:p>
    <w:p>
      <w:pPr>
        <w:jc w:val="both"/>
        <w:ind w:left="660" w:right="540" w:hanging="436"/>
        <w:spacing w:after="0" w:line="342" w:lineRule="auto"/>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the identity of the warrant agent for the warrants and of any other depositaries, execution or paying agents, transfer agents, registrars or other agents;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if applicable, the date from and after which the warrants and the common stock, preferred stock and/or debt securities will be separately transferable;</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anti-dilution provisions of the warrants,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any redemption or call provisions;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whether the warrants are to be sold separately or with other securities as parts of units;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any additional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80"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may offer under this prospectus up to an aggregate principal amount of $100,000,000 in debt securities; or if debt securities are issued at a discount, or in a foreign currency, foreign currency units or composite currency, the principal amount as may be sold for an initial public offering price of up to $100,000,000. Unless otherwise specified in the applicable prospectus supplement, the debt securities will represent direct, unsecured obligations of StemCells, Inc. and will rank equally with all of our other unsecured indebtedness.</w:t>
      </w:r>
    </w:p>
    <w:p>
      <w:pPr>
        <w:spacing w:after="0" w:line="79"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 following statements relating to the debt securities and the indenture are summaries, qualified in their entirety to the detailed provisions of the indenture.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380" w:firstLine="222"/>
        <w:spacing w:after="0" w:line="308" w:lineRule="auto"/>
        <w:rPr>
          <w:sz w:val="20"/>
          <w:szCs w:val="20"/>
          <w:color w:val="auto"/>
        </w:rPr>
      </w:pPr>
      <w:r>
        <w:rPr>
          <w:rFonts w:ascii="Arial" w:cs="Arial" w:eastAsia="Arial" w:hAnsi="Arial"/>
          <w:sz w:val="17"/>
          <w:szCs w:val="17"/>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38"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62"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aggregate principal amount;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any limit on the aggregate principal amount;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date or dates on which principal is payable;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place or places where principal and, if applicable, premium and interest, is payable;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the denominations in which such debt securities may be issuable, if other than denominations of $1,000 or any integral multiple of that number;</w:t>
      </w:r>
    </w:p>
    <w:p>
      <w:pPr>
        <w:spacing w:after="0" w:line="153" w:lineRule="exact"/>
        <w:rPr>
          <w:rFonts w:ascii="Arial" w:cs="Arial" w:eastAsia="Arial" w:hAnsi="Arial"/>
          <w:sz w:val="16"/>
          <w:szCs w:val="16"/>
          <w:b w:val="1"/>
          <w:bCs w:val="1"/>
          <w:color w:val="auto"/>
        </w:rPr>
      </w:pPr>
    </w:p>
    <w:p>
      <w:pPr>
        <w:ind w:left="660" w:right="20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whether the debt securities are to be issuable in the form of certificated debt securities (as described below) or global debt securities (as described below);</w:t>
      </w:r>
    </w:p>
    <w:p>
      <w:pPr>
        <w:spacing w:after="0" w:line="75"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currency of denomination;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the designation of the currency, currencies or currency units in which payment of principal and, if applicable, premium and interest, will be made;</w:t>
      </w:r>
    </w:p>
    <w:p>
      <w:pPr>
        <w:spacing w:after="0" w:line="153" w:lineRule="exact"/>
        <w:rPr>
          <w:rFonts w:ascii="Arial" w:cs="Arial" w:eastAsia="Arial" w:hAnsi="Arial"/>
          <w:sz w:val="16"/>
          <w:szCs w:val="16"/>
          <w:b w:val="1"/>
          <w:bCs w:val="1"/>
          <w:color w:val="auto"/>
        </w:rPr>
      </w:pPr>
    </w:p>
    <w:p>
      <w:pPr>
        <w:ind w:left="660" w:right="300" w:hanging="436"/>
        <w:spacing w:after="0" w:line="308" w:lineRule="auto"/>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51" w:lineRule="exact"/>
        <w:rPr>
          <w:rFonts w:ascii="Arial" w:cs="Arial" w:eastAsia="Arial" w:hAnsi="Arial"/>
          <w:sz w:val="17"/>
          <w:szCs w:val="17"/>
          <w:b w:val="1"/>
          <w:bCs w:val="1"/>
          <w:color w:val="auto"/>
        </w:rPr>
      </w:pPr>
    </w:p>
    <w:p>
      <w:pPr>
        <w:ind w:left="660" w:right="40" w:hanging="436"/>
        <w:spacing w:after="0" w:line="342"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provisions, if any, relating to any collateral provided for such debt securities;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any addition to or change in the covenants and/or the acceleration provisions described in this prospectus or in the indenture;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any events of default, if not otherwise described below under “Events of Default”;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terms and conditions, if any, for conversion into or exchange for shares of common stock or preferred stock;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any depositaries, interest rate calculation agents, exchange rate calculation agents or other agents; and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the terms and conditions, if any, upon which the debt securities shall be subordinated in right of payment to other indebtedness of StemCells, Inc.</w:t>
      </w:r>
    </w:p>
    <w:p>
      <w:pPr>
        <w:spacing w:after="0" w:line="140"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63"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and/or Conversion Rights</w:t>
      </w:r>
    </w:p>
    <w:p>
      <w:pPr>
        <w:spacing w:after="0" w:line="121"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We may issue debt securities which can be exchanged for or converted into shares of common stock or preferred stock. If we do, we will describe the terms of exchange or conversion in the prospectus supplement relating to these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issue debt securities that will be represented by either:</w:t>
      </w:r>
    </w:p>
    <w:p>
      <w:pPr>
        <w:spacing w:after="0" w:line="117" w:lineRule="exact"/>
        <w:rPr>
          <w:sz w:val="20"/>
          <w:szCs w:val="20"/>
          <w:color w:val="auto"/>
        </w:rPr>
      </w:pPr>
    </w:p>
    <w:p>
      <w:pPr>
        <w:ind w:left="660" w:right="56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“book-entry securities,” which means that there will be one or more global securities registered in the name of a depositary or a nominee of a depositary; or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“certificated securities,” which means that they will be represented by a certificate issued in definitive registered form.</w:t>
      </w:r>
    </w:p>
    <w:p>
      <w:pPr>
        <w:spacing w:after="0" w:line="117"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will specify in the prospectus supplement applicable to a particular offering whether the debt securities offered will be book-entry or certificated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Debt Securities</w:t>
      </w:r>
    </w:p>
    <w:p>
      <w:pPr>
        <w:spacing w:after="0" w:line="121"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If you hold certificated debt securities, you may transfer or exchange such debt securities at the trustee’s office or at the paying agent’s office or agency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39" w:lineRule="exact"/>
        <w:rPr>
          <w:sz w:val="20"/>
          <w:szCs w:val="20"/>
          <w:color w:val="auto"/>
        </w:rPr>
      </w:pPr>
    </w:p>
    <w:p>
      <w:pPr>
        <w:ind w:right="180" w:firstLine="218"/>
        <w:spacing w:after="0" w:line="264" w:lineRule="auto"/>
        <w:rPr>
          <w:sz w:val="20"/>
          <w:szCs w:val="20"/>
          <w:color w:val="auto"/>
        </w:rPr>
      </w:pPr>
      <w:r>
        <w:rPr>
          <w:rFonts w:ascii="Arial" w:cs="Arial" w:eastAsia="Arial" w:hAnsi="Arial"/>
          <w:sz w:val="18"/>
          <w:szCs w:val="18"/>
          <w:color w:val="auto"/>
        </w:rPr>
        <w:t>You may effect the transfer of certificated debt securities and of the right to receive the principal of, premium, and/or interest, if any, on the certificated debt securities only by surrendering the certificate representing the certificated debt securities and having us or the trustee issue a new certificate to the new holder.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73"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prospectus supplement will describe the specific terms of the depositary arrangement for debt securities of a series that are issued in global form. None of our company,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debt securities additional protection in the event of a recapitalization transaction, a change of control of StemCells, Inc., or a highly leveraged transaction. If we offer any covenants or provisions of this type with respect to any debt securities covered by this prospectus, we will describe them in the applicable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Unless otherwise indicated in this prospectus or a prospectus supplement, the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We have agreed in the indenture that we will not consolidate with or merge into any other person or convey, transfer, sell or lease our properties and assets substantially as an entirety to any person, unless:</w:t>
      </w:r>
    </w:p>
    <w:p>
      <w:pPr>
        <w:spacing w:after="0" w:line="62" w:lineRule="exact"/>
        <w:rPr>
          <w:sz w:val="20"/>
          <w:szCs w:val="20"/>
          <w:color w:val="auto"/>
        </w:rPr>
      </w:pPr>
    </w:p>
    <w:p>
      <w:pPr>
        <w:ind w:left="660" w:right="160" w:hanging="436"/>
        <w:spacing w:after="0" w:line="25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if we are not the surviving person, the surviving person has expressly assumed all of our obligations, including the payment of the principal of and, premium, if any, and interest on the debt securities and the performance of the other covenants under the indenture; and</w:t>
      </w:r>
    </w:p>
    <w:p>
      <w:pPr>
        <w:spacing w:after="0" w:line="93"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immediately before and immediately after giving effect to the transaction, no event of default, and no event which, after notice or lapse of time or both, would become an event of default, has occurred and is continuing under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events will be events of default under the indenture with respect to debt securities of any series:</w:t>
      </w:r>
    </w:p>
    <w:p>
      <w:pPr>
        <w:spacing w:after="0" w:line="62"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we fail to pay any principal or premium, if any, when it becomes due;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we fail to pay any interest within 30 days after it becomes due;</w:t>
      </w:r>
    </w:p>
    <w:p>
      <w:pPr>
        <w:spacing w:after="0" w:line="130" w:lineRule="exact"/>
        <w:rPr>
          <w:rFonts w:ascii="Arial" w:cs="Arial" w:eastAsia="Arial" w:hAnsi="Arial"/>
          <w:sz w:val="18"/>
          <w:szCs w:val="18"/>
          <w:b w:val="1"/>
          <w:bCs w:val="1"/>
          <w:color w:val="auto"/>
        </w:rPr>
      </w:pPr>
    </w:p>
    <w:p>
      <w:pPr>
        <w:ind w:left="660" w:hanging="436"/>
        <w:spacing w:after="0" w:line="308"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51" w:lineRule="exact"/>
        <w:rPr>
          <w:rFonts w:ascii="Arial" w:cs="Arial" w:eastAsia="Arial" w:hAnsi="Arial"/>
          <w:sz w:val="17"/>
          <w:szCs w:val="17"/>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certain events involving bankruptcy, insolvency or reorganization of StemCells, Inc. or any of our significant subsidiaries.</w:t>
      </w:r>
    </w:p>
    <w:p>
      <w:pPr>
        <w:spacing w:after="0" w:line="117" w:lineRule="exact"/>
        <w:rPr>
          <w:sz w:val="20"/>
          <w:szCs w:val="20"/>
          <w:color w:val="auto"/>
        </w:rPr>
      </w:pPr>
    </w:p>
    <w:p>
      <w:pPr>
        <w:ind w:right="180" w:firstLine="222"/>
        <w:spacing w:after="0" w:line="342" w:lineRule="auto"/>
        <w:rPr>
          <w:sz w:val="20"/>
          <w:szCs w:val="20"/>
          <w:color w:val="auto"/>
        </w:rPr>
      </w:pPr>
      <w:r>
        <w:rPr>
          <w:rFonts w:ascii="Arial" w:cs="Arial" w:eastAsia="Arial" w:hAnsi="Arial"/>
          <w:sz w:val="16"/>
          <w:szCs w:val="16"/>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6"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majority in aggregate principal amount of outstanding debt securities of such series may rescind and annul such acceleration if:</w:t>
      </w:r>
    </w:p>
    <w:p>
      <w:pPr>
        <w:spacing w:after="0" w:line="117"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all events of default (other than nonpayment of accelerated principal, premium or interest) have been cured or waived;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all lawful interest on overdue interest and overdue principal has been paid;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rescission would not conflict with any judgment or decree.</w:t>
      </w:r>
    </w:p>
    <w:p>
      <w:pPr>
        <w:spacing w:after="0" w:line="117"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In addition, if the acceleration occurs at any time when we have outstanding indebtedness which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79"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73"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73"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No holder of any debt security of a series will have any right to institute any proceeding with respect to the indenture or for any remedy under the indenture, unless:</w:t>
      </w:r>
    </w:p>
    <w:p>
      <w:pPr>
        <w:spacing w:after="0" w:line="62"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holder gives to the trustee written notice of a continuing event of default;</w:t>
      </w:r>
    </w:p>
    <w:p>
      <w:pPr>
        <w:spacing w:after="0" w:line="130"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trustee fails to institute a proceeding within 60 days after such request; and</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62"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These limitations do not, however, apply to a suit instituted for payment on debt securities of any series on or after the due dates expressed in the debt securities.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periodically deliver certificates to the trustee regarding our compliance with our obligations under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62" w:lineRule="exact"/>
        <w:rPr>
          <w:sz w:val="20"/>
          <w:szCs w:val="20"/>
          <w:color w:val="auto"/>
        </w:rPr>
      </w:pPr>
    </w:p>
    <w:p>
      <w:pPr>
        <w:ind w:left="66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to provide that the surviving entity following a change of control of StemCells, Inc. permitted under the indenture will assume all of our obligations under the indenture and debt securities;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to provide for certificated debt securities in addition to uncertificated debt securities;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to comply with any requirements of the SEC under the Trust Indenture Act of 1939;</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to cure any ambiguity, defect or inconsistency, or make any other change that does not materially and adversely affect the rights of any holder; and</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to appoint a successor trustee under the indenture with respect to one or more series.</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From time to time we and the trustee may, with the consent of holders of at least a majority in principal amount of an outstanding series of debt securities, amend or supplement the indenture or the debt securities of such series, or waive compliance in a particular instance by us with any provision of the indenture or such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63" w:lineRule="exact"/>
        <w:rPr>
          <w:sz w:val="20"/>
          <w:szCs w:val="20"/>
          <w:color w:val="auto"/>
        </w:rPr>
      </w:pPr>
    </w:p>
    <w:p>
      <w:pPr>
        <w:ind w:left="660" w:hanging="436"/>
        <w:spacing w:after="0"/>
        <w:tabs>
          <w:tab w:leader="none" w:pos="66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reduce the amount of debt securities whose holders must consent to an amendment, supplement, or waiver to the indenture or such debt security;</w:t>
      </w:r>
    </w:p>
    <w:p>
      <w:pPr>
        <w:spacing w:after="0" w:line="153" w:lineRule="exact"/>
        <w:rPr>
          <w:rFonts w:ascii="Arial" w:cs="Arial" w:eastAsia="Arial" w:hAnsi="Arial"/>
          <w:sz w:val="16"/>
          <w:szCs w:val="16"/>
          <w:b w:val="1"/>
          <w:bCs w:val="1"/>
          <w:color w:val="auto"/>
        </w:rPr>
      </w:pPr>
    </w:p>
    <w:p>
      <w:pPr>
        <w:ind w:left="660" w:right="36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reduce the rate of or change the time for payment of interest or reduce amount of or postpone the date for payment of sinking fund or analogous obligations;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reduce the principal of or change the stated maturity of the debt securities;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make any debt security payable in money other than that stated in the debt security;</w:t>
      </w:r>
    </w:p>
    <w:p>
      <w:pPr>
        <w:spacing w:after="0" w:line="130"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change the amount or time of any payment required or reduce the premium payable upon any redemption, or change the time before which no such redemption may be made;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waive a default in the payment of the principal of, premium, if any, or interest on the debt securities or a redemption payment;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waive a redemption payment with respect to any debt securities or change any provision with respect to redemption of debt securities; or</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take any other action otherwise prohibited by the indenture to be taken without the consent of each holder affected by the 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62" w:lineRule="exact"/>
        <w:rPr>
          <w:sz w:val="20"/>
          <w:szCs w:val="20"/>
          <w:color w:val="auto"/>
        </w:rPr>
      </w:pPr>
    </w:p>
    <w:p>
      <w:pPr>
        <w:ind w:left="660" w:right="44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to defease and be discharged from any and all of our obligations with respect to any debt securities except for the following obligations (which discharge is referred to as “legal defeasance”):</w:t>
      </w:r>
    </w:p>
    <w:p>
      <w:pPr>
        <w:spacing w:after="0" w:line="62" w:lineRule="exact"/>
        <w:rPr>
          <w:rFonts w:ascii="Arial" w:cs="Arial" w:eastAsia="Arial" w:hAnsi="Arial"/>
          <w:sz w:val="18"/>
          <w:szCs w:val="18"/>
          <w:b w:val="1"/>
          <w:bCs w:val="1"/>
          <w:color w:val="auto"/>
        </w:rPr>
      </w:pPr>
    </w:p>
    <w:p>
      <w:pPr>
        <w:ind w:left="1160" w:hanging="252"/>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register the transfer or exchange of such debt securities;</w:t>
      </w:r>
    </w:p>
    <w:p>
      <w:pPr>
        <w:spacing w:after="0" w:line="117" w:lineRule="exact"/>
        <w:rPr>
          <w:rFonts w:ascii="Arial" w:cs="Arial" w:eastAsia="Arial" w:hAnsi="Arial"/>
          <w:sz w:val="18"/>
          <w:szCs w:val="18"/>
          <w:color w:val="auto"/>
        </w:rPr>
      </w:pPr>
    </w:p>
    <w:p>
      <w:pPr>
        <w:ind w:left="1160" w:hanging="252"/>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replace temporary or mutilated, destroyed, lost or stolen debt securities;</w:t>
      </w:r>
    </w:p>
    <w:p>
      <w:pPr>
        <w:spacing w:after="0" w:line="117" w:lineRule="exact"/>
        <w:rPr>
          <w:rFonts w:ascii="Arial" w:cs="Arial" w:eastAsia="Arial" w:hAnsi="Arial"/>
          <w:sz w:val="18"/>
          <w:szCs w:val="18"/>
          <w:color w:val="auto"/>
        </w:rPr>
      </w:pPr>
    </w:p>
    <w:p>
      <w:pPr>
        <w:ind w:left="1160" w:hanging="252"/>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compensate and indemnify the trustee; or</w:t>
      </w:r>
    </w:p>
    <w:p>
      <w:pPr>
        <w:spacing w:after="0" w:line="117" w:lineRule="exact"/>
        <w:rPr>
          <w:rFonts w:ascii="Arial" w:cs="Arial" w:eastAsia="Arial" w:hAnsi="Arial"/>
          <w:sz w:val="18"/>
          <w:szCs w:val="18"/>
          <w:color w:val="auto"/>
        </w:rPr>
      </w:pPr>
    </w:p>
    <w:p>
      <w:pPr>
        <w:ind w:left="1160" w:hanging="252"/>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maintain an office or agency in respect of the debt securities and to hold monies for payment in trust; or</w:t>
      </w:r>
    </w:p>
    <w:p>
      <w:pPr>
        <w:spacing w:after="0" w:line="117" w:lineRule="exact"/>
        <w:rPr>
          <w:rFonts w:ascii="Arial" w:cs="Arial" w:eastAsia="Arial" w:hAnsi="Arial"/>
          <w:sz w:val="18"/>
          <w:szCs w:val="18"/>
          <w:color w:val="auto"/>
        </w:rPr>
      </w:pPr>
    </w:p>
    <w:p>
      <w:pPr>
        <w:ind w:left="660" w:right="220" w:hanging="436"/>
        <w:spacing w:after="0" w:line="342" w:lineRule="auto"/>
        <w:tabs>
          <w:tab w:leader="none" w:pos="66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order to exercise either defeasance option, we must deposit with the trustee or other qualifying trustee, in trust for that purpose:</w:t>
      </w:r>
    </w:p>
    <w:p>
      <w:pPr>
        <w:spacing w:after="0" w:line="117"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money;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20" w:hanging="436"/>
        <w:spacing w:after="0" w:line="277"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U.S. Government Obligations (as described below) or Foreign Government Obligations (as described below) which through the scheduled payment of principal and interest in accordance with their terms will provide money; or</w:t>
      </w:r>
    </w:p>
    <w:p>
      <w:pPr>
        <w:spacing w:after="0" w:line="75"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 combination of money and/or U.S. Government Obligations and/or Foreign Government Obligations sufficient, in the written opinion of a nationally-recognized firm of independent accountants, to provide money;</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which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defeasance may be effected only if, among other things:</w:t>
      </w:r>
    </w:p>
    <w:p>
      <w:pPr>
        <w:spacing w:after="0" w:line="117" w:lineRule="exact"/>
        <w:rPr>
          <w:sz w:val="20"/>
          <w:szCs w:val="20"/>
          <w:color w:val="auto"/>
        </w:rPr>
      </w:pPr>
    </w:p>
    <w:p>
      <w:pPr>
        <w:jc w:val="both"/>
        <w:ind w:left="660" w:right="40" w:hanging="436"/>
        <w:spacing w:after="0" w:line="342" w:lineRule="auto"/>
        <w:tabs>
          <w:tab w:leader="none" w:pos="66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29" w:lineRule="exact"/>
        <w:rPr>
          <w:rFonts w:ascii="Arial" w:cs="Arial" w:eastAsia="Arial" w:hAnsi="Arial"/>
          <w:sz w:val="16"/>
          <w:szCs w:val="16"/>
          <w:b w:val="1"/>
          <w:bCs w:val="1"/>
          <w:color w:val="auto"/>
        </w:rPr>
      </w:pPr>
    </w:p>
    <w:p>
      <w:pPr>
        <w:ind w:left="660" w:right="40" w:hanging="436"/>
        <w:spacing w:after="0" w:line="297" w:lineRule="auto"/>
        <w:tabs>
          <w:tab w:leader="none" w:pos="66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63" w:lineRule="exact"/>
        <w:rPr>
          <w:rFonts w:ascii="Arial" w:cs="Arial" w:eastAsia="Arial" w:hAnsi="Arial"/>
          <w:sz w:val="16"/>
          <w:szCs w:val="16"/>
          <w:b w:val="1"/>
          <w:bCs w:val="1"/>
          <w:color w:val="auto"/>
        </w:rPr>
      </w:pPr>
    </w:p>
    <w:p>
      <w:pPr>
        <w:jc w:val="both"/>
        <w:ind w:left="660" w:right="40" w:hanging="436"/>
        <w:spacing w:after="0" w:line="312" w:lineRule="auto"/>
        <w:tabs>
          <w:tab w:leader="none" w:pos="66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52" w:lineRule="exact"/>
        <w:rPr>
          <w:rFonts w:ascii="Arial" w:cs="Arial" w:eastAsia="Arial" w:hAnsi="Arial"/>
          <w:sz w:val="16"/>
          <w:szCs w:val="16"/>
          <w:b w:val="1"/>
          <w:bCs w:val="1"/>
          <w:color w:val="auto"/>
        </w:rPr>
      </w:pPr>
    </w:p>
    <w:p>
      <w:pPr>
        <w:ind w:left="660" w:hanging="436"/>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certain other conditions described in the indenture are satisfied.</w:t>
      </w:r>
    </w:p>
    <w:p>
      <w:pPr>
        <w:spacing w:after="0" w:line="117"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46" w:lineRule="exact"/>
        <w:rPr>
          <w:sz w:val="20"/>
          <w:szCs w:val="20"/>
          <w:color w:val="auto"/>
        </w:rPr>
      </w:pPr>
    </w:p>
    <w:p>
      <w:pPr>
        <w:jc w:val="both"/>
        <w:ind w:right="440" w:firstLine="222"/>
        <w:spacing w:after="0" w:line="264" w:lineRule="auto"/>
        <w:rPr>
          <w:sz w:val="20"/>
          <w:szCs w:val="20"/>
          <w:color w:val="auto"/>
        </w:rPr>
      </w:pPr>
      <w:r>
        <w:rPr>
          <w:rFonts w:ascii="Arial" w:cs="Arial" w:eastAsia="Arial" w:hAnsi="Arial"/>
          <w:sz w:val="18"/>
          <w:szCs w:val="18"/>
          <w:color w:val="auto"/>
        </w:rPr>
        <w:t>The term “U.S. Government Obligations” as used in the above discussion means securities which are direct obligations of or non-callable obligations guaranteed by the United States of America for the payment of which obligation or guarantee the full faith and credit of the United States of America is pledged.</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will identify the trustee with respect to any series of debt securities in the prospectus supplement relating to the applicable debt securities. You should note that if the trustee becomes a creditor of StemCells, Inc., the indenture and the Trust Indenture Act of 1939 limit the rights of the trustee to obtain payment of claims in certain cases, or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0" w:firstLine="222"/>
        <w:spacing w:after="0" w:line="342" w:lineRule="auto"/>
        <w:rPr>
          <w:sz w:val="20"/>
          <w:szCs w:val="20"/>
          <w:color w:val="auto"/>
        </w:rPr>
      </w:pPr>
      <w:r>
        <w:rPr>
          <w:rFonts w:ascii="Arial" w:cs="Arial" w:eastAsia="Arial" w:hAnsi="Arial"/>
          <w:sz w:val="16"/>
          <w:szCs w:val="16"/>
          <w:color w:val="auto"/>
        </w:rPr>
        <w:t>We have filed a registration statement on Form S-3 with the SEC for the stock we are offering by this prospectus. This prospectus does not include all of the information contained in the registration statement. You should refer to the registration statement and its exhibits for additional information.</w:t>
      </w:r>
    </w:p>
    <w:p>
      <w:pPr>
        <w:spacing w:after="0" w:line="16"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are required to file annual and quarterly reports, special reports, proxy statements, and other information with the SEC. We make these documents publicly available, free of charge, on our website at www.stemcellsinc.com as soon as reasonably practicable after filing such documents with the SEC. You can read our SEC filings, including the registration statement, on the SEC’s website at http://www.sec.gov. You also may read and copy any document we file with the SEC at its public reference facility at: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Public Reference Room</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call the SEC at 1-800-732-0330 for further information on the operation of the public reference facilities.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the documents listed below into this prospectus, and any future filings made by us with the SEC under Section 13(a), 13(c), 14 or 15(d) of the Exchange Act until we close this offering, including all filings made after the date of the initial registration statement and prior to the effectiveness of the registration statement. We hereby incorporate by reference the following documents:</w:t>
      </w:r>
    </w:p>
    <w:p>
      <w:pPr>
        <w:spacing w:after="0" w:line="70"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(as amended) for the year ended December 31, 2007 (File No. 000-19871);</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Our Quarterly Report on Form 10-Q for the quarter ended March 31, 2008 (File No. 000-19871);</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Our Current Reports on Form 8-K filed on March 5, 2008, March 21, 2008 and May 13, 2008 (File No. 000-19871);</w:t>
      </w:r>
    </w:p>
    <w:p>
      <w:pPr>
        <w:spacing w:after="0" w:line="130"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description of our common stock contained in our registration statements on Form 8-A (File No. 000-19871) filed August 3, 1998, under the Exchange Act, including any amendment or report filed for the purpose of updating such description;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Our definitive Proxy Statement on Form DEF 14A filed on June 9, 2008 (File No. 000-19871).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Phone: (650) 475-3100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irpr@stemcellsinc.com</w:t>
      </w:r>
    </w:p>
    <w:p>
      <w:pPr>
        <w:spacing w:after="0" w:line="103"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Copies of these filings are also available, without charge, on our Internet website at www.stemcellsinc.com as soon as reasonably practicable after they are filed electronically with the SEC. The information contained on our website is not a part of this prospectus.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60" w:firstLine="222"/>
        <w:spacing w:after="0" w:line="308" w:lineRule="auto"/>
        <w:rPr>
          <w:sz w:val="20"/>
          <w:szCs w:val="20"/>
          <w:color w:val="auto"/>
        </w:rPr>
      </w:pPr>
      <w:r>
        <w:rPr>
          <w:rFonts w:ascii="Arial" w:cs="Arial" w:eastAsia="Arial" w:hAnsi="Arial"/>
          <w:sz w:val="17"/>
          <w:szCs w:val="17"/>
          <w:color w:val="auto"/>
        </w:rPr>
        <w:t>The validity of the issuance of the securities offered hereby will be passed upon for us by Ropes &amp; Gray LLP, Boston, Massachusetts. The validity of any securities will be passed upon for any underwriters or agents by counsel that we will name in the applicable prospectus supplement.</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620" w:firstLine="222"/>
        <w:spacing w:after="0" w:line="302" w:lineRule="auto"/>
        <w:rPr>
          <w:sz w:val="20"/>
          <w:szCs w:val="20"/>
          <w:color w:val="auto"/>
        </w:rPr>
      </w:pPr>
      <w:r>
        <w:rPr>
          <w:rFonts w:ascii="Arial" w:cs="Arial" w:eastAsia="Arial" w:hAnsi="Arial"/>
          <w:sz w:val="16"/>
          <w:szCs w:val="16"/>
          <w:color w:val="auto"/>
        </w:rPr>
        <w:t xml:space="preserve">The consolidated financial statements and management’s assessment of the effectiveness of internal control over financial reporting have been incorporated by reference herein and in the registration statement in reliance upon the reports of Grant Thornton LLP, independent registered public accountants (which reports expressed an unqualified opinion and contain an explanatory paragraph relating to the adoption of Statement of Financial Accounting Standards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upon the authority of said firm as experts in accounting and auditing.</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$100,000,000</w:t>
      </w:r>
    </w:p>
    <w:p>
      <w:pPr>
        <w:spacing w:after="0" w:line="11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Debt Securities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w:t>
      </w:r>
    </w:p>
    <w:p>
      <w:pPr>
        <w:spacing w:after="0" w:line="12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-10160</wp:posOffset>
            </wp:positionV>
            <wp:extent cx="1143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shares in any jurisdiction where it is unlawful. Neither the delivery of this prospectus, nor any sale made hereunder, shall create any implication that the information in this prospectus is correct after the date hereof.</w:t>
      </w:r>
    </w:p>
    <w:p>
      <w:pPr>
        <w:spacing w:after="0" w:line="1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table sets forth the various expenses in connection with the sale and distribution of the securities being registered. All amounts shown are estimates, except the SEC registration fee. The registrant has agreed to pay these costs and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3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3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Transfer Agent and Registrar fees</w:t>
            </w:r>
          </w:p>
        </w:tc>
        <w:tc>
          <w:tcPr>
            <w:tcW w:w="3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Trust fees and expenses</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3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16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102,000*</w:t>
            </w:r>
          </w:p>
        </w:tc>
      </w:tr>
      <w:tr>
        <w:trPr>
          <w:trHeight w:val="297"/>
        </w:trPr>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7100" w:type="dxa"/>
            <w:vAlign w:val="bottom"/>
            <w:gridSpan w:val="2"/>
          </w:tcPr>
          <w:p>
            <w:pPr>
              <w:ind w:left="300"/>
              <w:spacing w:after="0"/>
              <w:rPr>
                <w:sz w:val="20"/>
                <w:szCs w:val="20"/>
                <w:color w:val="auto"/>
              </w:rPr>
            </w:pPr>
            <w:r>
              <w:rPr>
                <w:rFonts w:ascii="Arial" w:cs="Arial" w:eastAsia="Arial" w:hAnsi="Arial"/>
                <w:sz w:val="18"/>
                <w:szCs w:val="18"/>
                <w:color w:val="auto"/>
              </w:rPr>
              <w:t>Estimated.</w:t>
            </w:r>
          </w:p>
        </w:tc>
        <w:tc>
          <w:tcPr>
            <w:tcW w:w="3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7260" w:type="dxa"/>
            <w:vAlign w:val="bottom"/>
            <w:gridSpan w:val="3"/>
          </w:tcPr>
          <w:p>
            <w:pPr>
              <w:spacing w:after="0"/>
              <w:rPr>
                <w:sz w:val="20"/>
                <w:szCs w:val="20"/>
                <w:color w:val="auto"/>
              </w:rPr>
            </w:pPr>
            <w:r>
              <w:rPr>
                <w:rFonts w:ascii="Arial" w:cs="Arial" w:eastAsia="Arial" w:hAnsi="Arial"/>
                <w:sz w:val="18"/>
                <w:szCs w:val="18"/>
                <w:b w:val="1"/>
                <w:bCs w:val="1"/>
                <w:color w:val="auto"/>
              </w:rPr>
              <w:t>Item 15. Indemnification of Directors and Officers.</w:t>
            </w:r>
          </w:p>
        </w:tc>
        <w:tc>
          <w:tcPr>
            <w:tcW w:w="34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94"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against expenses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64"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(relating to unlawful payment of dividends and unlawful stock purchase and redemption) or (iv) for any transaction from which the director derived an improper personal benefit.</w:t>
      </w:r>
    </w:p>
    <w:p>
      <w:pPr>
        <w:spacing w:after="0" w:line="64"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Company’s restated certificate of incorporation provides that the Company’s Directors shall not be liable to the Company or its stockholders for monetary damages for breach of fiduciary duty as a director except to the extent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38"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Company has a liability insurance policy in effect which covers certain claims against any officer or director of the Company by reason of certain breaches of duty, neglect, errors or omissions committed by such person in his or her capacity as an officer or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beginning on page II-5 of this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480" w:hanging="247"/>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900" w:hanging="217"/>
        <w:spacing w:after="0"/>
        <w:tabs>
          <w:tab w:leader="none" w:pos="9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firstLine="683"/>
        <w:spacing w:after="0" w:line="273" w:lineRule="auto"/>
        <w:tabs>
          <w:tab w:leader="none" w:pos="937" w:val="left"/>
        </w:tabs>
        <w:numPr>
          <w:ilvl w:val="2"/>
          <w:numId w:val="2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70" w:lineRule="exact"/>
        <w:rPr>
          <w:rFonts w:ascii="Arial" w:cs="Arial" w:eastAsia="Arial" w:hAnsi="Arial"/>
          <w:sz w:val="17"/>
          <w:szCs w:val="17"/>
          <w:color w:val="auto"/>
        </w:rPr>
      </w:pPr>
    </w:p>
    <w:p>
      <w:pPr>
        <w:ind w:right="40" w:firstLine="683"/>
        <w:spacing w:after="0" w:line="277" w:lineRule="auto"/>
        <w:tabs>
          <w:tab w:leader="none" w:pos="987"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undertakings set forth in paragraphs (a)(1)(i), (a)(1)(ii) and (a)(1)(iii) above do not apply if the registration statement is on Form</w:t>
      </w:r>
      <w:r>
        <w:rPr>
          <w:rFonts w:ascii="Arial" w:cs="Arial" w:eastAsia="Arial" w:hAnsi="Arial"/>
          <w:sz w:val="16"/>
          <w:szCs w:val="16"/>
          <w:i w:val="1"/>
          <w:iCs w:val="1"/>
          <w:color w:val="auto"/>
        </w:rPr>
        <w:t xml:space="preserve"> </w:t>
      </w:r>
      <w:r>
        <w:rPr>
          <w:rFonts w:ascii="Arial" w:cs="Arial" w:eastAsia="Arial" w:hAnsi="Arial"/>
          <w:sz w:val="16"/>
          <w:szCs w:val="16"/>
          <w:color w:val="auto"/>
        </w:rPr>
        <w:t>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statements or is contained in a form of prospectus filed pursuant to Rule 424(b) that is a part of the registration statement</w:t>
      </w:r>
    </w:p>
    <w:p>
      <w:pPr>
        <w:spacing w:after="0" w:line="46" w:lineRule="exact"/>
        <w:rPr>
          <w:sz w:val="20"/>
          <w:szCs w:val="20"/>
          <w:color w:val="auto"/>
        </w:rPr>
      </w:pPr>
    </w:p>
    <w:p>
      <w:pPr>
        <w:ind w:right="220" w:firstLine="458"/>
        <w:spacing w:after="0" w:line="264" w:lineRule="auto"/>
        <w:tabs>
          <w:tab w:leader="none" w:pos="702"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right="140" w:firstLine="458"/>
        <w:spacing w:after="0" w:line="277" w:lineRule="auto"/>
        <w:tabs>
          <w:tab w:leader="none" w:pos="70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right="320" w:firstLine="458"/>
        <w:spacing w:after="0" w:line="277"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right="40" w:firstLine="458"/>
        <w:spacing w:after="0" w:line="264"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58" w:lineRule="exact"/>
        <w:rPr>
          <w:sz w:val="20"/>
          <w:szCs w:val="20"/>
          <w:color w:val="auto"/>
        </w:rPr>
      </w:pPr>
    </w:p>
    <w:p>
      <w:pPr>
        <w:ind w:firstLine="233"/>
        <w:spacing w:after="0" w:line="286" w:lineRule="auto"/>
        <w:tabs>
          <w:tab w:leader="none" w:pos="467"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 w:lineRule="exact"/>
        <w:rPr>
          <w:rFonts w:ascii="Arial" w:cs="Arial" w:eastAsia="Arial" w:hAnsi="Arial"/>
          <w:sz w:val="16"/>
          <w:szCs w:val="16"/>
          <w:color w:val="auto"/>
        </w:rPr>
      </w:pPr>
    </w:p>
    <w:p>
      <w:pPr>
        <w:ind w:right="60" w:firstLine="8"/>
        <w:spacing w:after="0" w:line="253" w:lineRule="auto"/>
        <w:tabs>
          <w:tab w:leader="none" w:pos="2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83" w:lineRule="exact"/>
        <w:rPr>
          <w:rFonts w:ascii="Arial" w:cs="Arial" w:eastAsia="Arial" w:hAnsi="Arial"/>
          <w:sz w:val="18"/>
          <w:szCs w:val="18"/>
          <w:color w:val="auto"/>
        </w:rPr>
      </w:pPr>
    </w:p>
    <w:p>
      <w:pPr>
        <w:ind w:left="480" w:hanging="247"/>
        <w:spacing w:after="0"/>
        <w:tabs>
          <w:tab w:leader="none" w:pos="4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(i) for purposes of determining any liability under the Securities Act of 1933, the information</w:t>
      </w:r>
    </w:p>
    <w:p>
      <w:pPr>
        <w:spacing w:after="0" w:line="34"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 (ii)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3" w:lineRule="exact"/>
        <w:rPr>
          <w:rFonts w:ascii="Arial" w:cs="Arial" w:eastAsia="Arial" w:hAnsi="Arial"/>
          <w:sz w:val="17"/>
          <w:szCs w:val="17"/>
          <w:color w:val="auto"/>
        </w:rPr>
      </w:pPr>
    </w:p>
    <w:p>
      <w:pPr>
        <w:ind w:right="80" w:firstLine="233"/>
        <w:spacing w:after="0" w:line="264" w:lineRule="auto"/>
        <w:tabs>
          <w:tab w:leader="none" w:pos="47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and when applicable, 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73" w:lineRule="exact"/>
        <w:rPr>
          <w:rFonts w:ascii="Arial" w:cs="Arial" w:eastAsia="Arial" w:hAnsi="Arial"/>
          <w:sz w:val="18"/>
          <w:szCs w:val="18"/>
          <w:color w:val="auto"/>
        </w:rPr>
      </w:pPr>
    </w:p>
    <w:p>
      <w:pPr>
        <w:ind w:firstLine="233"/>
        <w:spacing w:after="0" w:line="271" w:lineRule="auto"/>
        <w:tabs>
          <w:tab w:leader="none" w:pos="450" w:val="left"/>
        </w:tabs>
        <w:numPr>
          <w:ilvl w:val="1"/>
          <w:numId w:val="3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Palo Alto, State of California, on the 24th day of June, 2008.</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TEM</w:t>
      </w:r>
      <w:r>
        <w:rPr>
          <w:rFonts w:ascii="Arial" w:cs="Arial" w:eastAsia="Arial" w:hAnsi="Arial"/>
          <w:sz w:val="18"/>
          <w:szCs w:val="18"/>
          <w:b w:val="1"/>
          <w:bCs w:val="1"/>
          <w:color w:val="auto"/>
        </w:rPr>
        <w:t>C</w:t>
      </w:r>
      <w:r>
        <w:rPr>
          <w:rFonts w:ascii="Arial" w:cs="Arial" w:eastAsia="Arial" w:hAnsi="Arial"/>
          <w:sz w:val="12"/>
          <w:szCs w:val="12"/>
          <w:b w:val="1"/>
          <w:bCs w:val="1"/>
          <w:color w:val="auto"/>
        </w:rPr>
        <w:t>ELLS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Martin M. McGlynn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Each person whose signature appears below constitutes and appoints Martin M. McGlynn and Rodney K.B. Young, and each of them singly,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S-3 to be filed by StemCells,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400"/>
          </w:cols>
          <w:pgMar w:left="240" w:top="419" w:right="2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 McGlynn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K.B. Young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George Koshy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Eric Bjerkholt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Eric Bjerkholt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Ricardo B. Levy,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907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Ricardo B. Levy, Ph.D.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 Desmond H. O’Connell,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907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Desmond H. O’Connell, Jr.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 Roger M. Perlmutter,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907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Roger M. Perlmutter,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John J. Schwartz,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907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John J. Schwartz, Ph.D.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 Irving L. Weissman,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907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Irving L. Weissman, M.D.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jc w:val="center"/>
              <w:ind w:right="270"/>
              <w:spacing w:after="0"/>
              <w:rPr>
                <w:sz w:val="20"/>
                <w:szCs w:val="20"/>
                <w:color w:val="auto"/>
              </w:rPr>
            </w:pPr>
            <w:r>
              <w:rPr>
                <w:rFonts w:ascii="Arial" w:cs="Arial" w:eastAsia="Arial" w:hAnsi="Arial"/>
                <w:sz w:val="18"/>
                <w:szCs w:val="18"/>
                <w:color w:val="auto"/>
                <w:w w:val="92"/>
              </w:rPr>
              <w:t>President and Chief Executive Officer and Director (principal</w:t>
            </w:r>
          </w:p>
        </w:tc>
        <w:tc>
          <w:tcPr>
            <w:tcW w:w="1340" w:type="dxa"/>
            <w:vAlign w:val="bottom"/>
          </w:tcPr>
          <w:p>
            <w:pPr>
              <w:ind w:left="340"/>
              <w:spacing w:after="0"/>
              <w:rPr>
                <w:sz w:val="20"/>
                <w:szCs w:val="20"/>
                <w:color w:val="auto"/>
              </w:rPr>
            </w:pPr>
            <w:r>
              <w:rPr>
                <w:rFonts w:ascii="Arial" w:cs="Arial" w:eastAsia="Arial" w:hAnsi="Arial"/>
                <w:sz w:val="18"/>
                <w:szCs w:val="18"/>
                <w:color w:val="auto"/>
                <w:w w:val="85"/>
              </w:rPr>
              <w:t>June 24, 2008</w:t>
            </w:r>
          </w:p>
        </w:tc>
      </w:tr>
      <w:tr>
        <w:trPr>
          <w:trHeight w:val="230"/>
        </w:trPr>
        <w:tc>
          <w:tcPr>
            <w:tcW w:w="4800" w:type="dxa"/>
            <w:vAlign w:val="bottom"/>
          </w:tcPr>
          <w:p>
            <w:pPr>
              <w:jc w:val="center"/>
              <w:ind w:right="250"/>
              <w:spacing w:after="0"/>
              <w:rPr>
                <w:sz w:val="20"/>
                <w:szCs w:val="20"/>
                <w:color w:val="auto"/>
              </w:rPr>
            </w:pPr>
            <w:r>
              <w:rPr>
                <w:rFonts w:ascii="Arial" w:cs="Arial" w:eastAsia="Arial" w:hAnsi="Arial"/>
                <w:sz w:val="18"/>
                <w:szCs w:val="18"/>
                <w:color w:val="auto"/>
                <w:w w:val="92"/>
              </w:rPr>
              <w:t>executive officer)</w:t>
            </w:r>
          </w:p>
        </w:tc>
        <w:tc>
          <w:tcPr>
            <w:tcW w:w="1340" w:type="dxa"/>
            <w:vAlign w:val="bottom"/>
          </w:tcPr>
          <w:p>
            <w:pPr>
              <w:spacing w:after="0"/>
              <w:rPr>
                <w:sz w:val="20"/>
                <w:szCs w:val="20"/>
                <w:color w:val="auto"/>
              </w:rPr>
            </w:pPr>
          </w:p>
        </w:tc>
      </w:tr>
      <w:tr>
        <w:trPr>
          <w:trHeight w:val="418"/>
        </w:trPr>
        <w:tc>
          <w:tcPr>
            <w:tcW w:w="4800" w:type="dxa"/>
            <w:vAlign w:val="bottom"/>
          </w:tcPr>
          <w:p>
            <w:pPr>
              <w:jc w:val="center"/>
              <w:ind w:right="270"/>
              <w:spacing w:after="0"/>
              <w:rPr>
                <w:sz w:val="20"/>
                <w:szCs w:val="20"/>
                <w:color w:val="auto"/>
              </w:rPr>
            </w:pPr>
            <w:r>
              <w:rPr>
                <w:rFonts w:ascii="Arial" w:cs="Arial" w:eastAsia="Arial" w:hAnsi="Arial"/>
                <w:sz w:val="18"/>
                <w:szCs w:val="18"/>
                <w:color w:val="auto"/>
                <w:w w:val="94"/>
              </w:rPr>
              <w:t>Chief Financial Officer</w:t>
            </w:r>
          </w:p>
        </w:tc>
        <w:tc>
          <w:tcPr>
            <w:tcW w:w="1340" w:type="dxa"/>
            <w:vAlign w:val="bottom"/>
          </w:tcPr>
          <w:p>
            <w:pPr>
              <w:ind w:left="340"/>
              <w:spacing w:after="0"/>
              <w:rPr>
                <w:sz w:val="20"/>
                <w:szCs w:val="20"/>
                <w:color w:val="auto"/>
              </w:rPr>
            </w:pPr>
            <w:r>
              <w:rPr>
                <w:rFonts w:ascii="Arial" w:cs="Arial" w:eastAsia="Arial" w:hAnsi="Arial"/>
                <w:sz w:val="18"/>
                <w:szCs w:val="18"/>
                <w:color w:val="auto"/>
                <w:w w:val="85"/>
              </w:rPr>
              <w:t>June 24, 2008</w:t>
            </w:r>
          </w:p>
        </w:tc>
      </w:tr>
      <w:tr>
        <w:trPr>
          <w:trHeight w:val="230"/>
        </w:trPr>
        <w:tc>
          <w:tcPr>
            <w:tcW w:w="4800" w:type="dxa"/>
            <w:vAlign w:val="bottom"/>
          </w:tcPr>
          <w:p>
            <w:pPr>
              <w:jc w:val="center"/>
              <w:ind w:right="270"/>
              <w:spacing w:after="0"/>
              <w:rPr>
                <w:sz w:val="20"/>
                <w:szCs w:val="20"/>
                <w:color w:val="auto"/>
              </w:rPr>
            </w:pPr>
            <w:r>
              <w:rPr>
                <w:rFonts w:ascii="Arial" w:cs="Arial" w:eastAsia="Arial" w:hAnsi="Arial"/>
                <w:sz w:val="18"/>
                <w:szCs w:val="18"/>
                <w:color w:val="auto"/>
                <w:w w:val="96"/>
              </w:rPr>
              <w:t>(principal financial officer)</w:t>
            </w:r>
          </w:p>
        </w:tc>
        <w:tc>
          <w:tcPr>
            <w:tcW w:w="1340" w:type="dxa"/>
            <w:vAlign w:val="bottom"/>
          </w:tcPr>
          <w:p>
            <w:pPr>
              <w:spacing w:after="0"/>
              <w:rPr>
                <w:sz w:val="20"/>
                <w:szCs w:val="20"/>
                <w:color w:val="auto"/>
              </w:rPr>
            </w:pPr>
          </w:p>
        </w:tc>
      </w:tr>
      <w:tr>
        <w:trPr>
          <w:trHeight w:val="418"/>
        </w:trPr>
        <w:tc>
          <w:tcPr>
            <w:tcW w:w="4800" w:type="dxa"/>
            <w:vAlign w:val="bottom"/>
          </w:tcPr>
          <w:p>
            <w:pPr>
              <w:jc w:val="center"/>
              <w:ind w:right="270"/>
              <w:spacing w:after="0"/>
              <w:rPr>
                <w:sz w:val="20"/>
                <w:szCs w:val="20"/>
                <w:color w:val="auto"/>
              </w:rPr>
            </w:pPr>
            <w:r>
              <w:rPr>
                <w:rFonts w:ascii="Arial" w:cs="Arial" w:eastAsia="Arial" w:hAnsi="Arial"/>
                <w:sz w:val="18"/>
                <w:szCs w:val="18"/>
                <w:color w:val="auto"/>
                <w:w w:val="94"/>
              </w:rPr>
              <w:t>Chief Accounting Officer</w:t>
            </w:r>
          </w:p>
        </w:tc>
        <w:tc>
          <w:tcPr>
            <w:tcW w:w="1340" w:type="dxa"/>
            <w:vAlign w:val="bottom"/>
          </w:tcPr>
          <w:p>
            <w:pPr>
              <w:ind w:left="340"/>
              <w:spacing w:after="0"/>
              <w:rPr>
                <w:sz w:val="20"/>
                <w:szCs w:val="20"/>
                <w:color w:val="auto"/>
              </w:rPr>
            </w:pPr>
            <w:r>
              <w:rPr>
                <w:rFonts w:ascii="Arial" w:cs="Arial" w:eastAsia="Arial" w:hAnsi="Arial"/>
                <w:sz w:val="18"/>
                <w:szCs w:val="18"/>
                <w:color w:val="auto"/>
                <w:w w:val="85"/>
              </w:rPr>
              <w:t>June 24, 2008</w:t>
            </w:r>
          </w:p>
        </w:tc>
      </w:tr>
      <w:tr>
        <w:trPr>
          <w:trHeight w:val="230"/>
        </w:trPr>
        <w:tc>
          <w:tcPr>
            <w:tcW w:w="4800" w:type="dxa"/>
            <w:vAlign w:val="bottom"/>
          </w:tcPr>
          <w:p>
            <w:pPr>
              <w:jc w:val="center"/>
              <w:ind w:right="270"/>
              <w:spacing w:after="0"/>
              <w:rPr>
                <w:sz w:val="20"/>
                <w:szCs w:val="20"/>
                <w:color w:val="auto"/>
              </w:rPr>
            </w:pPr>
            <w:r>
              <w:rPr>
                <w:rFonts w:ascii="Arial" w:cs="Arial" w:eastAsia="Arial" w:hAnsi="Arial"/>
                <w:sz w:val="18"/>
                <w:szCs w:val="18"/>
                <w:color w:val="auto"/>
                <w:w w:val="94"/>
              </w:rPr>
              <w:t>(principal accounting officer)</w:t>
            </w:r>
          </w:p>
        </w:tc>
        <w:tc>
          <w:tcPr>
            <w:tcW w:w="1340" w:type="dxa"/>
            <w:vAlign w:val="bottom"/>
          </w:tcPr>
          <w:p>
            <w:pPr>
              <w:spacing w:after="0"/>
              <w:rPr>
                <w:sz w:val="20"/>
                <w:szCs w:val="20"/>
                <w:color w:val="auto"/>
              </w:rPr>
            </w:pPr>
          </w:p>
        </w:tc>
      </w:tr>
      <w:tr>
        <w:trPr>
          <w:trHeight w:val="432"/>
        </w:trPr>
        <w:tc>
          <w:tcPr>
            <w:tcW w:w="480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ind w:left="340"/>
              <w:spacing w:after="0"/>
              <w:rPr>
                <w:sz w:val="20"/>
                <w:szCs w:val="20"/>
                <w:color w:val="auto"/>
              </w:rPr>
            </w:pPr>
            <w:r>
              <w:rPr>
                <w:rFonts w:ascii="Arial" w:cs="Arial" w:eastAsia="Arial" w:hAnsi="Arial"/>
                <w:sz w:val="18"/>
                <w:szCs w:val="18"/>
                <w:color w:val="auto"/>
                <w:w w:val="85"/>
              </w:rPr>
              <w:t>June 24, 2008</w:t>
            </w:r>
          </w:p>
        </w:tc>
      </w:tr>
      <w:tr>
        <w:trPr>
          <w:trHeight w:val="459"/>
        </w:trPr>
        <w:tc>
          <w:tcPr>
            <w:tcW w:w="480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ind w:left="340"/>
              <w:spacing w:after="0"/>
              <w:rPr>
                <w:sz w:val="20"/>
                <w:szCs w:val="20"/>
                <w:color w:val="auto"/>
              </w:rPr>
            </w:pPr>
            <w:r>
              <w:rPr>
                <w:rFonts w:ascii="Arial" w:cs="Arial" w:eastAsia="Arial" w:hAnsi="Arial"/>
                <w:sz w:val="18"/>
                <w:szCs w:val="18"/>
                <w:color w:val="auto"/>
                <w:w w:val="85"/>
              </w:rPr>
              <w:t>June 17, 2008</w:t>
            </w:r>
          </w:p>
        </w:tc>
      </w:tr>
      <w:tr>
        <w:trPr>
          <w:trHeight w:val="459"/>
        </w:trPr>
        <w:tc>
          <w:tcPr>
            <w:tcW w:w="480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ind w:left="340"/>
              <w:spacing w:after="0"/>
              <w:rPr>
                <w:sz w:val="20"/>
                <w:szCs w:val="20"/>
                <w:color w:val="auto"/>
              </w:rPr>
            </w:pPr>
            <w:r>
              <w:rPr>
                <w:rFonts w:ascii="Arial" w:cs="Arial" w:eastAsia="Arial" w:hAnsi="Arial"/>
                <w:sz w:val="18"/>
                <w:szCs w:val="18"/>
                <w:color w:val="auto"/>
                <w:w w:val="85"/>
              </w:rPr>
              <w:t>June 17, 2008</w:t>
            </w:r>
          </w:p>
        </w:tc>
      </w:tr>
      <w:tr>
        <w:trPr>
          <w:trHeight w:val="459"/>
        </w:trPr>
        <w:tc>
          <w:tcPr>
            <w:tcW w:w="480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ind w:left="340"/>
              <w:spacing w:after="0"/>
              <w:rPr>
                <w:sz w:val="20"/>
                <w:szCs w:val="20"/>
                <w:color w:val="auto"/>
              </w:rPr>
            </w:pPr>
            <w:r>
              <w:rPr>
                <w:rFonts w:ascii="Arial" w:cs="Arial" w:eastAsia="Arial" w:hAnsi="Arial"/>
                <w:sz w:val="18"/>
                <w:szCs w:val="18"/>
                <w:color w:val="auto"/>
                <w:w w:val="85"/>
              </w:rPr>
              <w:t>June 24, 2008</w:t>
            </w:r>
          </w:p>
        </w:tc>
      </w:tr>
      <w:tr>
        <w:trPr>
          <w:trHeight w:val="459"/>
        </w:trPr>
        <w:tc>
          <w:tcPr>
            <w:tcW w:w="4800" w:type="dxa"/>
            <w:vAlign w:val="bottom"/>
          </w:tcPr>
          <w:p>
            <w:pPr>
              <w:jc w:val="center"/>
              <w:ind w:right="250"/>
              <w:spacing w:after="0"/>
              <w:rPr>
                <w:sz w:val="20"/>
                <w:szCs w:val="20"/>
                <w:color w:val="auto"/>
              </w:rPr>
            </w:pPr>
            <w:r>
              <w:rPr>
                <w:rFonts w:ascii="Arial" w:cs="Arial" w:eastAsia="Arial" w:hAnsi="Arial"/>
                <w:sz w:val="18"/>
                <w:szCs w:val="18"/>
                <w:color w:val="auto"/>
                <w:w w:val="92"/>
              </w:rPr>
              <w:t>Director, Chairman of the Board</w:t>
            </w:r>
          </w:p>
        </w:tc>
        <w:tc>
          <w:tcPr>
            <w:tcW w:w="1340" w:type="dxa"/>
            <w:vAlign w:val="bottom"/>
          </w:tcPr>
          <w:p>
            <w:pPr>
              <w:ind w:left="340"/>
              <w:spacing w:after="0"/>
              <w:rPr>
                <w:sz w:val="20"/>
                <w:szCs w:val="20"/>
                <w:color w:val="auto"/>
              </w:rPr>
            </w:pPr>
            <w:r>
              <w:rPr>
                <w:rFonts w:ascii="Arial" w:cs="Arial" w:eastAsia="Arial" w:hAnsi="Arial"/>
                <w:sz w:val="18"/>
                <w:szCs w:val="18"/>
                <w:color w:val="auto"/>
                <w:w w:val="85"/>
              </w:rPr>
              <w:t>June 24, 2008</w:t>
            </w:r>
          </w:p>
        </w:tc>
      </w:tr>
      <w:tr>
        <w:trPr>
          <w:trHeight w:val="459"/>
        </w:trPr>
        <w:tc>
          <w:tcPr>
            <w:tcW w:w="480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ind w:left="340"/>
              <w:spacing w:after="0"/>
              <w:rPr>
                <w:sz w:val="20"/>
                <w:szCs w:val="20"/>
                <w:color w:val="auto"/>
              </w:rPr>
            </w:pPr>
            <w:r>
              <w:rPr>
                <w:rFonts w:ascii="Arial" w:cs="Arial" w:eastAsia="Arial" w:hAnsi="Arial"/>
                <w:sz w:val="18"/>
                <w:szCs w:val="18"/>
                <w:color w:val="auto"/>
                <w:w w:val="85"/>
              </w:rPr>
              <w:t>June 24, 2008</w:t>
            </w:r>
          </w:p>
        </w:tc>
      </w:tr>
      <w:tr>
        <w:trPr>
          <w:trHeight w:val="432"/>
        </w:trPr>
        <w:tc>
          <w:tcPr>
            <w:tcW w:w="4800" w:type="dxa"/>
            <w:vAlign w:val="bottom"/>
          </w:tcPr>
          <w:p>
            <w:pPr>
              <w:ind w:left="600"/>
              <w:spacing w:after="0"/>
              <w:rPr>
                <w:sz w:val="20"/>
                <w:szCs w:val="20"/>
                <w:color w:val="auto"/>
              </w:rPr>
            </w:pPr>
            <w:r>
              <w:rPr>
                <w:rFonts w:ascii="Arial" w:cs="Arial" w:eastAsia="Arial" w:hAnsi="Arial"/>
                <w:sz w:val="18"/>
                <w:szCs w:val="18"/>
                <w:color w:val="auto"/>
              </w:rPr>
              <w:t>II-4</w:t>
            </w: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135255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260" w:space="720"/>
            <w:col w:w="6420"/>
          </w:cols>
          <w:pgMar w:left="240" w:top="419"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list of exhibits filed as part of this registration statement.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rPr>
              <w:t>Form of underwriting agreement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Common Stock Warrant Agreement and Warrant Certificate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Preferred Stock Warrant Agreement and Warrant Certificate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Debt Securities Warrant Agreement and Warrant Certificate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Indenture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Ropes &amp; Gray, LLP</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re: Computation of Ratios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Ropes &amp; Gray LLP (included in Exhibit 5.1)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Grant Thornton LLP</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attorney—included on the signature page</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of Eligibility of Trustee Under Debt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filed, if necessary, subsequent to the effectiveness of this registration statement by an amendment to this registration statement or incorporated by reference pursuant to a Current Report on Form 8-K in connection with an offering of securities.</w:t>
      </w:r>
    </w:p>
    <w:p>
      <w:pPr>
        <w:spacing w:after="0" w:line="2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filed separately pursuant to Section 305(b)(2) of the Trust Indenture Act of 1939.</w:t>
      </w:r>
    </w:p>
    <w:p>
      <w:pPr>
        <w:sectPr>
          <w:pgSz w:w="11900" w:h="16838" w:orient="portrait"/>
          <w:cols w:equalWidth="0" w:num="1">
            <w:col w:w="11420"/>
          </w:cols>
          <w:pgMar w:left="240" w:top="419"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4.4</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STEMCELLS, INC.</w:t>
      </w:r>
    </w:p>
    <w:p>
      <w:pPr>
        <w:spacing w:after="0" w:line="1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_________________________________, as Trustee</w:t>
      </w:r>
    </w:p>
    <w:p>
      <w:pPr>
        <w:spacing w:after="0" w:line="1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______,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80" w:type="dxa"/>
            <w:vAlign w:val="bottom"/>
          </w:tcPr>
          <w:p>
            <w:pPr>
              <w:spacing w:after="0"/>
              <w:rPr>
                <w:sz w:val="14"/>
                <w:szCs w:val="14"/>
                <w:color w:val="auto"/>
              </w:rPr>
            </w:pPr>
          </w:p>
        </w:tc>
        <w:tc>
          <w:tcPr>
            <w:tcW w:w="9820" w:type="dxa"/>
            <w:vAlign w:val="bottom"/>
          </w:tcPr>
          <w:p>
            <w:pPr>
              <w:spacing w:after="0"/>
              <w:rPr>
                <w:sz w:val="14"/>
                <w:szCs w:val="14"/>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PAGE</w:t>
            </w:r>
          </w:p>
        </w:tc>
      </w:tr>
      <w:tr>
        <w:trPr>
          <w:trHeight w:val="411"/>
        </w:trPr>
        <w:tc>
          <w:tcPr>
            <w:tcW w:w="10800" w:type="dxa"/>
            <w:vAlign w:val="bottom"/>
            <w:gridSpan w:val="2"/>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982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9820" w:type="dxa"/>
            <w:vAlign w:val="bottom"/>
          </w:tcPr>
          <w:p>
            <w:pPr>
              <w:ind w:left="140"/>
              <w:spacing w:after="0"/>
              <w:rPr>
                <w:sz w:val="20"/>
                <w:szCs w:val="20"/>
                <w:color w:val="auto"/>
              </w:rPr>
            </w:pPr>
            <w:r>
              <w:rPr>
                <w:rFonts w:ascii="Arial" w:cs="Arial" w:eastAsia="Arial" w:hAnsi="Arial"/>
                <w:sz w:val="18"/>
                <w:szCs w:val="18"/>
                <w:color w:val="auto"/>
              </w:rPr>
              <w:t>OTHER DEFINITIONS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5</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9820" w:type="dxa"/>
            <w:vAlign w:val="bottom"/>
          </w:tcPr>
          <w:p>
            <w:pPr>
              <w:ind w:left="140"/>
              <w:spacing w:after="0"/>
              <w:rPr>
                <w:sz w:val="20"/>
                <w:szCs w:val="20"/>
                <w:color w:val="auto"/>
              </w:rPr>
            </w:pPr>
            <w:r>
              <w:rPr>
                <w:rFonts w:ascii="Arial" w:cs="Arial" w:eastAsia="Arial" w:hAnsi="Arial"/>
                <w:sz w:val="18"/>
                <w:szCs w:val="18"/>
                <w:color w:val="auto"/>
              </w:rPr>
              <w:t>INCORPORATION BY REFERENCE OF TRUST INDENTURE ACT</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6</w:t>
            </w:r>
          </w:p>
        </w:tc>
      </w:tr>
      <w:tr>
        <w:trPr>
          <w:trHeight w:val="23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9820" w:type="dxa"/>
            <w:vAlign w:val="bottom"/>
          </w:tcPr>
          <w:p>
            <w:pPr>
              <w:ind w:left="140"/>
              <w:spacing w:after="0"/>
              <w:rPr>
                <w:sz w:val="20"/>
                <w:szCs w:val="20"/>
                <w:color w:val="auto"/>
              </w:rPr>
            </w:pPr>
            <w:r>
              <w:rPr>
                <w:rFonts w:ascii="Arial" w:cs="Arial" w:eastAsia="Arial" w:hAnsi="Arial"/>
                <w:sz w:val="18"/>
                <w:szCs w:val="18"/>
                <w:color w:val="auto"/>
              </w:rPr>
              <w:t>RULES OF CONSTRUCTION</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6</w:t>
            </w:r>
          </w:p>
        </w:tc>
      </w:tr>
      <w:tr>
        <w:trPr>
          <w:trHeight w:val="418"/>
        </w:trPr>
        <w:tc>
          <w:tcPr>
            <w:tcW w:w="10800" w:type="dxa"/>
            <w:vAlign w:val="bottom"/>
            <w:gridSpan w:val="2"/>
          </w:tcPr>
          <w:p>
            <w:pPr>
              <w:spacing w:after="0"/>
              <w:rPr>
                <w:sz w:val="20"/>
                <w:szCs w:val="20"/>
                <w:color w:val="auto"/>
              </w:rPr>
            </w:pPr>
            <w:r>
              <w:rPr>
                <w:rFonts w:ascii="Arial" w:cs="Arial" w:eastAsia="Arial" w:hAnsi="Arial"/>
                <w:sz w:val="18"/>
                <w:szCs w:val="18"/>
                <w:color w:val="auto"/>
              </w:rPr>
              <w:t>ARTICLE 2 THE SECURITIES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7</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9820" w:type="dxa"/>
            <w:vAlign w:val="bottom"/>
          </w:tcPr>
          <w:p>
            <w:pPr>
              <w:ind w:left="140"/>
              <w:spacing w:after="0"/>
              <w:rPr>
                <w:sz w:val="20"/>
                <w:szCs w:val="20"/>
                <w:color w:val="auto"/>
              </w:rPr>
            </w:pPr>
            <w:r>
              <w:rPr>
                <w:rFonts w:ascii="Arial" w:cs="Arial" w:eastAsia="Arial" w:hAnsi="Arial"/>
                <w:sz w:val="18"/>
                <w:szCs w:val="18"/>
                <w:color w:val="auto"/>
              </w:rPr>
              <w:t>ISSUABLE IN SERIES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7</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9820" w:type="dxa"/>
            <w:vAlign w:val="bottom"/>
          </w:tcPr>
          <w:p>
            <w:pPr>
              <w:ind w:left="140"/>
              <w:spacing w:after="0"/>
              <w:rPr>
                <w:sz w:val="20"/>
                <w:szCs w:val="20"/>
                <w:color w:val="auto"/>
              </w:rPr>
            </w:pPr>
            <w:r>
              <w:rPr>
                <w:rFonts w:ascii="Arial" w:cs="Arial" w:eastAsia="Arial" w:hAnsi="Arial"/>
                <w:sz w:val="18"/>
                <w:szCs w:val="18"/>
                <w:color w:val="auto"/>
              </w:rPr>
              <w:t>ESTABLISHMENT OF TERMS OF SERIES OF SECURITIES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7</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9820" w:type="dxa"/>
            <w:vAlign w:val="bottom"/>
          </w:tcPr>
          <w:p>
            <w:pPr>
              <w:ind w:left="140"/>
              <w:spacing w:after="0"/>
              <w:rPr>
                <w:sz w:val="20"/>
                <w:szCs w:val="20"/>
                <w:color w:val="auto"/>
              </w:rPr>
            </w:pPr>
            <w:r>
              <w:rPr>
                <w:rFonts w:ascii="Arial" w:cs="Arial" w:eastAsia="Arial" w:hAnsi="Arial"/>
                <w:sz w:val="18"/>
                <w:szCs w:val="18"/>
                <w:color w:val="auto"/>
              </w:rPr>
              <w:t>EXECUTION AND AUTHENTICATION</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9820" w:type="dxa"/>
            <w:vAlign w:val="bottom"/>
          </w:tcPr>
          <w:p>
            <w:pPr>
              <w:ind w:left="140"/>
              <w:spacing w:after="0"/>
              <w:rPr>
                <w:sz w:val="20"/>
                <w:szCs w:val="20"/>
                <w:color w:val="auto"/>
              </w:rPr>
            </w:pPr>
            <w:r>
              <w:rPr>
                <w:rFonts w:ascii="Arial" w:cs="Arial" w:eastAsia="Arial" w:hAnsi="Arial"/>
                <w:sz w:val="18"/>
                <w:szCs w:val="18"/>
                <w:color w:val="auto"/>
              </w:rPr>
              <w:t>REGISTRAR AND PAYING AGENT</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9820" w:type="dxa"/>
            <w:vAlign w:val="bottom"/>
          </w:tcPr>
          <w:p>
            <w:pPr>
              <w:ind w:left="140"/>
              <w:spacing w:after="0"/>
              <w:rPr>
                <w:sz w:val="20"/>
                <w:szCs w:val="20"/>
                <w:color w:val="auto"/>
              </w:rPr>
            </w:pPr>
            <w:r>
              <w:rPr>
                <w:rFonts w:ascii="Arial" w:cs="Arial" w:eastAsia="Arial" w:hAnsi="Arial"/>
                <w:sz w:val="18"/>
                <w:szCs w:val="18"/>
                <w:color w:val="auto"/>
              </w:rPr>
              <w:t>PAYING AGENT TO HOLD ASSETS IN TRUST</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9820" w:type="dxa"/>
            <w:vAlign w:val="bottom"/>
          </w:tcPr>
          <w:p>
            <w:pPr>
              <w:ind w:left="140"/>
              <w:spacing w:after="0"/>
              <w:rPr>
                <w:sz w:val="20"/>
                <w:szCs w:val="20"/>
                <w:color w:val="auto"/>
              </w:rPr>
            </w:pPr>
            <w:r>
              <w:rPr>
                <w:rFonts w:ascii="Arial" w:cs="Arial" w:eastAsia="Arial" w:hAnsi="Arial"/>
                <w:sz w:val="18"/>
                <w:szCs w:val="18"/>
                <w:color w:val="auto"/>
              </w:rPr>
              <w:t>SECURITYHOLDER LISTS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9820" w:type="dxa"/>
            <w:vAlign w:val="bottom"/>
          </w:tcPr>
          <w:p>
            <w:pPr>
              <w:ind w:left="140"/>
              <w:spacing w:after="0"/>
              <w:rPr>
                <w:sz w:val="20"/>
                <w:szCs w:val="20"/>
                <w:color w:val="auto"/>
              </w:rPr>
            </w:pPr>
            <w:r>
              <w:rPr>
                <w:rFonts w:ascii="Arial" w:cs="Arial" w:eastAsia="Arial" w:hAnsi="Arial"/>
                <w:sz w:val="18"/>
                <w:szCs w:val="18"/>
                <w:color w:val="auto"/>
              </w:rPr>
              <w:t>TRANSFER AND EXCHANGE</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9820" w:type="dxa"/>
            <w:vAlign w:val="bottom"/>
          </w:tcPr>
          <w:p>
            <w:pPr>
              <w:ind w:left="140"/>
              <w:spacing w:after="0"/>
              <w:rPr>
                <w:sz w:val="20"/>
                <w:szCs w:val="20"/>
                <w:color w:val="auto"/>
              </w:rPr>
            </w:pPr>
            <w:r>
              <w:rPr>
                <w:rFonts w:ascii="Arial" w:cs="Arial" w:eastAsia="Arial" w:hAnsi="Arial"/>
                <w:sz w:val="18"/>
                <w:szCs w:val="18"/>
                <w:color w:val="auto"/>
              </w:rPr>
              <w:t>REPLACEMENT SECURITIES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9820" w:type="dxa"/>
            <w:vAlign w:val="bottom"/>
          </w:tcPr>
          <w:p>
            <w:pPr>
              <w:ind w:left="140"/>
              <w:spacing w:after="0"/>
              <w:rPr>
                <w:sz w:val="20"/>
                <w:szCs w:val="20"/>
                <w:color w:val="auto"/>
              </w:rPr>
            </w:pPr>
            <w:r>
              <w:rPr>
                <w:rFonts w:ascii="Arial" w:cs="Arial" w:eastAsia="Arial" w:hAnsi="Arial"/>
                <w:sz w:val="18"/>
                <w:szCs w:val="18"/>
                <w:color w:val="auto"/>
              </w:rPr>
              <w:t>OUTSTANDING SECURITIES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2.10.</w:t>
            </w:r>
          </w:p>
        </w:tc>
        <w:tc>
          <w:tcPr>
            <w:tcW w:w="9820" w:type="dxa"/>
            <w:vAlign w:val="bottom"/>
          </w:tcPr>
          <w:p>
            <w:pPr>
              <w:ind w:left="140"/>
              <w:spacing w:after="0"/>
              <w:rPr>
                <w:sz w:val="20"/>
                <w:szCs w:val="20"/>
                <w:color w:val="auto"/>
              </w:rPr>
            </w:pPr>
            <w:r>
              <w:rPr>
                <w:rFonts w:ascii="Arial" w:cs="Arial" w:eastAsia="Arial" w:hAnsi="Arial"/>
                <w:sz w:val="18"/>
                <w:szCs w:val="18"/>
                <w:color w:val="auto"/>
              </w:rPr>
              <w:t>WHEN TREASURY SECURITIES DISREGARDED; DETERMINATION OF HOLDERS’ ACTION</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982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2.12.</w:t>
            </w:r>
          </w:p>
        </w:tc>
        <w:tc>
          <w:tcPr>
            <w:tcW w:w="982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2.13.</w:t>
            </w:r>
          </w:p>
        </w:tc>
        <w:tc>
          <w:tcPr>
            <w:tcW w:w="9820" w:type="dxa"/>
            <w:vAlign w:val="bottom"/>
          </w:tcPr>
          <w:p>
            <w:pPr>
              <w:ind w:left="140"/>
              <w:spacing w:after="0"/>
              <w:rPr>
                <w:sz w:val="20"/>
                <w:szCs w:val="20"/>
                <w:color w:val="auto"/>
              </w:rPr>
            </w:pPr>
            <w:r>
              <w:rPr>
                <w:rFonts w:ascii="Arial" w:cs="Arial" w:eastAsia="Arial" w:hAnsi="Arial"/>
                <w:sz w:val="18"/>
                <w:szCs w:val="18"/>
                <w:color w:val="auto"/>
              </w:rPr>
              <w:t>PAYMENT OF INTEREST; DEFAULTED INTEREST; COMPUTATION OF INTEREST</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9820" w:type="dxa"/>
            <w:vAlign w:val="bottom"/>
          </w:tcPr>
          <w:p>
            <w:pPr>
              <w:ind w:left="140"/>
              <w:spacing w:after="0"/>
              <w:rPr>
                <w:sz w:val="20"/>
                <w:szCs w:val="20"/>
                <w:color w:val="auto"/>
              </w:rPr>
            </w:pPr>
            <w:r>
              <w:rPr>
                <w:rFonts w:ascii="Arial" w:cs="Arial" w:eastAsia="Arial" w:hAnsi="Arial"/>
                <w:sz w:val="18"/>
                <w:szCs w:val="18"/>
                <w:color w:val="auto"/>
              </w:rPr>
              <w:t>CUSIP NUMBER</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2.15.</w:t>
            </w:r>
          </w:p>
        </w:tc>
        <w:tc>
          <w:tcPr>
            <w:tcW w:w="9820" w:type="dxa"/>
            <w:vAlign w:val="bottom"/>
          </w:tcPr>
          <w:p>
            <w:pPr>
              <w:ind w:left="140"/>
              <w:spacing w:after="0"/>
              <w:rPr>
                <w:sz w:val="20"/>
                <w:szCs w:val="20"/>
                <w:color w:val="auto"/>
              </w:rPr>
            </w:pPr>
            <w:r>
              <w:rPr>
                <w:rFonts w:ascii="Arial" w:cs="Arial" w:eastAsia="Arial" w:hAnsi="Arial"/>
                <w:sz w:val="18"/>
                <w:szCs w:val="18"/>
                <w:color w:val="auto"/>
              </w:rPr>
              <w:t>PROVISIONS FOR GLOBAL SECURITIES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3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2.16.</w:t>
            </w:r>
          </w:p>
        </w:tc>
        <w:tc>
          <w:tcPr>
            <w:tcW w:w="9820" w:type="dxa"/>
            <w:vAlign w:val="bottom"/>
          </w:tcPr>
          <w:p>
            <w:pPr>
              <w:ind w:left="140"/>
              <w:spacing w:after="0"/>
              <w:rPr>
                <w:sz w:val="20"/>
                <w:szCs w:val="20"/>
                <w:color w:val="auto"/>
              </w:rPr>
            </w:pPr>
            <w:r>
              <w:rPr>
                <w:rFonts w:ascii="Arial" w:cs="Arial" w:eastAsia="Arial" w:hAnsi="Arial"/>
                <w:sz w:val="18"/>
                <w:szCs w:val="18"/>
                <w:color w:val="auto"/>
              </w:rPr>
              <w:t>PERSONS DEEMED OWNERS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418"/>
        </w:trPr>
        <w:tc>
          <w:tcPr>
            <w:tcW w:w="10800" w:type="dxa"/>
            <w:vAlign w:val="bottom"/>
            <w:gridSpan w:val="2"/>
          </w:tcPr>
          <w:p>
            <w:pPr>
              <w:spacing w:after="0"/>
              <w:rPr>
                <w:sz w:val="20"/>
                <w:szCs w:val="20"/>
                <w:color w:val="auto"/>
              </w:rPr>
            </w:pPr>
            <w:r>
              <w:rPr>
                <w:rFonts w:ascii="Arial" w:cs="Arial" w:eastAsia="Arial" w:hAnsi="Arial"/>
                <w:sz w:val="18"/>
                <w:szCs w:val="18"/>
                <w:color w:val="auto"/>
              </w:rPr>
              <w:t>ARTICLE 3 REDEMPTION</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9820" w:type="dxa"/>
            <w:vAlign w:val="bottom"/>
          </w:tcPr>
          <w:p>
            <w:pPr>
              <w:ind w:left="140"/>
              <w:spacing w:after="0"/>
              <w:rPr>
                <w:sz w:val="20"/>
                <w:szCs w:val="20"/>
                <w:color w:val="auto"/>
              </w:rPr>
            </w:pPr>
            <w:r>
              <w:rPr>
                <w:rFonts w:ascii="Arial" w:cs="Arial" w:eastAsia="Arial" w:hAnsi="Arial"/>
                <w:sz w:val="18"/>
                <w:szCs w:val="18"/>
                <w:color w:val="auto"/>
              </w:rPr>
              <w:t>NOTICES TO TRUSTEE</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9820" w:type="dxa"/>
            <w:vAlign w:val="bottom"/>
          </w:tcPr>
          <w:p>
            <w:pPr>
              <w:ind w:left="140"/>
              <w:spacing w:after="0"/>
              <w:rPr>
                <w:sz w:val="20"/>
                <w:szCs w:val="20"/>
                <w:color w:val="auto"/>
              </w:rPr>
            </w:pPr>
            <w:r>
              <w:rPr>
                <w:rFonts w:ascii="Arial" w:cs="Arial" w:eastAsia="Arial" w:hAnsi="Arial"/>
                <w:sz w:val="18"/>
                <w:szCs w:val="18"/>
                <w:color w:val="auto"/>
              </w:rPr>
              <w:t>SELECTION BY TRUSTEE OF SECURITIES TO BE REDEEMED</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9820" w:type="dxa"/>
            <w:vAlign w:val="bottom"/>
          </w:tcPr>
          <w:p>
            <w:pPr>
              <w:ind w:left="140"/>
              <w:spacing w:after="0"/>
              <w:rPr>
                <w:sz w:val="20"/>
                <w:szCs w:val="20"/>
                <w:color w:val="auto"/>
              </w:rPr>
            </w:pPr>
            <w:r>
              <w:rPr>
                <w:rFonts w:ascii="Arial" w:cs="Arial" w:eastAsia="Arial" w:hAnsi="Arial"/>
                <w:sz w:val="18"/>
                <w:szCs w:val="18"/>
                <w:color w:val="auto"/>
              </w:rPr>
              <w:t>NOTICE OF REDEMPTION</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9820" w:type="dxa"/>
            <w:vAlign w:val="bottom"/>
          </w:tcPr>
          <w:p>
            <w:pPr>
              <w:ind w:left="140"/>
              <w:spacing w:after="0"/>
              <w:rPr>
                <w:sz w:val="20"/>
                <w:szCs w:val="20"/>
                <w:color w:val="auto"/>
              </w:rPr>
            </w:pPr>
            <w:r>
              <w:rPr>
                <w:rFonts w:ascii="Arial" w:cs="Arial" w:eastAsia="Arial" w:hAnsi="Arial"/>
                <w:sz w:val="18"/>
                <w:szCs w:val="18"/>
                <w:color w:val="auto"/>
              </w:rPr>
              <w:t>EFFECT OF NOTICE OF REDEMPTION</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18</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9820" w:type="dxa"/>
            <w:vAlign w:val="bottom"/>
          </w:tcPr>
          <w:p>
            <w:pPr>
              <w:ind w:left="140"/>
              <w:spacing w:after="0"/>
              <w:rPr>
                <w:sz w:val="20"/>
                <w:szCs w:val="20"/>
                <w:color w:val="auto"/>
              </w:rPr>
            </w:pPr>
            <w:r>
              <w:rPr>
                <w:rFonts w:ascii="Arial" w:cs="Arial" w:eastAsia="Arial" w:hAnsi="Arial"/>
                <w:sz w:val="18"/>
                <w:szCs w:val="18"/>
                <w:color w:val="auto"/>
              </w:rPr>
              <w:t>DEPOSIT OF REDEMPTION PRICE</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18</w:t>
            </w:r>
          </w:p>
        </w:tc>
      </w:tr>
      <w:tr>
        <w:trPr>
          <w:trHeight w:val="23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9820" w:type="dxa"/>
            <w:vAlign w:val="bottom"/>
          </w:tcPr>
          <w:p>
            <w:pPr>
              <w:ind w:left="140"/>
              <w:spacing w:after="0"/>
              <w:rPr>
                <w:sz w:val="20"/>
                <w:szCs w:val="20"/>
                <w:color w:val="auto"/>
              </w:rPr>
            </w:pPr>
            <w:r>
              <w:rPr>
                <w:rFonts w:ascii="Arial" w:cs="Arial" w:eastAsia="Arial" w:hAnsi="Arial"/>
                <w:sz w:val="18"/>
                <w:szCs w:val="18"/>
                <w:color w:val="auto"/>
              </w:rPr>
              <w:t>SECURITIES REDEEMED IN PART</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80" w:type="dxa"/>
            <w:vAlign w:val="bottom"/>
          </w:tcPr>
          <w:p>
            <w:pPr>
              <w:spacing w:after="0"/>
              <w:rPr>
                <w:sz w:val="14"/>
                <w:szCs w:val="14"/>
                <w:color w:val="auto"/>
              </w:rPr>
            </w:pPr>
          </w:p>
        </w:tc>
        <w:tc>
          <w:tcPr>
            <w:tcW w:w="98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PAGE</w:t>
            </w:r>
          </w:p>
        </w:tc>
      </w:tr>
      <w:tr>
        <w:trPr>
          <w:trHeight w:val="411"/>
        </w:trPr>
        <w:tc>
          <w:tcPr>
            <w:tcW w:w="10800" w:type="dxa"/>
            <w:vAlign w:val="bottom"/>
            <w:gridSpan w:val="2"/>
          </w:tcPr>
          <w:p>
            <w:pPr>
              <w:spacing w:after="0"/>
              <w:rPr>
                <w:sz w:val="20"/>
                <w:szCs w:val="20"/>
                <w:color w:val="auto"/>
              </w:rPr>
            </w:pPr>
            <w:r>
              <w:rPr>
                <w:rFonts w:ascii="Arial" w:cs="Arial" w:eastAsia="Arial" w:hAnsi="Arial"/>
                <w:sz w:val="18"/>
                <w:szCs w:val="18"/>
                <w:color w:val="auto"/>
              </w:rPr>
              <w:t>ARTICLE 4 COVENANTS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9820" w:type="dxa"/>
            <w:vAlign w:val="bottom"/>
          </w:tcPr>
          <w:p>
            <w:pPr>
              <w:ind w:left="140"/>
              <w:spacing w:after="0"/>
              <w:rPr>
                <w:sz w:val="20"/>
                <w:szCs w:val="20"/>
                <w:color w:val="auto"/>
              </w:rPr>
            </w:pPr>
            <w:r>
              <w:rPr>
                <w:rFonts w:ascii="Arial" w:cs="Arial" w:eastAsia="Arial" w:hAnsi="Arial"/>
                <w:sz w:val="18"/>
                <w:szCs w:val="18"/>
                <w:color w:val="auto"/>
              </w:rPr>
              <w:t>PAYMENT OF SECURITIES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9820" w:type="dxa"/>
            <w:vAlign w:val="bottom"/>
          </w:tcPr>
          <w:p>
            <w:pPr>
              <w:ind w:left="140"/>
              <w:spacing w:after="0"/>
              <w:rPr>
                <w:sz w:val="20"/>
                <w:szCs w:val="20"/>
                <w:color w:val="auto"/>
              </w:rPr>
            </w:pPr>
            <w:r>
              <w:rPr>
                <w:rFonts w:ascii="Arial" w:cs="Arial" w:eastAsia="Arial" w:hAnsi="Arial"/>
                <w:sz w:val="18"/>
                <w:szCs w:val="18"/>
                <w:color w:val="auto"/>
              </w:rPr>
              <w:t>SEC REPORTS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9820" w:type="dxa"/>
            <w:vAlign w:val="bottom"/>
          </w:tcPr>
          <w:p>
            <w:pPr>
              <w:ind w:left="140"/>
              <w:spacing w:after="0"/>
              <w:rPr>
                <w:sz w:val="20"/>
                <w:szCs w:val="20"/>
                <w:color w:val="auto"/>
              </w:rPr>
            </w:pPr>
            <w:r>
              <w:rPr>
                <w:rFonts w:ascii="Arial" w:cs="Arial" w:eastAsia="Arial" w:hAnsi="Arial"/>
                <w:sz w:val="18"/>
                <w:szCs w:val="18"/>
                <w:color w:val="auto"/>
              </w:rPr>
              <w:t>WAIVER OF STAY, EXTENSION OR USURY LAWS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9820" w:type="dxa"/>
            <w:vAlign w:val="bottom"/>
          </w:tcPr>
          <w:p>
            <w:pPr>
              <w:ind w:left="140"/>
              <w:spacing w:after="0"/>
              <w:rPr>
                <w:sz w:val="20"/>
                <w:szCs w:val="20"/>
                <w:color w:val="auto"/>
              </w:rPr>
            </w:pPr>
            <w:r>
              <w:rPr>
                <w:rFonts w:ascii="Arial" w:cs="Arial" w:eastAsia="Arial" w:hAnsi="Arial"/>
                <w:sz w:val="18"/>
                <w:szCs w:val="18"/>
                <w:color w:val="auto"/>
              </w:rPr>
              <w:t>COMPLIANCE CERTIFICATE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3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9820" w:type="dxa"/>
            <w:vAlign w:val="bottom"/>
          </w:tcPr>
          <w:p>
            <w:pPr>
              <w:ind w:left="140"/>
              <w:spacing w:after="0"/>
              <w:rPr>
                <w:sz w:val="20"/>
                <w:szCs w:val="20"/>
                <w:color w:val="auto"/>
              </w:rPr>
            </w:pPr>
            <w:r>
              <w:rPr>
                <w:rFonts w:ascii="Arial" w:cs="Arial" w:eastAsia="Arial" w:hAnsi="Arial"/>
                <w:sz w:val="18"/>
                <w:szCs w:val="18"/>
                <w:color w:val="auto"/>
              </w:rPr>
              <w:t>CORPORATE EXISTENCE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18"/>
        </w:trPr>
        <w:tc>
          <w:tcPr>
            <w:tcW w:w="10800" w:type="dxa"/>
            <w:vAlign w:val="bottom"/>
            <w:gridSpan w:val="2"/>
          </w:tcPr>
          <w:p>
            <w:pPr>
              <w:spacing w:after="0"/>
              <w:rPr>
                <w:sz w:val="20"/>
                <w:szCs w:val="20"/>
                <w:color w:val="auto"/>
              </w:rPr>
            </w:pPr>
            <w:r>
              <w:rPr>
                <w:rFonts w:ascii="Arial" w:cs="Arial" w:eastAsia="Arial" w:hAnsi="Arial"/>
                <w:sz w:val="18"/>
                <w:szCs w:val="18"/>
                <w:color w:val="auto"/>
              </w:rPr>
              <w:t>ARTICLE 5 SUCCESSOR CORPORATION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9820" w:type="dxa"/>
            <w:vAlign w:val="bottom"/>
          </w:tcPr>
          <w:p>
            <w:pPr>
              <w:ind w:left="140"/>
              <w:spacing w:after="0"/>
              <w:rPr>
                <w:sz w:val="20"/>
                <w:szCs w:val="20"/>
                <w:color w:val="auto"/>
              </w:rPr>
            </w:pPr>
            <w:r>
              <w:rPr>
                <w:rFonts w:ascii="Arial" w:cs="Arial" w:eastAsia="Arial" w:hAnsi="Arial"/>
                <w:sz w:val="18"/>
                <w:szCs w:val="18"/>
                <w:color w:val="auto"/>
              </w:rPr>
              <w:t>LIMITATION ON CONSOLIDATION, MERGER AND SALE OF ASSETS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3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9820" w:type="dxa"/>
            <w:vAlign w:val="bottom"/>
          </w:tcPr>
          <w:p>
            <w:pPr>
              <w:ind w:left="140"/>
              <w:spacing w:after="0"/>
              <w:rPr>
                <w:sz w:val="20"/>
                <w:szCs w:val="20"/>
                <w:color w:val="auto"/>
              </w:rPr>
            </w:pPr>
            <w:r>
              <w:rPr>
                <w:rFonts w:ascii="Arial" w:cs="Arial" w:eastAsia="Arial" w:hAnsi="Arial"/>
                <w:sz w:val="18"/>
                <w:szCs w:val="18"/>
                <w:color w:val="auto"/>
              </w:rPr>
              <w:t>SUCCESSOR PERSON SUBSTITUTED</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18"/>
        </w:trPr>
        <w:tc>
          <w:tcPr>
            <w:tcW w:w="10800" w:type="dxa"/>
            <w:vAlign w:val="bottom"/>
            <w:gridSpan w:val="2"/>
          </w:tcPr>
          <w:p>
            <w:pPr>
              <w:spacing w:after="0"/>
              <w:rPr>
                <w:sz w:val="20"/>
                <w:szCs w:val="20"/>
                <w:color w:val="auto"/>
              </w:rPr>
            </w:pPr>
            <w:r>
              <w:rPr>
                <w:rFonts w:ascii="Arial" w:cs="Arial" w:eastAsia="Arial" w:hAnsi="Arial"/>
                <w:sz w:val="18"/>
                <w:szCs w:val="18"/>
                <w:color w:val="auto"/>
              </w:rPr>
              <w:t>ARTICLE 6 DEFAULTS AND REMEDIES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982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9820" w:type="dxa"/>
            <w:vAlign w:val="bottom"/>
          </w:tcPr>
          <w:p>
            <w:pPr>
              <w:ind w:left="140"/>
              <w:spacing w:after="0"/>
              <w:rPr>
                <w:sz w:val="20"/>
                <w:szCs w:val="20"/>
                <w:color w:val="auto"/>
              </w:rPr>
            </w:pPr>
            <w:r>
              <w:rPr>
                <w:rFonts w:ascii="Arial" w:cs="Arial" w:eastAsia="Arial" w:hAnsi="Arial"/>
                <w:sz w:val="18"/>
                <w:szCs w:val="18"/>
                <w:color w:val="auto"/>
              </w:rPr>
              <w:t>ACCELERATION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9820" w:type="dxa"/>
            <w:vAlign w:val="bottom"/>
          </w:tcPr>
          <w:p>
            <w:pPr>
              <w:ind w:left="140"/>
              <w:spacing w:after="0"/>
              <w:rPr>
                <w:sz w:val="20"/>
                <w:szCs w:val="20"/>
                <w:color w:val="auto"/>
              </w:rPr>
            </w:pPr>
            <w:r>
              <w:rPr>
                <w:rFonts w:ascii="Arial" w:cs="Arial" w:eastAsia="Arial" w:hAnsi="Arial"/>
                <w:sz w:val="18"/>
                <w:szCs w:val="18"/>
                <w:color w:val="auto"/>
              </w:rPr>
              <w:t>REMEDIES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9820" w:type="dxa"/>
            <w:vAlign w:val="bottom"/>
          </w:tcPr>
          <w:p>
            <w:pPr>
              <w:ind w:left="140"/>
              <w:spacing w:after="0"/>
              <w:rPr>
                <w:sz w:val="20"/>
                <w:szCs w:val="20"/>
                <w:color w:val="auto"/>
              </w:rPr>
            </w:pPr>
            <w:r>
              <w:rPr>
                <w:rFonts w:ascii="Arial" w:cs="Arial" w:eastAsia="Arial" w:hAnsi="Arial"/>
                <w:sz w:val="18"/>
                <w:szCs w:val="18"/>
                <w:color w:val="auto"/>
              </w:rPr>
              <w:t>WAIVER OF PAST DEFAULTS AND EVENTS OF DEFAULT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9820" w:type="dxa"/>
            <w:vAlign w:val="bottom"/>
          </w:tcPr>
          <w:p>
            <w:pPr>
              <w:ind w:left="140"/>
              <w:spacing w:after="0"/>
              <w:rPr>
                <w:sz w:val="20"/>
                <w:szCs w:val="20"/>
                <w:color w:val="auto"/>
              </w:rPr>
            </w:pPr>
            <w:r>
              <w:rPr>
                <w:rFonts w:ascii="Arial" w:cs="Arial" w:eastAsia="Arial" w:hAnsi="Arial"/>
                <w:sz w:val="18"/>
                <w:szCs w:val="18"/>
                <w:color w:val="auto"/>
              </w:rPr>
              <w:t>CONTROL BY MAJORITY</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9820" w:type="dxa"/>
            <w:vAlign w:val="bottom"/>
          </w:tcPr>
          <w:p>
            <w:pPr>
              <w:ind w:left="140"/>
              <w:spacing w:after="0"/>
              <w:rPr>
                <w:sz w:val="20"/>
                <w:szCs w:val="20"/>
                <w:color w:val="auto"/>
              </w:rPr>
            </w:pPr>
            <w:r>
              <w:rPr>
                <w:rFonts w:ascii="Arial" w:cs="Arial" w:eastAsia="Arial" w:hAnsi="Arial"/>
                <w:sz w:val="18"/>
                <w:szCs w:val="18"/>
                <w:color w:val="auto"/>
              </w:rPr>
              <w:t>LIMITATION ON SUITS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9820" w:type="dxa"/>
            <w:vAlign w:val="bottom"/>
          </w:tcPr>
          <w:p>
            <w:pPr>
              <w:ind w:left="140"/>
              <w:spacing w:after="0"/>
              <w:rPr>
                <w:sz w:val="20"/>
                <w:szCs w:val="20"/>
                <w:color w:val="auto"/>
              </w:rPr>
            </w:pPr>
            <w:r>
              <w:rPr>
                <w:rFonts w:ascii="Arial" w:cs="Arial" w:eastAsia="Arial" w:hAnsi="Arial"/>
                <w:sz w:val="18"/>
                <w:szCs w:val="18"/>
                <w:color w:val="auto"/>
              </w:rPr>
              <w:t>RIGHTS OF HOLDERS TO RECEIVE PAYMENT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9820" w:type="dxa"/>
            <w:vAlign w:val="bottom"/>
          </w:tcPr>
          <w:p>
            <w:pPr>
              <w:ind w:left="140"/>
              <w:spacing w:after="0"/>
              <w:rPr>
                <w:sz w:val="20"/>
                <w:szCs w:val="20"/>
                <w:color w:val="auto"/>
              </w:rPr>
            </w:pPr>
            <w:r>
              <w:rPr>
                <w:rFonts w:ascii="Arial" w:cs="Arial" w:eastAsia="Arial" w:hAnsi="Arial"/>
                <w:sz w:val="18"/>
                <w:szCs w:val="18"/>
                <w:color w:val="auto"/>
              </w:rPr>
              <w:t>COLLECTION SUIT BY TRUSTEE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9820" w:type="dxa"/>
            <w:vAlign w:val="bottom"/>
          </w:tcPr>
          <w:p>
            <w:pPr>
              <w:ind w:left="140"/>
              <w:spacing w:after="0"/>
              <w:rPr>
                <w:sz w:val="20"/>
                <w:szCs w:val="20"/>
                <w:color w:val="auto"/>
              </w:rPr>
            </w:pPr>
            <w:r>
              <w:rPr>
                <w:rFonts w:ascii="Arial" w:cs="Arial" w:eastAsia="Arial" w:hAnsi="Arial"/>
                <w:sz w:val="18"/>
                <w:szCs w:val="18"/>
                <w:color w:val="auto"/>
              </w:rPr>
              <w:t>TRUSTEE MAY FILE PROOFS OF CLAIM</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6.10.</w:t>
            </w:r>
          </w:p>
        </w:tc>
        <w:tc>
          <w:tcPr>
            <w:tcW w:w="9820" w:type="dxa"/>
            <w:vAlign w:val="bottom"/>
          </w:tcPr>
          <w:p>
            <w:pPr>
              <w:ind w:left="140"/>
              <w:spacing w:after="0"/>
              <w:rPr>
                <w:sz w:val="20"/>
                <w:szCs w:val="20"/>
                <w:color w:val="auto"/>
              </w:rPr>
            </w:pPr>
            <w:r>
              <w:rPr>
                <w:rFonts w:ascii="Arial" w:cs="Arial" w:eastAsia="Arial" w:hAnsi="Arial"/>
                <w:sz w:val="18"/>
                <w:szCs w:val="18"/>
                <w:color w:val="auto"/>
              </w:rPr>
              <w:t>PRIORITIES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3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6.11.</w:t>
            </w:r>
          </w:p>
        </w:tc>
        <w:tc>
          <w:tcPr>
            <w:tcW w:w="9820" w:type="dxa"/>
            <w:vAlign w:val="bottom"/>
          </w:tcPr>
          <w:p>
            <w:pPr>
              <w:ind w:left="140"/>
              <w:spacing w:after="0"/>
              <w:rPr>
                <w:sz w:val="20"/>
                <w:szCs w:val="20"/>
                <w:color w:val="auto"/>
              </w:rPr>
            </w:pPr>
            <w:r>
              <w:rPr>
                <w:rFonts w:ascii="Arial" w:cs="Arial" w:eastAsia="Arial" w:hAnsi="Arial"/>
                <w:sz w:val="18"/>
                <w:szCs w:val="18"/>
                <w:color w:val="auto"/>
              </w:rPr>
              <w:t>UNDERTAKING FOR COSTS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418"/>
        </w:trPr>
        <w:tc>
          <w:tcPr>
            <w:tcW w:w="10800" w:type="dxa"/>
            <w:vAlign w:val="bottom"/>
            <w:gridSpan w:val="2"/>
          </w:tcPr>
          <w:p>
            <w:pPr>
              <w:spacing w:after="0"/>
              <w:rPr>
                <w:sz w:val="20"/>
                <w:szCs w:val="20"/>
                <w:color w:val="auto"/>
              </w:rPr>
            </w:pPr>
            <w:r>
              <w:rPr>
                <w:rFonts w:ascii="Arial" w:cs="Arial" w:eastAsia="Arial" w:hAnsi="Arial"/>
                <w:sz w:val="18"/>
                <w:szCs w:val="18"/>
                <w:color w:val="auto"/>
              </w:rPr>
              <w:t>ARTICLE 7 TRUSTEE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9820" w:type="dxa"/>
            <w:vAlign w:val="bottom"/>
          </w:tcPr>
          <w:p>
            <w:pPr>
              <w:ind w:left="140"/>
              <w:spacing w:after="0"/>
              <w:rPr>
                <w:sz w:val="20"/>
                <w:szCs w:val="20"/>
                <w:color w:val="auto"/>
              </w:rPr>
            </w:pPr>
            <w:r>
              <w:rPr>
                <w:rFonts w:ascii="Arial" w:cs="Arial" w:eastAsia="Arial" w:hAnsi="Arial"/>
                <w:sz w:val="18"/>
                <w:szCs w:val="18"/>
                <w:color w:val="auto"/>
              </w:rPr>
              <w:t>DUTIES OF TRUSTEE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9820" w:type="dxa"/>
            <w:vAlign w:val="bottom"/>
          </w:tcPr>
          <w:p>
            <w:pPr>
              <w:ind w:left="140"/>
              <w:spacing w:after="0"/>
              <w:rPr>
                <w:sz w:val="20"/>
                <w:szCs w:val="20"/>
                <w:color w:val="auto"/>
              </w:rPr>
            </w:pPr>
            <w:r>
              <w:rPr>
                <w:rFonts w:ascii="Arial" w:cs="Arial" w:eastAsia="Arial" w:hAnsi="Arial"/>
                <w:sz w:val="18"/>
                <w:szCs w:val="18"/>
                <w:color w:val="auto"/>
              </w:rPr>
              <w:t>RIGHTS OF TRUSTEE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9820" w:type="dxa"/>
            <w:vAlign w:val="bottom"/>
          </w:tcPr>
          <w:p>
            <w:pPr>
              <w:ind w:left="140"/>
              <w:spacing w:after="0"/>
              <w:rPr>
                <w:sz w:val="20"/>
                <w:szCs w:val="20"/>
                <w:color w:val="auto"/>
              </w:rPr>
            </w:pPr>
            <w:r>
              <w:rPr>
                <w:rFonts w:ascii="Arial" w:cs="Arial" w:eastAsia="Arial" w:hAnsi="Arial"/>
                <w:sz w:val="18"/>
                <w:szCs w:val="18"/>
                <w:color w:val="auto"/>
              </w:rPr>
              <w:t>INDIVIDUAL RIGHTS OF TRUSTEE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9820" w:type="dxa"/>
            <w:vAlign w:val="bottom"/>
          </w:tcPr>
          <w:p>
            <w:pPr>
              <w:ind w:left="140"/>
              <w:spacing w:after="0"/>
              <w:rPr>
                <w:sz w:val="20"/>
                <w:szCs w:val="20"/>
                <w:color w:val="auto"/>
              </w:rPr>
            </w:pPr>
            <w:r>
              <w:rPr>
                <w:rFonts w:ascii="Arial" w:cs="Arial" w:eastAsia="Arial" w:hAnsi="Arial"/>
                <w:sz w:val="18"/>
                <w:szCs w:val="18"/>
                <w:color w:val="auto"/>
              </w:rPr>
              <w:t>TRUSTEE’S DISCLAIMER</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9820" w:type="dxa"/>
            <w:vAlign w:val="bottom"/>
          </w:tcPr>
          <w:p>
            <w:pPr>
              <w:ind w:left="140"/>
              <w:spacing w:after="0"/>
              <w:rPr>
                <w:sz w:val="20"/>
                <w:szCs w:val="20"/>
                <w:color w:val="auto"/>
              </w:rPr>
            </w:pPr>
            <w:r>
              <w:rPr>
                <w:rFonts w:ascii="Arial" w:cs="Arial" w:eastAsia="Arial" w:hAnsi="Arial"/>
                <w:sz w:val="18"/>
                <w:szCs w:val="18"/>
                <w:color w:val="auto"/>
              </w:rPr>
              <w:t>NOTICE OF DEFAULT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9820" w:type="dxa"/>
            <w:vAlign w:val="bottom"/>
          </w:tcPr>
          <w:p>
            <w:pPr>
              <w:ind w:left="140"/>
              <w:spacing w:after="0"/>
              <w:rPr>
                <w:sz w:val="20"/>
                <w:szCs w:val="20"/>
                <w:color w:val="auto"/>
              </w:rPr>
            </w:pPr>
            <w:r>
              <w:rPr>
                <w:rFonts w:ascii="Arial" w:cs="Arial" w:eastAsia="Arial" w:hAnsi="Arial"/>
                <w:sz w:val="18"/>
                <w:szCs w:val="18"/>
                <w:color w:val="auto"/>
              </w:rPr>
              <w:t>REPORTS BY TRUSTEE TO HOLDERS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7.7.</w:t>
            </w:r>
          </w:p>
        </w:tc>
        <w:tc>
          <w:tcPr>
            <w:tcW w:w="9820" w:type="dxa"/>
            <w:vAlign w:val="bottom"/>
          </w:tcPr>
          <w:p>
            <w:pPr>
              <w:ind w:left="140"/>
              <w:spacing w:after="0"/>
              <w:rPr>
                <w:sz w:val="20"/>
                <w:szCs w:val="20"/>
                <w:color w:val="auto"/>
              </w:rPr>
            </w:pPr>
            <w:r>
              <w:rPr>
                <w:rFonts w:ascii="Arial" w:cs="Arial" w:eastAsia="Arial" w:hAnsi="Arial"/>
                <w:sz w:val="18"/>
                <w:szCs w:val="18"/>
                <w:color w:val="auto"/>
              </w:rPr>
              <w:t>COMPENSATION AND INDEMNITY</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3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9820" w:type="dxa"/>
            <w:vAlign w:val="bottom"/>
          </w:tcPr>
          <w:p>
            <w:pPr>
              <w:ind w:left="140"/>
              <w:spacing w:after="0"/>
              <w:rPr>
                <w:sz w:val="20"/>
                <w:szCs w:val="20"/>
                <w:color w:val="auto"/>
              </w:rPr>
            </w:pPr>
            <w:r>
              <w:rPr>
                <w:rFonts w:ascii="Arial" w:cs="Arial" w:eastAsia="Arial" w:hAnsi="Arial"/>
                <w:sz w:val="18"/>
                <w:szCs w:val="18"/>
                <w:color w:val="auto"/>
              </w:rPr>
              <w:t>REPLACEMENT OF TRUSTEE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30</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80" w:type="dxa"/>
            <w:vAlign w:val="bottom"/>
          </w:tcPr>
          <w:p>
            <w:pPr>
              <w:spacing w:after="0"/>
              <w:rPr>
                <w:sz w:val="14"/>
                <w:szCs w:val="14"/>
                <w:color w:val="auto"/>
              </w:rPr>
            </w:pPr>
          </w:p>
        </w:tc>
        <w:tc>
          <w:tcPr>
            <w:tcW w:w="98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PAGE</w:t>
            </w:r>
          </w:p>
        </w:tc>
      </w:tr>
      <w:tr>
        <w:trPr>
          <w:trHeight w:val="411"/>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9820" w:type="dxa"/>
            <w:vAlign w:val="bottom"/>
          </w:tcPr>
          <w:p>
            <w:pPr>
              <w:ind w:left="140"/>
              <w:spacing w:after="0"/>
              <w:rPr>
                <w:sz w:val="20"/>
                <w:szCs w:val="20"/>
                <w:color w:val="auto"/>
              </w:rPr>
            </w:pPr>
            <w:r>
              <w:rPr>
                <w:rFonts w:ascii="Arial" w:cs="Arial" w:eastAsia="Arial" w:hAnsi="Arial"/>
                <w:sz w:val="18"/>
                <w:szCs w:val="18"/>
                <w:color w:val="auto"/>
              </w:rPr>
              <w:t>SUCCESSOR TRUSTEE BY CONSOLIDATION, MERGER OR CONVERSION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7.10.</w:t>
            </w:r>
          </w:p>
        </w:tc>
        <w:tc>
          <w:tcPr>
            <w:tcW w:w="9820" w:type="dxa"/>
            <w:vAlign w:val="bottom"/>
          </w:tcPr>
          <w:p>
            <w:pPr>
              <w:ind w:left="140"/>
              <w:spacing w:after="0"/>
              <w:rPr>
                <w:sz w:val="20"/>
                <w:szCs w:val="20"/>
                <w:color w:val="auto"/>
              </w:rPr>
            </w:pPr>
            <w:r>
              <w:rPr>
                <w:rFonts w:ascii="Arial" w:cs="Arial" w:eastAsia="Arial" w:hAnsi="Arial"/>
                <w:sz w:val="18"/>
                <w:szCs w:val="18"/>
                <w:color w:val="auto"/>
              </w:rPr>
              <w:t>ELIGIBILITY; DISQUALIFICATION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7.11.</w:t>
            </w:r>
          </w:p>
        </w:tc>
        <w:tc>
          <w:tcPr>
            <w:tcW w:w="9820" w:type="dxa"/>
            <w:vAlign w:val="bottom"/>
          </w:tcPr>
          <w:p>
            <w:pPr>
              <w:ind w:left="140"/>
              <w:spacing w:after="0"/>
              <w:rPr>
                <w:sz w:val="20"/>
                <w:szCs w:val="20"/>
                <w:color w:val="auto"/>
              </w:rPr>
            </w:pPr>
            <w:r>
              <w:rPr>
                <w:rFonts w:ascii="Arial" w:cs="Arial" w:eastAsia="Arial" w:hAnsi="Arial"/>
                <w:sz w:val="18"/>
                <w:szCs w:val="18"/>
                <w:color w:val="auto"/>
              </w:rPr>
              <w:t>PREFERENTIAL COLLECTION OF CLAIMS AGAINST COMPANY</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3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7.12.</w:t>
            </w:r>
          </w:p>
        </w:tc>
        <w:tc>
          <w:tcPr>
            <w:tcW w:w="9820" w:type="dxa"/>
            <w:vAlign w:val="bottom"/>
          </w:tcPr>
          <w:p>
            <w:pPr>
              <w:ind w:left="140"/>
              <w:spacing w:after="0"/>
              <w:rPr>
                <w:sz w:val="20"/>
                <w:szCs w:val="20"/>
                <w:color w:val="auto"/>
              </w:rPr>
            </w:pPr>
            <w:r>
              <w:rPr>
                <w:rFonts w:ascii="Arial" w:cs="Arial" w:eastAsia="Arial" w:hAnsi="Arial"/>
                <w:sz w:val="18"/>
                <w:szCs w:val="18"/>
                <w:color w:val="auto"/>
              </w:rPr>
              <w:t>PAYING AGENTS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418"/>
        </w:trPr>
        <w:tc>
          <w:tcPr>
            <w:tcW w:w="10800" w:type="dxa"/>
            <w:vAlign w:val="bottom"/>
            <w:gridSpan w:val="2"/>
          </w:tcPr>
          <w:p>
            <w:pPr>
              <w:spacing w:after="0"/>
              <w:rPr>
                <w:sz w:val="20"/>
                <w:szCs w:val="20"/>
                <w:color w:val="auto"/>
              </w:rPr>
            </w:pPr>
            <w:r>
              <w:rPr>
                <w:rFonts w:ascii="Arial" w:cs="Arial" w:eastAsia="Arial" w:hAnsi="Arial"/>
                <w:sz w:val="18"/>
                <w:szCs w:val="18"/>
                <w:color w:val="auto"/>
              </w:rPr>
              <w:t>ARTICLE 8 AMENDMENTS, SUPPLEMENTS AND WAIVERS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9820" w:type="dxa"/>
            <w:vAlign w:val="bottom"/>
          </w:tcPr>
          <w:p>
            <w:pPr>
              <w:ind w:left="140"/>
              <w:spacing w:after="0"/>
              <w:rPr>
                <w:sz w:val="20"/>
                <w:szCs w:val="20"/>
                <w:color w:val="auto"/>
              </w:rPr>
            </w:pPr>
            <w:r>
              <w:rPr>
                <w:rFonts w:ascii="Arial" w:cs="Arial" w:eastAsia="Arial" w:hAnsi="Arial"/>
                <w:sz w:val="18"/>
                <w:szCs w:val="18"/>
                <w:color w:val="auto"/>
              </w:rPr>
              <w:t>WITHOUT CONSENT OF HOLDERS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9820" w:type="dxa"/>
            <w:vAlign w:val="bottom"/>
          </w:tcPr>
          <w:p>
            <w:pPr>
              <w:ind w:left="140"/>
              <w:spacing w:after="0"/>
              <w:rPr>
                <w:sz w:val="20"/>
                <w:szCs w:val="20"/>
                <w:color w:val="auto"/>
              </w:rPr>
            </w:pPr>
            <w:r>
              <w:rPr>
                <w:rFonts w:ascii="Arial" w:cs="Arial" w:eastAsia="Arial" w:hAnsi="Arial"/>
                <w:sz w:val="18"/>
                <w:szCs w:val="18"/>
                <w:color w:val="auto"/>
              </w:rPr>
              <w:t>WITH CONSENT OF HOLDERS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9820" w:type="dxa"/>
            <w:vAlign w:val="bottom"/>
          </w:tcPr>
          <w:p>
            <w:pPr>
              <w:ind w:left="140"/>
              <w:spacing w:after="0"/>
              <w:rPr>
                <w:sz w:val="20"/>
                <w:szCs w:val="20"/>
                <w:color w:val="auto"/>
              </w:rPr>
            </w:pPr>
            <w:r>
              <w:rPr>
                <w:rFonts w:ascii="Arial" w:cs="Arial" w:eastAsia="Arial" w:hAnsi="Arial"/>
                <w:sz w:val="18"/>
                <w:szCs w:val="18"/>
                <w:color w:val="auto"/>
              </w:rPr>
              <w:t>COMPLIANCE WITH TRUST INDENTURE ACT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9820" w:type="dxa"/>
            <w:vAlign w:val="bottom"/>
          </w:tcPr>
          <w:p>
            <w:pPr>
              <w:ind w:left="140"/>
              <w:spacing w:after="0"/>
              <w:rPr>
                <w:sz w:val="20"/>
                <w:szCs w:val="20"/>
                <w:color w:val="auto"/>
              </w:rPr>
            </w:pPr>
            <w:r>
              <w:rPr>
                <w:rFonts w:ascii="Arial" w:cs="Arial" w:eastAsia="Arial" w:hAnsi="Arial"/>
                <w:sz w:val="18"/>
                <w:szCs w:val="18"/>
                <w:color w:val="auto"/>
              </w:rPr>
              <w:t>REVOCATION AND EFFECT OF CONSENTS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9820" w:type="dxa"/>
            <w:vAlign w:val="bottom"/>
          </w:tcPr>
          <w:p>
            <w:pPr>
              <w:ind w:left="140"/>
              <w:spacing w:after="0"/>
              <w:rPr>
                <w:sz w:val="20"/>
                <w:szCs w:val="20"/>
                <w:color w:val="auto"/>
              </w:rPr>
            </w:pPr>
            <w:r>
              <w:rPr>
                <w:rFonts w:ascii="Arial" w:cs="Arial" w:eastAsia="Arial" w:hAnsi="Arial"/>
                <w:sz w:val="18"/>
                <w:szCs w:val="18"/>
                <w:color w:val="auto"/>
              </w:rPr>
              <w:t>NOTATION ON OR EXCHANGE OF SECURITIES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3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9820" w:type="dxa"/>
            <w:vAlign w:val="bottom"/>
          </w:tcPr>
          <w:p>
            <w:pPr>
              <w:ind w:left="140"/>
              <w:spacing w:after="0"/>
              <w:rPr>
                <w:sz w:val="20"/>
                <w:szCs w:val="20"/>
                <w:color w:val="auto"/>
              </w:rPr>
            </w:pPr>
            <w:r>
              <w:rPr>
                <w:rFonts w:ascii="Arial" w:cs="Arial" w:eastAsia="Arial" w:hAnsi="Arial"/>
                <w:sz w:val="18"/>
                <w:szCs w:val="18"/>
                <w:color w:val="auto"/>
              </w:rPr>
              <w:t>TRUSTEE TO SIGN AMENDMENTS, ETC.</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418"/>
        </w:trPr>
        <w:tc>
          <w:tcPr>
            <w:tcW w:w="10800" w:type="dxa"/>
            <w:vAlign w:val="bottom"/>
            <w:gridSpan w:val="2"/>
          </w:tcPr>
          <w:p>
            <w:pPr>
              <w:spacing w:after="0"/>
              <w:rPr>
                <w:sz w:val="20"/>
                <w:szCs w:val="20"/>
                <w:color w:val="auto"/>
              </w:rPr>
            </w:pPr>
            <w:r>
              <w:rPr>
                <w:rFonts w:ascii="Arial" w:cs="Arial" w:eastAsia="Arial" w:hAnsi="Arial"/>
                <w:sz w:val="18"/>
                <w:szCs w:val="18"/>
                <w:color w:val="auto"/>
              </w:rPr>
              <w:t>ARTICLE 9 DISCHARGE OF INDENTURE; DEFEASANCE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9.1.</w:t>
            </w:r>
          </w:p>
        </w:tc>
        <w:tc>
          <w:tcPr>
            <w:tcW w:w="9820" w:type="dxa"/>
            <w:vAlign w:val="bottom"/>
          </w:tcPr>
          <w:p>
            <w:pPr>
              <w:ind w:left="140"/>
              <w:spacing w:after="0"/>
              <w:rPr>
                <w:sz w:val="20"/>
                <w:szCs w:val="20"/>
                <w:color w:val="auto"/>
              </w:rPr>
            </w:pPr>
            <w:r>
              <w:rPr>
                <w:rFonts w:ascii="Arial" w:cs="Arial" w:eastAsia="Arial" w:hAnsi="Arial"/>
                <w:sz w:val="18"/>
                <w:szCs w:val="18"/>
                <w:color w:val="auto"/>
              </w:rPr>
              <w:t>DISCHARGE OF INDENTURE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9820" w:type="dxa"/>
            <w:vAlign w:val="bottom"/>
          </w:tcPr>
          <w:p>
            <w:pPr>
              <w:ind w:left="140"/>
              <w:spacing w:after="0"/>
              <w:rPr>
                <w:sz w:val="20"/>
                <w:szCs w:val="20"/>
                <w:color w:val="auto"/>
              </w:rPr>
            </w:pPr>
            <w:r>
              <w:rPr>
                <w:rFonts w:ascii="Arial" w:cs="Arial" w:eastAsia="Arial" w:hAnsi="Arial"/>
                <w:sz w:val="18"/>
                <w:szCs w:val="18"/>
                <w:color w:val="auto"/>
              </w:rPr>
              <w:t>LEGAL DEFEASANCE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9820" w:type="dxa"/>
            <w:vAlign w:val="bottom"/>
          </w:tcPr>
          <w:p>
            <w:pPr>
              <w:ind w:left="140"/>
              <w:spacing w:after="0"/>
              <w:rPr>
                <w:sz w:val="20"/>
                <w:szCs w:val="20"/>
                <w:color w:val="auto"/>
              </w:rPr>
            </w:pPr>
            <w:r>
              <w:rPr>
                <w:rFonts w:ascii="Arial" w:cs="Arial" w:eastAsia="Arial" w:hAnsi="Arial"/>
                <w:sz w:val="18"/>
                <w:szCs w:val="18"/>
                <w:color w:val="auto"/>
              </w:rPr>
              <w:t>COVENANT DEFEASANCE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9820" w:type="dxa"/>
            <w:vAlign w:val="bottom"/>
          </w:tcPr>
          <w:p>
            <w:pPr>
              <w:ind w:left="140"/>
              <w:spacing w:after="0"/>
              <w:rPr>
                <w:sz w:val="20"/>
                <w:szCs w:val="20"/>
                <w:color w:val="auto"/>
              </w:rPr>
            </w:pPr>
            <w:r>
              <w:rPr>
                <w:rFonts w:ascii="Arial" w:cs="Arial" w:eastAsia="Arial" w:hAnsi="Arial"/>
                <w:sz w:val="18"/>
                <w:szCs w:val="18"/>
                <w:color w:val="auto"/>
              </w:rPr>
              <w:t>CONDITIONS TO LEGAL DEFEASANCE OR COVENANT DEFEASANCE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9820" w:type="dxa"/>
            <w:vAlign w:val="bottom"/>
          </w:tcPr>
          <w:p>
            <w:pPr>
              <w:ind w:left="140"/>
              <w:spacing w:after="0"/>
              <w:rPr>
                <w:sz w:val="20"/>
                <w:szCs w:val="20"/>
                <w:color w:val="auto"/>
              </w:rPr>
            </w:pPr>
            <w:r>
              <w:rPr>
                <w:rFonts w:ascii="Arial" w:cs="Arial" w:eastAsia="Arial" w:hAnsi="Arial"/>
                <w:sz w:val="18"/>
                <w:szCs w:val="18"/>
                <w:color w:val="auto"/>
              </w:rPr>
              <w:t>DEPOSITED MONEY AND U.S. AND FOREIGN GOVERNMENT OBLIGATIONS TO BE HELD IN TRUST; OTHER</w:t>
            </w:r>
          </w:p>
        </w:tc>
        <w:tc>
          <w:tcPr>
            <w:tcW w:w="6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982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9820" w:type="dxa"/>
            <w:vAlign w:val="bottom"/>
          </w:tcPr>
          <w:p>
            <w:pPr>
              <w:ind w:left="140"/>
              <w:spacing w:after="0"/>
              <w:rPr>
                <w:sz w:val="20"/>
                <w:szCs w:val="20"/>
                <w:color w:val="auto"/>
              </w:rPr>
            </w:pPr>
            <w:r>
              <w:rPr>
                <w:rFonts w:ascii="Arial" w:cs="Arial" w:eastAsia="Arial" w:hAnsi="Arial"/>
                <w:sz w:val="18"/>
                <w:szCs w:val="18"/>
                <w:color w:val="auto"/>
              </w:rPr>
              <w:t>MONEYS HELD BY PAYING AGENT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3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9820" w:type="dxa"/>
            <w:vAlign w:val="bottom"/>
          </w:tcPr>
          <w:p>
            <w:pPr>
              <w:ind w:left="140"/>
              <w:spacing w:after="0"/>
              <w:rPr>
                <w:sz w:val="20"/>
                <w:szCs w:val="20"/>
                <w:color w:val="auto"/>
              </w:rPr>
            </w:pPr>
            <w:r>
              <w:rPr>
                <w:rFonts w:ascii="Arial" w:cs="Arial" w:eastAsia="Arial" w:hAnsi="Arial"/>
                <w:sz w:val="18"/>
                <w:szCs w:val="18"/>
                <w:color w:val="auto"/>
              </w:rPr>
              <w:t>MONEYS HELD BY TRUSTEE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418"/>
        </w:trPr>
        <w:tc>
          <w:tcPr>
            <w:tcW w:w="10800" w:type="dxa"/>
            <w:vAlign w:val="bottom"/>
            <w:gridSpan w:val="2"/>
          </w:tcPr>
          <w:p>
            <w:pPr>
              <w:spacing w:after="0"/>
              <w:rPr>
                <w:sz w:val="20"/>
                <w:szCs w:val="20"/>
                <w:color w:val="auto"/>
              </w:rPr>
            </w:pPr>
            <w:r>
              <w:rPr>
                <w:rFonts w:ascii="Arial" w:cs="Arial" w:eastAsia="Arial" w:hAnsi="Arial"/>
                <w:sz w:val="18"/>
                <w:szCs w:val="18"/>
                <w:color w:val="auto"/>
              </w:rPr>
              <w:t>ARTICLE 10 MISCELLANEOUS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9820" w:type="dxa"/>
            <w:vAlign w:val="bottom"/>
          </w:tcPr>
          <w:p>
            <w:pPr>
              <w:ind w:left="140"/>
              <w:spacing w:after="0"/>
              <w:rPr>
                <w:sz w:val="20"/>
                <w:szCs w:val="20"/>
                <w:color w:val="auto"/>
              </w:rPr>
            </w:pPr>
            <w:r>
              <w:rPr>
                <w:rFonts w:ascii="Arial" w:cs="Arial" w:eastAsia="Arial" w:hAnsi="Arial"/>
                <w:sz w:val="18"/>
                <w:szCs w:val="18"/>
                <w:color w:val="auto"/>
              </w:rPr>
              <w:t>TRUST INDENTURE ACT CONTROLS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9820" w:type="dxa"/>
            <w:vAlign w:val="bottom"/>
          </w:tcPr>
          <w:p>
            <w:pPr>
              <w:ind w:left="140"/>
              <w:spacing w:after="0"/>
              <w:rPr>
                <w:sz w:val="20"/>
                <w:szCs w:val="20"/>
                <w:color w:val="auto"/>
              </w:rPr>
            </w:pPr>
            <w:r>
              <w:rPr>
                <w:rFonts w:ascii="Arial" w:cs="Arial" w:eastAsia="Arial" w:hAnsi="Arial"/>
                <w:sz w:val="18"/>
                <w:szCs w:val="18"/>
                <w:color w:val="auto"/>
              </w:rPr>
              <w:t>NOTICES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9820" w:type="dxa"/>
            <w:vAlign w:val="bottom"/>
          </w:tcPr>
          <w:p>
            <w:pPr>
              <w:ind w:left="140"/>
              <w:spacing w:after="0"/>
              <w:rPr>
                <w:sz w:val="20"/>
                <w:szCs w:val="20"/>
                <w:color w:val="auto"/>
              </w:rPr>
            </w:pPr>
            <w:r>
              <w:rPr>
                <w:rFonts w:ascii="Arial" w:cs="Arial" w:eastAsia="Arial" w:hAnsi="Arial"/>
                <w:sz w:val="18"/>
                <w:szCs w:val="18"/>
                <w:color w:val="auto"/>
              </w:rPr>
              <w:t>COMMUNICATIONS BY HOLDERS WITH OTHER HOLDERS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9820" w:type="dxa"/>
            <w:vAlign w:val="bottom"/>
          </w:tcPr>
          <w:p>
            <w:pPr>
              <w:ind w:left="140"/>
              <w:spacing w:after="0"/>
              <w:rPr>
                <w:sz w:val="20"/>
                <w:szCs w:val="20"/>
                <w:color w:val="auto"/>
              </w:rPr>
            </w:pPr>
            <w:r>
              <w:rPr>
                <w:rFonts w:ascii="Arial" w:cs="Arial" w:eastAsia="Arial" w:hAnsi="Arial"/>
                <w:sz w:val="18"/>
                <w:szCs w:val="18"/>
                <w:color w:val="auto"/>
              </w:rPr>
              <w:t>CERTIFICATE AND OPINION AS TO CONDITIONS PRECEDENT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9820" w:type="dxa"/>
            <w:vAlign w:val="bottom"/>
          </w:tcPr>
          <w:p>
            <w:pPr>
              <w:ind w:left="140"/>
              <w:spacing w:after="0"/>
              <w:rPr>
                <w:sz w:val="20"/>
                <w:szCs w:val="20"/>
                <w:color w:val="auto"/>
              </w:rPr>
            </w:pPr>
            <w:r>
              <w:rPr>
                <w:rFonts w:ascii="Arial" w:cs="Arial" w:eastAsia="Arial" w:hAnsi="Arial"/>
                <w:sz w:val="18"/>
                <w:szCs w:val="18"/>
                <w:color w:val="auto"/>
              </w:rPr>
              <w:t>STATEMENT REQUIRED IN CERTIFICATE AND OPINION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9820" w:type="dxa"/>
            <w:vAlign w:val="bottom"/>
          </w:tcPr>
          <w:p>
            <w:pPr>
              <w:ind w:left="140"/>
              <w:spacing w:after="0"/>
              <w:rPr>
                <w:sz w:val="20"/>
                <w:szCs w:val="20"/>
                <w:color w:val="auto"/>
              </w:rPr>
            </w:pPr>
            <w:r>
              <w:rPr>
                <w:rFonts w:ascii="Arial" w:cs="Arial" w:eastAsia="Arial" w:hAnsi="Arial"/>
                <w:sz w:val="18"/>
                <w:szCs w:val="18"/>
                <w:color w:val="auto"/>
              </w:rPr>
              <w:t>RULES BY TRUSTEE AND AGENTS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9820" w:type="dxa"/>
            <w:vAlign w:val="bottom"/>
          </w:tcPr>
          <w:p>
            <w:pPr>
              <w:ind w:left="140"/>
              <w:spacing w:after="0"/>
              <w:rPr>
                <w:sz w:val="20"/>
                <w:szCs w:val="20"/>
                <w:color w:val="auto"/>
              </w:rPr>
            </w:pPr>
            <w:r>
              <w:rPr>
                <w:rFonts w:ascii="Arial" w:cs="Arial" w:eastAsia="Arial" w:hAnsi="Arial"/>
                <w:sz w:val="18"/>
                <w:szCs w:val="18"/>
                <w:color w:val="auto"/>
              </w:rPr>
              <w:t>BUSINESS DAYS; LEGAL HOLIDAYS; PLACE OF PAYMENT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3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982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2" w:name="page33"/>
    <w:bookmarkEnd w:id="32"/>
    <w:p>
      <w:pPr>
        <w:jc w:val="center"/>
        <w:ind w:right="440"/>
        <w:spacing w:after="0"/>
        <w:rPr>
          <w:sz w:val="20"/>
          <w:szCs w:val="20"/>
          <w:color w:val="auto"/>
        </w:rPr>
      </w:pPr>
      <w:r>
        <w:rPr>
          <w:rFonts w:ascii="Arial" w:cs="Arial" w:eastAsia="Arial" w:hAnsi="Arial"/>
          <w:sz w:val="18"/>
          <w:szCs w:val="18"/>
          <w:color w:val="auto"/>
        </w:rPr>
        <w:t>TABLE OF CONTENTS</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0" w:type="dxa"/>
            <w:vAlign w:val="bottom"/>
            <w:vMerge w:val="restart"/>
          </w:tcPr>
          <w:p>
            <w:pPr>
              <w:spacing w:after="0"/>
              <w:rPr>
                <w:sz w:val="20"/>
                <w:szCs w:val="20"/>
                <w:color w:val="auto"/>
              </w:rPr>
            </w:pPr>
            <w:r>
              <w:rPr>
                <w:rFonts w:ascii="Arial" w:cs="Arial" w:eastAsia="Arial" w:hAnsi="Arial"/>
                <w:sz w:val="18"/>
                <w:szCs w:val="18"/>
                <w:color w:val="auto"/>
              </w:rPr>
              <w:t>10.9.</w:t>
            </w:r>
          </w:p>
        </w:tc>
        <w:tc>
          <w:tcPr>
            <w:tcW w:w="9800" w:type="dxa"/>
            <w:vAlign w:val="bottom"/>
            <w:vMerge w:val="restart"/>
          </w:tcPr>
          <w:p>
            <w:pPr>
              <w:ind w:left="120"/>
              <w:spacing w:after="0"/>
              <w:rPr>
                <w:sz w:val="20"/>
                <w:szCs w:val="20"/>
                <w:color w:val="auto"/>
              </w:rPr>
            </w:pPr>
            <w:r>
              <w:rPr>
                <w:rFonts w:ascii="Arial" w:cs="Arial" w:eastAsia="Arial" w:hAnsi="Arial"/>
                <w:sz w:val="18"/>
                <w:szCs w:val="18"/>
                <w:color w:val="auto"/>
              </w:rPr>
              <w:t>NO ADVERSE INTERPRETATION OF OTHER AGREEMENTS</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95"/>
        </w:trPr>
        <w:tc>
          <w:tcPr>
            <w:tcW w:w="560" w:type="dxa"/>
            <w:vAlign w:val="bottom"/>
            <w:vMerge w:val="continue"/>
          </w:tcPr>
          <w:p>
            <w:pPr>
              <w:spacing w:after="0"/>
              <w:rPr>
                <w:sz w:val="16"/>
                <w:szCs w:val="16"/>
                <w:color w:val="auto"/>
              </w:rPr>
            </w:pPr>
          </w:p>
        </w:tc>
        <w:tc>
          <w:tcPr>
            <w:tcW w:w="9800" w:type="dxa"/>
            <w:vAlign w:val="bottom"/>
            <w:vMerge w:val="continue"/>
          </w:tcPr>
          <w:p>
            <w:pPr>
              <w:spacing w:after="0"/>
              <w:rPr>
                <w:sz w:val="16"/>
                <w:szCs w:val="16"/>
                <w:color w:val="auto"/>
              </w:rPr>
            </w:pPr>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10.10.</w:t>
            </w:r>
          </w:p>
        </w:tc>
        <w:tc>
          <w:tcPr>
            <w:tcW w:w="9800" w:type="dxa"/>
            <w:vAlign w:val="bottom"/>
          </w:tcPr>
          <w:p>
            <w:pPr>
              <w:ind w:left="120"/>
              <w:spacing w:after="0"/>
              <w:rPr>
                <w:sz w:val="20"/>
                <w:szCs w:val="20"/>
                <w:color w:val="auto"/>
              </w:rPr>
            </w:pPr>
            <w:r>
              <w:rPr>
                <w:rFonts w:ascii="Arial" w:cs="Arial" w:eastAsia="Arial" w:hAnsi="Arial"/>
                <w:sz w:val="18"/>
                <w:szCs w:val="18"/>
                <w:color w:val="auto"/>
              </w:rPr>
              <w:t>NO RECOURSE AGAINST OTHERS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560" w:type="dxa"/>
            <w:vAlign w:val="bottom"/>
          </w:tcPr>
          <w:p>
            <w:pPr>
              <w:ind w:left="20"/>
              <w:spacing w:after="0"/>
              <w:rPr>
                <w:sz w:val="20"/>
                <w:szCs w:val="20"/>
                <w:color w:val="auto"/>
              </w:rPr>
            </w:pPr>
            <w:r>
              <w:rPr>
                <w:rFonts w:ascii="Arial" w:cs="Arial" w:eastAsia="Arial" w:hAnsi="Arial"/>
                <w:sz w:val="18"/>
                <w:szCs w:val="18"/>
                <w:color w:val="auto"/>
              </w:rPr>
              <w:t>10.11.</w:t>
            </w:r>
          </w:p>
        </w:tc>
        <w:tc>
          <w:tcPr>
            <w:tcW w:w="9800" w:type="dxa"/>
            <w:vAlign w:val="bottom"/>
          </w:tcPr>
          <w:p>
            <w:pPr>
              <w:ind w:left="120"/>
              <w:spacing w:after="0"/>
              <w:rPr>
                <w:sz w:val="20"/>
                <w:szCs w:val="20"/>
                <w:color w:val="auto"/>
              </w:rPr>
            </w:pPr>
            <w:r>
              <w:rPr>
                <w:rFonts w:ascii="Arial" w:cs="Arial" w:eastAsia="Arial" w:hAnsi="Arial"/>
                <w:sz w:val="18"/>
                <w:szCs w:val="18"/>
                <w:color w:val="auto"/>
              </w:rPr>
              <w:t>SUCCESSORS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10.12.</w:t>
            </w:r>
          </w:p>
        </w:tc>
        <w:tc>
          <w:tcPr>
            <w:tcW w:w="9800" w:type="dxa"/>
            <w:vAlign w:val="bottom"/>
          </w:tcPr>
          <w:p>
            <w:pPr>
              <w:ind w:left="120"/>
              <w:spacing w:after="0"/>
              <w:rPr>
                <w:sz w:val="20"/>
                <w:szCs w:val="20"/>
                <w:color w:val="auto"/>
              </w:rPr>
            </w:pPr>
            <w:r>
              <w:rPr>
                <w:rFonts w:ascii="Arial" w:cs="Arial" w:eastAsia="Arial" w:hAnsi="Arial"/>
                <w:sz w:val="18"/>
                <w:szCs w:val="18"/>
                <w:color w:val="auto"/>
              </w:rPr>
              <w:t>MULTIPLE COUNTERPARTS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10.13.</w:t>
            </w:r>
          </w:p>
        </w:tc>
        <w:tc>
          <w:tcPr>
            <w:tcW w:w="9800" w:type="dxa"/>
            <w:vAlign w:val="bottom"/>
          </w:tcPr>
          <w:p>
            <w:pPr>
              <w:ind w:left="120"/>
              <w:spacing w:after="0"/>
              <w:rPr>
                <w:sz w:val="20"/>
                <w:szCs w:val="20"/>
                <w:color w:val="auto"/>
              </w:rPr>
            </w:pPr>
            <w:r>
              <w:rPr>
                <w:rFonts w:ascii="Arial" w:cs="Arial" w:eastAsia="Arial" w:hAnsi="Arial"/>
                <w:sz w:val="18"/>
                <w:szCs w:val="18"/>
                <w:color w:val="auto"/>
              </w:rPr>
              <w:t>TABLE OF CONTENTS, HEADINGS, ETC.</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10.14.</w:t>
            </w:r>
          </w:p>
        </w:tc>
        <w:tc>
          <w:tcPr>
            <w:tcW w:w="980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10.15.</w:t>
            </w:r>
          </w:p>
        </w:tc>
        <w:tc>
          <w:tcPr>
            <w:tcW w:w="9800" w:type="dxa"/>
            <w:vAlign w:val="bottom"/>
          </w:tcPr>
          <w:p>
            <w:pPr>
              <w:ind w:left="120"/>
              <w:spacing w:after="0"/>
              <w:rPr>
                <w:sz w:val="20"/>
                <w:szCs w:val="20"/>
                <w:color w:val="auto"/>
              </w:rPr>
            </w:pPr>
            <w:r>
              <w:rPr>
                <w:rFonts w:ascii="Arial" w:cs="Arial" w:eastAsia="Arial" w:hAnsi="Arial"/>
                <w:sz w:val="18"/>
                <w:szCs w:val="18"/>
                <w:color w:val="auto"/>
              </w:rPr>
              <w:t>SECURITIES IN A FOREIGN CURRENCY OR IN EURO</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10.16.</w:t>
            </w:r>
          </w:p>
        </w:tc>
        <w:tc>
          <w:tcPr>
            <w:tcW w:w="9800" w:type="dxa"/>
            <w:vAlign w:val="bottom"/>
          </w:tcPr>
          <w:p>
            <w:pPr>
              <w:ind w:left="120"/>
              <w:spacing w:after="0"/>
              <w:rPr>
                <w:sz w:val="20"/>
                <w:szCs w:val="20"/>
                <w:color w:val="auto"/>
              </w:rPr>
            </w:pPr>
            <w:r>
              <w:rPr>
                <w:rFonts w:ascii="Arial" w:cs="Arial" w:eastAsia="Arial" w:hAnsi="Arial"/>
                <w:sz w:val="18"/>
                <w:szCs w:val="18"/>
                <w:color w:val="auto"/>
              </w:rPr>
              <w:t>JUDGMENT CURRENCY</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680" w:top="962"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8720" w:type="dxa"/>
            <w:vAlign w:val="bottom"/>
            <w:gridSpan w:val="3"/>
          </w:tcPr>
          <w:p>
            <w:pPr>
              <w:ind w:left="1800"/>
              <w:spacing w:after="0"/>
              <w:rPr>
                <w:sz w:val="20"/>
                <w:szCs w:val="20"/>
                <w:color w:val="auto"/>
              </w:rPr>
            </w:pPr>
            <w:r>
              <w:rPr>
                <w:rFonts w:ascii="Arial" w:cs="Arial" w:eastAsia="Arial" w:hAnsi="Arial"/>
                <w:sz w:val="18"/>
                <w:szCs w:val="18"/>
                <w:b w:val="1"/>
                <w:bCs w:val="1"/>
                <w:color w:val="auto"/>
              </w:rPr>
              <w:t>CROSS-REFERENCE TABLE</w:t>
            </w:r>
          </w:p>
        </w:tc>
      </w:tr>
      <w:tr>
        <w:trPr>
          <w:trHeight w:val="365"/>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TIA SECTION</w:t>
            </w:r>
          </w:p>
        </w:tc>
        <w:tc>
          <w:tcPr>
            <w:tcW w:w="18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INDENTURE SECTION</w:t>
            </w:r>
          </w:p>
        </w:tc>
      </w:tr>
      <w:tr>
        <w:trPr>
          <w:trHeight w:val="411"/>
        </w:trPr>
        <w:tc>
          <w:tcPr>
            <w:tcW w:w="2700" w:type="dxa"/>
            <w:vAlign w:val="bottom"/>
          </w:tcPr>
          <w:p>
            <w:pPr>
              <w:spacing w:after="0"/>
              <w:rPr>
                <w:sz w:val="20"/>
                <w:szCs w:val="20"/>
                <w:color w:val="auto"/>
              </w:rPr>
            </w:pPr>
            <w:r>
              <w:rPr>
                <w:rFonts w:ascii="Arial" w:cs="Arial" w:eastAsia="Arial" w:hAnsi="Arial"/>
                <w:sz w:val="18"/>
                <w:szCs w:val="18"/>
                <w:color w:val="auto"/>
              </w:rPr>
              <w:t>310(a)(1)</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7.10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(a)(2)</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7.10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(a)(3)</w:t>
            </w:r>
          </w:p>
        </w:tc>
        <w:tc>
          <w:tcPr>
            <w:tcW w:w="1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(a)(4)</w:t>
            </w:r>
          </w:p>
        </w:tc>
        <w:tc>
          <w:tcPr>
            <w:tcW w:w="1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(a)(5)</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7.10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7.8; 7.10; 10.4</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(b)(1)</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7.10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(b)(9)</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7.10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311(a)</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7.11</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7.11</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312(a)</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2.6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10.3</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10.3</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313(a)</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(b)(1)</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(b)(2)</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7.6; 10.4</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(d)</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314(a)</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4.2; 4.4; 10.4</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w:t>
            </w:r>
          </w:p>
        </w:tc>
        <w:tc>
          <w:tcPr>
            <w:tcW w:w="1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(c)(1)</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10.4; 10.5</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(c)(2)</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10.4; 10.5</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(c)(3)</w:t>
            </w:r>
          </w:p>
        </w:tc>
        <w:tc>
          <w:tcPr>
            <w:tcW w:w="1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(d)</w:t>
            </w:r>
          </w:p>
        </w:tc>
        <w:tc>
          <w:tcPr>
            <w:tcW w:w="1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(e)</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10.5</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w:t>
            </w:r>
          </w:p>
        </w:tc>
        <w:tc>
          <w:tcPr>
            <w:tcW w:w="1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315(a)</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7.1, 7.2</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(b)</w:t>
            </w:r>
          </w:p>
        </w:tc>
        <w:tc>
          <w:tcPr>
            <w:tcW w:w="8720" w:type="dxa"/>
            <w:vAlign w:val="bottom"/>
            <w:gridSpan w:val="3"/>
          </w:tcPr>
          <w:p>
            <w:pPr>
              <w:ind w:left="2460"/>
              <w:spacing w:after="0"/>
              <w:rPr>
                <w:sz w:val="20"/>
                <w:szCs w:val="20"/>
                <w:color w:val="auto"/>
              </w:rPr>
            </w:pPr>
            <w:r>
              <w:rPr>
                <w:rFonts w:ascii="Arial" w:cs="Arial" w:eastAsia="Arial" w:hAnsi="Arial"/>
                <w:sz w:val="18"/>
                <w:szCs w:val="18"/>
                <w:color w:val="auto"/>
              </w:rPr>
              <w:t>7.5; 10.2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7"/>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TIA SECTION</w:t>
            </w:r>
          </w:p>
        </w:tc>
        <w:tc>
          <w:tcPr>
            <w:tcW w:w="580" w:type="dxa"/>
            <w:vAlign w:val="bottom"/>
          </w:tcPr>
          <w:p>
            <w:pPr>
              <w:spacing w:after="0"/>
              <w:rPr>
                <w:sz w:val="14"/>
                <w:szCs w:val="14"/>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INDENTURE SECTION</w:t>
            </w:r>
          </w:p>
        </w:tc>
      </w:tr>
      <w:tr>
        <w:trPr>
          <w:trHeight w:val="411"/>
        </w:trPr>
        <w:tc>
          <w:tcPr>
            <w:tcW w:w="4580" w:type="dxa"/>
            <w:vAlign w:val="bottom"/>
          </w:tcPr>
          <w:p>
            <w:pPr>
              <w:spacing w:after="0"/>
              <w:rPr>
                <w:sz w:val="20"/>
                <w:szCs w:val="20"/>
                <w:color w:val="auto"/>
              </w:rPr>
            </w:pPr>
            <w:r>
              <w:rPr>
                <w:rFonts w:ascii="Arial" w:cs="Arial" w:eastAsia="Arial" w:hAnsi="Arial"/>
                <w:sz w:val="18"/>
                <w:szCs w:val="18"/>
                <w:color w:val="auto"/>
              </w:rPr>
              <w:t>(c)</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7.1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6.5; 7.1; 7.2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6.11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316(a)(last sentence)</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2.10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(a)(1)(A)</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6.5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(a)(1)(B)</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6.4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(a)(2)</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8.2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6.7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8.4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317(a)(1)</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6.8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(a)(2)</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6.9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2.5; 7.12</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318(a)</w:t>
            </w:r>
          </w:p>
        </w:tc>
        <w:tc>
          <w:tcPr>
            <w:tcW w:w="6840" w:type="dxa"/>
            <w:vAlign w:val="bottom"/>
            <w:gridSpan w:val="2"/>
          </w:tcPr>
          <w:p>
            <w:pPr>
              <w:ind w:left="58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N/A</w:t>
        <w:tab/>
        <w:t>means 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This Cross-Reference Table shall not, for any purpose, be deemed to be a part of the Indenture.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180" w:type="dxa"/>
            <w:vAlign w:val="bottom"/>
            <w:gridSpan w:val="3"/>
          </w:tcPr>
          <w:p>
            <w:pPr>
              <w:ind w:left="240"/>
              <w:spacing w:after="0"/>
              <w:rPr>
                <w:sz w:val="20"/>
                <w:szCs w:val="20"/>
                <w:color w:val="auto"/>
              </w:rPr>
            </w:pPr>
            <w:r>
              <w:rPr>
                <w:rFonts w:ascii="Arial" w:cs="Arial" w:eastAsia="Arial" w:hAnsi="Arial"/>
                <w:sz w:val="18"/>
                <w:szCs w:val="18"/>
                <w:color w:val="auto"/>
                <w:w w:val="94"/>
              </w:rPr>
              <w:t>INDENTURE, dated as of</w:t>
            </w:r>
          </w:p>
        </w:tc>
        <w:tc>
          <w:tcPr>
            <w:tcW w:w="960" w:type="dxa"/>
            <w:vAlign w:val="bottom"/>
            <w:tcBorders>
              <w:bottom w:val="single" w:sz="8" w:color="auto"/>
            </w:tcBorders>
          </w:tcPr>
          <w:p>
            <w:pPr>
              <w:spacing w:after="0"/>
              <w:rPr>
                <w:sz w:val="17"/>
                <w:szCs w:val="17"/>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w w:val="89"/>
              </w:rPr>
              <w:t>, ___, by and between StemCells, Inc., a Delaware corporation, as Issuer (the “Company”) and</w:t>
            </w:r>
          </w:p>
        </w:tc>
      </w:tr>
      <w:tr>
        <w:trPr>
          <w:trHeight w:val="196"/>
        </w:trPr>
        <w:tc>
          <w:tcPr>
            <w:tcW w:w="104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w w:val="99"/>
              </w:rPr>
              <w:t>, a</w:t>
            </w: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ind w:left="60"/>
              <w:spacing w:after="0" w:line="196" w:lineRule="exact"/>
              <w:rPr>
                <w:sz w:val="20"/>
                <w:szCs w:val="20"/>
                <w:color w:val="auto"/>
              </w:rPr>
            </w:pPr>
            <w:r>
              <w:rPr>
                <w:rFonts w:ascii="Arial" w:cs="Arial" w:eastAsia="Arial" w:hAnsi="Arial"/>
                <w:sz w:val="18"/>
                <w:szCs w:val="18"/>
                <w:color w:val="auto"/>
                <w:w w:val="91"/>
              </w:rPr>
              <w:t>organized under the laws of</w:t>
            </w:r>
          </w:p>
        </w:tc>
        <w:tc>
          <w:tcPr>
            <w:tcW w:w="4680" w:type="dxa"/>
            <w:vAlign w:val="bottom"/>
            <w:gridSpan w:val="2"/>
          </w:tcPr>
          <w:p>
            <w:pPr>
              <w:ind w:left="2700"/>
              <w:spacing w:after="0" w:line="196" w:lineRule="exact"/>
              <w:rPr>
                <w:sz w:val="20"/>
                <w:szCs w:val="20"/>
                <w:color w:val="auto"/>
              </w:rPr>
            </w:pPr>
            <w:r>
              <w:rPr>
                <w:rFonts w:ascii="Arial" w:cs="Arial" w:eastAsia="Arial" w:hAnsi="Arial"/>
                <w:sz w:val="18"/>
                <w:szCs w:val="18"/>
                <w:color w:val="auto"/>
                <w:w w:val="89"/>
              </w:rPr>
              <w:t>, as Trustee (the “Trustee”).</w:t>
            </w:r>
          </w:p>
        </w:tc>
      </w:tr>
      <w:tr>
        <w:trPr>
          <w:trHeight w:val="20"/>
        </w:trPr>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6311900</wp:posOffset>
            </wp:positionH>
            <wp:positionV relativeFrom="paragraph">
              <wp:posOffset>-145415</wp:posOffset>
            </wp:positionV>
            <wp:extent cx="5429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 OF THE COMPANY</w:t>
      </w:r>
    </w:p>
    <w:p>
      <w:pPr>
        <w:spacing w:after="0" w:line="121" w:lineRule="exact"/>
        <w:rPr>
          <w:sz w:val="20"/>
          <w:szCs w:val="20"/>
          <w:color w:val="auto"/>
        </w:rPr>
      </w:pPr>
    </w:p>
    <w:p>
      <w:pPr>
        <w:jc w:val="both"/>
        <w:ind w:right="340" w:firstLine="222"/>
        <w:spacing w:after="0" w:line="286" w:lineRule="auto"/>
        <w:rPr>
          <w:sz w:val="20"/>
          <w:szCs w:val="20"/>
          <w:color w:val="auto"/>
        </w:rPr>
      </w:pPr>
      <w:r>
        <w:rPr>
          <w:rFonts w:ascii="Arial" w:cs="Arial" w:eastAsia="Arial" w:hAnsi="Arial"/>
          <w:sz w:val="17"/>
          <w:szCs w:val="17"/>
          <w:color w:val="auto"/>
        </w:rPr>
        <w:t>The Company has duly authorized the execution and delivery of this Indenture to provide for the issuance from time to time of its debentures, notes or other evidences of indebtedness to be issued in one or more series (the “Securities”), as herein provided, up to such principal amount as may from time to time be authorized in or pursuant to one or more resolutions of the Board of Directors or by supplemental indenture.</w:t>
      </w:r>
    </w:p>
    <w:p>
      <w:pPr>
        <w:spacing w:after="0" w:line="57"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 and the execution and delivery thereof have been in all respects duly authorized by the parties hereto.</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12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agreed, for the equal and proportionate benefit of all Holders of the Securities of a Series thereof, as follows: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1.1. DEFINITIONS.</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“Affiliate” of any specified Person means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“Agent” means any Registrar, Paying Agent, co-registrar or agent for service of notices and demands.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of Directors” means the Board of Directors of the Company or any committee duly authorized to act therefor.</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“Board Resolution” means a copy of a resolution certified pursuant to an Officers’ Certificate to have been duly adopted by the Board of Directors of the Company and to be in full force and effect on the date of such certification and delivered to the Trustee.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“Capital Stock” means, with respect to any Person, any and all shares or other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36" w:name="page37"/>
    <w:bookmarkEnd w:id="36"/>
    <w:p>
      <w:pPr>
        <w:ind w:right="140"/>
        <w:spacing w:after="0" w:line="277" w:lineRule="auto"/>
        <w:rPr>
          <w:sz w:val="20"/>
          <w:szCs w:val="20"/>
          <w:color w:val="auto"/>
        </w:rPr>
      </w:pPr>
      <w:r>
        <w:rPr>
          <w:rFonts w:ascii="Arial" w:cs="Arial" w:eastAsia="Arial" w:hAnsi="Arial"/>
          <w:sz w:val="18"/>
          <w:szCs w:val="18"/>
          <w:color w:val="auto"/>
        </w:rPr>
        <w:t>(however designated) of capital stock, partnership interests or any other participation, right or other interest in the nature of an equity interest in such Person or any option, warrant or other security convertible into any of the foregoing.</w:t>
      </w:r>
    </w:p>
    <w:p>
      <w:pPr>
        <w:spacing w:after="0" w:line="62"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“Company” means the party named as such in the first paragraph of this Indenture until a successor replaces such party pursuant to Article 5 of this Indenture and thereafter means the successor and any other primary obligor on the Securities.</w:t>
      </w:r>
    </w:p>
    <w:p>
      <w:pPr>
        <w:spacing w:after="0" w:line="62"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“Company Order” means a written order signed in the name of the Company by two Officers, one of whom must be its Chief Executive Officer or its Chief Financial Officer.</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“Company Request” means any written request signed in the name of the Company by its Chief Executive Officer, its President, any Vice President, its Chief Financial Officer or its Treasurer and attested to by the Secretary or any Assistant Secretary of the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“Corporate Trust Office” means the office of the Trustee at which at any particular time its corporate trust business shall be principally administered.</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“Default” means any event that is, or with the passing of time or giving of notice or both would be, an Event of Default.</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“Depository”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until a successor Depository shall have become such pursuant to the applicable provisions of this Indenture, and thereafter “Depository” shall mean each Person who is then a Depository hereunder, and if at any time there is more than one such Person, such Persons.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“Dollars” means the currency of the United States of America.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“Euro” means the single currency of participating member states of the economic and monetary union as contemplated in the Treaty on European Union.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“Foreign Currency” means any currency or currency unit issued by a government other than the government of the United States of America.</w:t>
      </w:r>
    </w:p>
    <w:p>
      <w:pPr>
        <w:spacing w:after="0" w:line="12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“Foreign Government Obligations”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“GAAP” means generally accepted accounting principles consistently applied as in effect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in the United States from time to time.</w:t>
      </w:r>
    </w:p>
    <w:p>
      <w:pPr>
        <w:spacing w:after="0" w:line="117"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“Global Security” or “Global Securities” means a Security or Securities, as the case may be, in the form established pursuant to Section 2.2, evidencing all or part of a Series of Securities issued to the Depository for such Series or its nominee, and registered in the name of such Depository or nominee, and bearing the legend set forth in Section 2.15(c) (or such legend as may be specified as contemplated by Section 2.2 for such Securities).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“Holder” or “Securityholder” means the Person in whose name a Security is registered on the Registrar’s books.</w:t>
      </w:r>
    </w:p>
    <w:p>
      <w:pPr>
        <w:spacing w:after="0" w:line="117"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“Indebtedness” means (without duplication), with respect to any Person, any indebtedness at any time outstanding, secured or unsecured, contingent or otherwise, which is for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accounts payable or trade payables, and other accrued liabilities arising in the ordinary course of business) if and to the extent any of the foregoing indebtedness would appear as a liability upon a balance sheet of such Person prepared in accordance with GAAP.</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“Indenture” means this Indenture as amended, restated or supplemented from time to time.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Payment Date” when used with respect to any Security, means the Stated Maturity of an installment of interest on such Security.</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“Lien” means, with respect to any property or assets of any Person, any mortgage or deed of trust, pledge, hypothecation, assignment, deposit arrangement, security interest, lien, charge, easement, encumbrance, preference, priority, or other security agreement or preferential arrangement of any kind or nature whatsoever on or with respect to such property or assets (including, without limitation, any capitalized lease obligation, conditional sales, or other title retention agreement having substantially the same economic effect as any of the foregoing).</w:t>
      </w:r>
    </w:p>
    <w:p>
      <w:pPr>
        <w:spacing w:after="0" w:line="79"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notice of option to elect payment or otherwise.</w:t>
      </w:r>
    </w:p>
    <w:p>
      <w:pPr>
        <w:spacing w:after="0" w:line="7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“Officer” means the Chief Executive Officer, the President, any Vice President, the Chief Financial Officer, the Treasurer or the Secretary of the Company or any other officer designated by the Board of Directors, as the case may be.</w:t>
      </w:r>
    </w:p>
    <w:p>
      <w:pPr>
        <w:spacing w:after="0" w:line="62" w:lineRule="exact"/>
        <w:rPr>
          <w:sz w:val="20"/>
          <w:szCs w:val="20"/>
          <w:color w:val="auto"/>
        </w:rPr>
      </w:pPr>
    </w:p>
    <w:p>
      <w:pPr>
        <w:ind w:right="340" w:firstLine="225"/>
        <w:spacing w:after="0" w:line="342" w:lineRule="auto"/>
        <w:rPr>
          <w:sz w:val="20"/>
          <w:szCs w:val="20"/>
          <w:color w:val="auto"/>
        </w:rPr>
      </w:pPr>
      <w:r>
        <w:rPr>
          <w:rFonts w:ascii="Arial" w:cs="Arial" w:eastAsia="Arial" w:hAnsi="Arial"/>
          <w:sz w:val="16"/>
          <w:szCs w:val="16"/>
          <w:color w:val="auto"/>
        </w:rPr>
        <w:t>“Officers’ Certificate” means, with respect to any Person, a certificate signed by the Chairman, Chief Executive Officer, the President or any Senior or Executive Vice President, and the Chief Financial Officer or any Treasurer of such Person that shall comply with applicable provisions of this Indenture.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right="20" w:firstLine="225"/>
        <w:spacing w:after="0" w:line="277" w:lineRule="auto"/>
        <w:rPr>
          <w:sz w:val="20"/>
          <w:szCs w:val="20"/>
          <w:color w:val="auto"/>
        </w:rPr>
      </w:pPr>
      <w:r>
        <w:rPr>
          <w:rFonts w:ascii="Arial" w:cs="Arial" w:eastAsia="Arial" w:hAnsi="Arial"/>
          <w:sz w:val="18"/>
          <w:szCs w:val="18"/>
          <w:color w:val="auto"/>
        </w:rPr>
        <w:t>“Opinion of Counsel” means a written opinion from legal counsel which counsel is reasonably acceptable to the Trustee. The counsel may be an employee of or counsel to the Company.</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joint-stock company, trust, unincorporated organization or government (including any agency or political subdivision thereof).</w:t>
      </w:r>
    </w:p>
    <w:p>
      <w:pPr>
        <w:spacing w:after="0" w:line="62"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“Redemption Date,” when used with respect to any Security of a Series to be redeemed, means the date fixed for such redemption pursuant to this Indenture.</w:t>
      </w:r>
    </w:p>
    <w:p>
      <w:pPr>
        <w:spacing w:after="0" w:line="62"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color w:val="auto"/>
        </w:rPr>
        <w:t>“Responsible Officer” when used with respect to the Trustee, means any officer within the corporate trust department or division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7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“SEC” means the United States Securities and Exchange Commission as constituted from time to time or any successor performing substantially the same functions.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“Securities” means the securities that are issued under this Indenture, as amended or supplemented from time to time pursuant to this Indenture.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“Series” or “Series of Securities” means each series of debentures, notes or other debt instruments of the Company created pursuant to Sections 2.1 or 2.2 hereof.</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“Significant Subsidiary” means (i) any direct or indirect Subsidiary of the Company that would be a “significant subsidiary” as defined in Article 1, Rule 1-02 of Regulation S-X, promulgated pursuant to the Securities Act, as such regulation is in effect on the date hereof, or (ii) any group of direct or indirect Subsidiaries of the Company that, taken together as a group, would be a “significant subsidiary” as defined in Article 1, Rule 1-02 of Regulation S-X, promulgated pursuant to the Securities Act, as such regulation is in effect on the date hereof.</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 and when used with respect to any other Indebtedness, means the date specified in the instrument governing such Indebtedness as the fixed date on which the principal of such Indebtedness, or any installment of interest thereon, is due and payable.</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“Subsidiary” of any specified Person means any corporation, limited liability company, partnership, joint venture, association or other business entity, whether now existing or hereafter organized or acquired, (i) in the case of a corporation, of which more than 50% of the total voting power of the Capital Stock entitled (without regard to the occurrence of any contingency) to vote in the election of directors thereof is held, directly or indirectly by such Person or any 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9" w:name="page40"/>
    <w:bookmarkEnd w:id="39"/>
    <w:p>
      <w:pPr>
        <w:ind w:right="360"/>
        <w:spacing w:after="0" w:line="264" w:lineRule="auto"/>
        <w:rPr>
          <w:sz w:val="20"/>
          <w:szCs w:val="20"/>
          <w:color w:val="auto"/>
        </w:rPr>
      </w:pPr>
      <w:r>
        <w:rPr>
          <w:rFonts w:ascii="Arial" w:cs="Arial" w:eastAsia="Arial" w:hAnsi="Arial"/>
          <w:sz w:val="18"/>
          <w:szCs w:val="18"/>
          <w:color w:val="auto"/>
        </w:rPr>
        <w:t>its Subsidiaries; or (ii) in the case of a partnership, joint venture, association or other business entity, with respect to which such Person or any of its Subsidiaries has the power to direct or cause the direction of the management and policies of such entity by contract or otherwise or if in accordance with GAAP such entity is consolidated with such Person for financial statement purposes.</w:t>
      </w:r>
    </w:p>
    <w:p>
      <w:pPr>
        <w:spacing w:after="0" w:line="73"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“TIA” means the Trust Indenture Act of 1939 (15 U.S. Code Section 77aaa-77bbbb) as in effect on the date of this Indenture (except as provided in Section 8.3 hereof).</w:t>
      </w:r>
    </w:p>
    <w:p>
      <w:pPr>
        <w:spacing w:after="0" w:line="62"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“Trustee” means the party named as such in this Indenture until a successor replaces it pursuant to this Indenture and thereafter means the successor, and if at any time there is more than one such Person, “Trustee” as used with respect to the Securities of any Series shall mean the Trustee with respect to Securities of that Series.</w:t>
      </w:r>
    </w:p>
    <w:p>
      <w:pPr>
        <w:spacing w:after="0" w:line="7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“U.S. Government Obligations” means direct non-callable obligations of, or non-callable obligations guaranteed by, the United States of America for the payment of which obligation or guarantee the full faith and credit of the United States of America is pledged.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1.2. OTHER DEFINITIONS.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definitions of the following terms may be found in the sections indicated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gridSpan w:val="2"/>
          </w:tcPr>
          <w:p>
            <w:pPr>
              <w:spacing w:after="0"/>
              <w:rPr>
                <w:sz w:val="20"/>
                <w:szCs w:val="20"/>
                <w:color w:val="auto"/>
              </w:rPr>
            </w:pPr>
            <w:r>
              <w:rPr>
                <w:rFonts w:ascii="Arial" w:cs="Arial" w:eastAsia="Arial" w:hAnsi="Arial"/>
                <w:sz w:val="14"/>
                <w:szCs w:val="14"/>
                <w:color w:val="auto"/>
              </w:rPr>
              <w:t>TERM</w:t>
            </w:r>
          </w:p>
        </w:tc>
        <w:tc>
          <w:tcPr>
            <w:tcW w:w="560" w:type="dxa"/>
            <w:vAlign w:val="bottom"/>
          </w:tcPr>
          <w:p>
            <w:pPr>
              <w:spacing w:after="0"/>
              <w:rPr>
                <w:sz w:val="14"/>
                <w:szCs w:val="14"/>
                <w:color w:val="auto"/>
              </w:rPr>
            </w:pPr>
          </w:p>
        </w:tc>
        <w:tc>
          <w:tcPr>
            <w:tcW w:w="6980" w:type="dxa"/>
            <w:vAlign w:val="bottom"/>
          </w:tcPr>
          <w:p>
            <w:pPr>
              <w:jc w:val="right"/>
              <w:ind w:right="5459"/>
              <w:spacing w:after="0"/>
              <w:rPr>
                <w:sz w:val="20"/>
                <w:szCs w:val="20"/>
                <w:color w:val="auto"/>
              </w:rPr>
            </w:pPr>
            <w:r>
              <w:rPr>
                <w:rFonts w:ascii="Arial" w:cs="Arial" w:eastAsia="Arial" w:hAnsi="Arial"/>
                <w:sz w:val="14"/>
                <w:szCs w:val="14"/>
                <w:color w:val="auto"/>
                <w:w w:val="97"/>
              </w:rPr>
              <w:t>DEFINED IN SECTION</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“Bankruptcy Law”</w:t>
            </w:r>
          </w:p>
        </w:tc>
        <w:tc>
          <w:tcPr>
            <w:tcW w:w="560" w:type="dxa"/>
            <w:vAlign w:val="bottom"/>
            <w:shd w:val="clear" w:color="auto" w:fill="CCEEFF"/>
          </w:tcPr>
          <w:p>
            <w:pPr>
              <w:spacing w:after="0"/>
              <w:rPr>
                <w:sz w:val="18"/>
                <w:szCs w:val="18"/>
                <w:color w:val="auto"/>
              </w:rPr>
            </w:pPr>
          </w:p>
        </w:tc>
        <w:tc>
          <w:tcPr>
            <w:tcW w:w="6980" w:type="dxa"/>
            <w:vAlign w:val="bottom"/>
            <w:tcBorders>
              <w:top w:val="single" w:sz="8" w:color="auto"/>
            </w:tcBorders>
            <w:shd w:val="clear" w:color="auto" w:fill="CCEEFF"/>
          </w:tcPr>
          <w:p>
            <w:pPr>
              <w:jc w:val="right"/>
              <w:ind w:right="3259"/>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“Business Day”</w:t>
            </w:r>
          </w:p>
        </w:tc>
        <w:tc>
          <w:tcPr>
            <w:tcW w:w="7540" w:type="dxa"/>
            <w:vAlign w:val="bottom"/>
            <w:gridSpan w:val="2"/>
          </w:tcPr>
          <w:p>
            <w:pPr>
              <w:jc w:val="right"/>
              <w:ind w:right="3259"/>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“Covenant Defeasance”</w:t>
            </w:r>
          </w:p>
        </w:tc>
        <w:tc>
          <w:tcPr>
            <w:tcW w:w="7540" w:type="dxa"/>
            <w:vAlign w:val="bottom"/>
            <w:gridSpan w:val="2"/>
            <w:shd w:val="clear" w:color="auto" w:fill="CCEEFF"/>
          </w:tcPr>
          <w:p>
            <w:pPr>
              <w:jc w:val="right"/>
              <w:ind w:right="3259"/>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“Custodian”</w:t>
            </w:r>
          </w:p>
        </w:tc>
        <w:tc>
          <w:tcPr>
            <w:tcW w:w="7540" w:type="dxa"/>
            <w:vAlign w:val="bottom"/>
            <w:gridSpan w:val="2"/>
          </w:tcPr>
          <w:p>
            <w:pPr>
              <w:jc w:val="right"/>
              <w:ind w:right="3259"/>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7540" w:type="dxa"/>
            <w:vAlign w:val="bottom"/>
            <w:gridSpan w:val="2"/>
            <w:shd w:val="clear" w:color="auto" w:fill="CCEEFF"/>
          </w:tcPr>
          <w:p>
            <w:pPr>
              <w:jc w:val="right"/>
              <w:ind w:right="3259"/>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“Journal”</w:t>
            </w:r>
          </w:p>
        </w:tc>
        <w:tc>
          <w:tcPr>
            <w:tcW w:w="7540" w:type="dxa"/>
            <w:vAlign w:val="bottom"/>
            <w:gridSpan w:val="2"/>
          </w:tcPr>
          <w:p>
            <w:pPr>
              <w:jc w:val="right"/>
              <w:ind w:right="3259"/>
              <w:spacing w:after="0"/>
              <w:rPr>
                <w:sz w:val="20"/>
                <w:szCs w:val="20"/>
                <w:color w:val="auto"/>
              </w:rPr>
            </w:pPr>
            <w:r>
              <w:rPr>
                <w:rFonts w:ascii="Arial" w:cs="Arial" w:eastAsia="Arial" w:hAnsi="Arial"/>
                <w:sz w:val="18"/>
                <w:szCs w:val="18"/>
                <w:color w:val="auto"/>
              </w:rPr>
              <w:t>10.15</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“Judgment Currency”</w:t>
            </w:r>
          </w:p>
        </w:tc>
        <w:tc>
          <w:tcPr>
            <w:tcW w:w="7540" w:type="dxa"/>
            <w:vAlign w:val="bottom"/>
            <w:gridSpan w:val="2"/>
            <w:shd w:val="clear" w:color="auto" w:fill="CCEEFF"/>
          </w:tcPr>
          <w:p>
            <w:pPr>
              <w:jc w:val="right"/>
              <w:ind w:right="3259"/>
              <w:spacing w:after="0"/>
              <w:rPr>
                <w:sz w:val="20"/>
                <w:szCs w:val="20"/>
                <w:color w:val="auto"/>
              </w:rPr>
            </w:pPr>
            <w:r>
              <w:rPr>
                <w:rFonts w:ascii="Arial" w:cs="Arial" w:eastAsia="Arial" w:hAnsi="Arial"/>
                <w:sz w:val="18"/>
                <w:szCs w:val="18"/>
                <w:color w:val="auto"/>
              </w:rPr>
              <w:t>10.16</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“Legal Defeasance”</w:t>
            </w:r>
          </w:p>
        </w:tc>
        <w:tc>
          <w:tcPr>
            <w:tcW w:w="7540" w:type="dxa"/>
            <w:vAlign w:val="bottom"/>
            <w:gridSpan w:val="2"/>
          </w:tcPr>
          <w:p>
            <w:pPr>
              <w:jc w:val="right"/>
              <w:ind w:right="3259"/>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“Legal Holiday”</w:t>
            </w:r>
          </w:p>
        </w:tc>
        <w:tc>
          <w:tcPr>
            <w:tcW w:w="7540" w:type="dxa"/>
            <w:vAlign w:val="bottom"/>
            <w:gridSpan w:val="2"/>
            <w:shd w:val="clear" w:color="auto" w:fill="CCEEFF"/>
          </w:tcPr>
          <w:p>
            <w:pPr>
              <w:jc w:val="right"/>
              <w:ind w:right="3259"/>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“Market Exchange Rate”</w:t>
            </w:r>
          </w:p>
        </w:tc>
        <w:tc>
          <w:tcPr>
            <w:tcW w:w="7540" w:type="dxa"/>
            <w:vAlign w:val="bottom"/>
            <w:gridSpan w:val="2"/>
          </w:tcPr>
          <w:p>
            <w:pPr>
              <w:jc w:val="right"/>
              <w:ind w:right="3259"/>
              <w:spacing w:after="0"/>
              <w:rPr>
                <w:sz w:val="20"/>
                <w:szCs w:val="20"/>
                <w:color w:val="auto"/>
              </w:rPr>
            </w:pPr>
            <w:r>
              <w:rPr>
                <w:rFonts w:ascii="Arial" w:cs="Arial" w:eastAsia="Arial" w:hAnsi="Arial"/>
                <w:sz w:val="18"/>
                <w:szCs w:val="18"/>
                <w:color w:val="auto"/>
              </w:rPr>
              <w:t>10.15</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“New York Banking Day”</w:t>
            </w:r>
          </w:p>
        </w:tc>
        <w:tc>
          <w:tcPr>
            <w:tcW w:w="7540" w:type="dxa"/>
            <w:vAlign w:val="bottom"/>
            <w:gridSpan w:val="2"/>
            <w:shd w:val="clear" w:color="auto" w:fill="CCEEFF"/>
          </w:tcPr>
          <w:p>
            <w:pPr>
              <w:jc w:val="right"/>
              <w:ind w:right="3259"/>
              <w:spacing w:after="0"/>
              <w:rPr>
                <w:sz w:val="20"/>
                <w:szCs w:val="20"/>
                <w:color w:val="auto"/>
              </w:rPr>
            </w:pPr>
            <w:r>
              <w:rPr>
                <w:rFonts w:ascii="Arial" w:cs="Arial" w:eastAsia="Arial" w:hAnsi="Arial"/>
                <w:sz w:val="18"/>
                <w:szCs w:val="18"/>
                <w:color w:val="auto"/>
              </w:rPr>
              <w:t>10.16</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“New York Paying Agent”</w:t>
            </w:r>
          </w:p>
        </w:tc>
        <w:tc>
          <w:tcPr>
            <w:tcW w:w="7540" w:type="dxa"/>
            <w:vAlign w:val="bottom"/>
            <w:gridSpan w:val="2"/>
          </w:tcPr>
          <w:p>
            <w:pPr>
              <w:jc w:val="right"/>
              <w:ind w:right="3259"/>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“Paying Agent”</w:t>
            </w:r>
          </w:p>
        </w:tc>
        <w:tc>
          <w:tcPr>
            <w:tcW w:w="7540" w:type="dxa"/>
            <w:vAlign w:val="bottom"/>
            <w:gridSpan w:val="2"/>
            <w:shd w:val="clear" w:color="auto" w:fill="CCEEFF"/>
          </w:tcPr>
          <w:p>
            <w:pPr>
              <w:jc w:val="right"/>
              <w:ind w:right="3259"/>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“Place of Payment”</w:t>
            </w:r>
          </w:p>
        </w:tc>
        <w:tc>
          <w:tcPr>
            <w:tcW w:w="7540" w:type="dxa"/>
            <w:vAlign w:val="bottom"/>
            <w:gridSpan w:val="2"/>
          </w:tcPr>
          <w:p>
            <w:pPr>
              <w:jc w:val="right"/>
              <w:ind w:right="3259"/>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“Registrar”</w:t>
            </w:r>
          </w:p>
        </w:tc>
        <w:tc>
          <w:tcPr>
            <w:tcW w:w="7540" w:type="dxa"/>
            <w:vAlign w:val="bottom"/>
            <w:gridSpan w:val="2"/>
            <w:shd w:val="clear" w:color="auto" w:fill="CCEEFF"/>
          </w:tcPr>
          <w:p>
            <w:pPr>
              <w:jc w:val="right"/>
              <w:ind w:right="3259"/>
              <w:spacing w:after="0"/>
              <w:rPr>
                <w:sz w:val="20"/>
                <w:szCs w:val="20"/>
                <w:color w:val="auto"/>
              </w:rPr>
            </w:pPr>
            <w:r>
              <w:rPr>
                <w:rFonts w:ascii="Arial" w:cs="Arial" w:eastAsia="Arial" w:hAnsi="Arial"/>
                <w:sz w:val="18"/>
                <w:szCs w:val="18"/>
                <w:color w:val="auto"/>
              </w:rPr>
              <w:t>2.4</w:t>
            </w:r>
          </w:p>
        </w:tc>
      </w:tr>
      <w:tr>
        <w:trPr>
          <w:trHeight w:val="40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540" w:type="dxa"/>
            <w:vAlign w:val="bottom"/>
            <w:gridSpan w:val="2"/>
          </w:tcPr>
          <w:p>
            <w:pPr>
              <w:jc w:val="right"/>
              <w:ind w:right="5519"/>
              <w:spacing w:after="0"/>
              <w:rPr>
                <w:sz w:val="20"/>
                <w:szCs w:val="20"/>
                <w:color w:val="auto"/>
              </w:rPr>
            </w:pPr>
            <w:r>
              <w:rPr>
                <w:rFonts w:ascii="Arial" w:cs="Arial" w:eastAsia="Arial" w:hAnsi="Arial"/>
                <w:sz w:val="18"/>
                <w:szCs w:val="18"/>
                <w:color w:val="auto"/>
              </w:rPr>
              <w:t>-5-</w:t>
            </w:r>
          </w:p>
        </w:tc>
      </w:tr>
      <w:tr>
        <w:trPr>
          <w:trHeight w:val="226"/>
        </w:trPr>
        <w:tc>
          <w:tcPr>
            <w:tcW w:w="20" w:type="dxa"/>
            <w:vAlign w:val="bottom"/>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7"/>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TERM</w:t>
            </w:r>
          </w:p>
        </w:tc>
        <w:tc>
          <w:tcPr>
            <w:tcW w:w="560" w:type="dxa"/>
            <w:vAlign w:val="bottom"/>
          </w:tcPr>
          <w:p>
            <w:pPr>
              <w:spacing w:after="0"/>
              <w:rPr>
                <w:sz w:val="14"/>
                <w:szCs w:val="14"/>
                <w:color w:val="auto"/>
              </w:rPr>
            </w:pPr>
          </w:p>
        </w:tc>
        <w:tc>
          <w:tcPr>
            <w:tcW w:w="6980" w:type="dxa"/>
            <w:vAlign w:val="bottom"/>
            <w:tcBorders>
              <w:bottom w:val="single" w:sz="8" w:color="auto"/>
            </w:tcBorders>
          </w:tcPr>
          <w:p>
            <w:pPr>
              <w:jc w:val="right"/>
              <w:ind w:right="5459"/>
              <w:spacing w:after="0"/>
              <w:rPr>
                <w:sz w:val="20"/>
                <w:szCs w:val="20"/>
                <w:color w:val="auto"/>
              </w:rPr>
            </w:pPr>
            <w:r>
              <w:rPr>
                <w:rFonts w:ascii="Arial" w:cs="Arial" w:eastAsia="Arial" w:hAnsi="Arial"/>
                <w:sz w:val="14"/>
                <w:szCs w:val="14"/>
                <w:color w:val="auto"/>
                <w:w w:val="97"/>
              </w:rPr>
              <w:t>DEFINED IN SECTION</w:t>
            </w: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rPr>
              <w:t>“Required Currency”</w:t>
            </w:r>
          </w:p>
        </w:tc>
        <w:tc>
          <w:tcPr>
            <w:tcW w:w="560" w:type="dxa"/>
            <w:vAlign w:val="bottom"/>
          </w:tcPr>
          <w:p>
            <w:pPr>
              <w:spacing w:after="0"/>
              <w:rPr>
                <w:sz w:val="18"/>
                <w:szCs w:val="18"/>
                <w:color w:val="auto"/>
              </w:rPr>
            </w:pPr>
          </w:p>
        </w:tc>
        <w:tc>
          <w:tcPr>
            <w:tcW w:w="6980" w:type="dxa"/>
            <w:vAlign w:val="bottom"/>
          </w:tcPr>
          <w:p>
            <w:pPr>
              <w:jc w:val="right"/>
              <w:ind w:right="3259"/>
              <w:spacing w:after="0"/>
              <w:rPr>
                <w:sz w:val="20"/>
                <w:szCs w:val="20"/>
                <w:color w:val="auto"/>
              </w:rPr>
            </w:pPr>
            <w:r>
              <w:rPr>
                <w:rFonts w:ascii="Arial" w:cs="Arial" w:eastAsia="Arial" w:hAnsi="Arial"/>
                <w:sz w:val="18"/>
                <w:szCs w:val="18"/>
                <w:color w:val="auto"/>
              </w:rPr>
              <w:t>10.16</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“Service Agent”</w:t>
            </w:r>
          </w:p>
        </w:tc>
        <w:tc>
          <w:tcPr>
            <w:tcW w:w="7540" w:type="dxa"/>
            <w:vAlign w:val="bottom"/>
            <w:gridSpan w:val="2"/>
            <w:shd w:val="clear" w:color="auto" w:fill="CCEEFF"/>
          </w:tcPr>
          <w:p>
            <w:pPr>
              <w:jc w:val="right"/>
              <w:ind w:right="3259"/>
              <w:spacing w:after="0"/>
              <w:rPr>
                <w:sz w:val="20"/>
                <w:szCs w:val="20"/>
                <w:color w:val="auto"/>
              </w:rPr>
            </w:pPr>
            <w:r>
              <w:rPr>
                <w:rFonts w:ascii="Arial" w:cs="Arial" w:eastAsia="Arial" w:hAnsi="Arial"/>
                <w:sz w:val="18"/>
                <w:szCs w:val="18"/>
                <w:color w:val="auto"/>
              </w:rPr>
              <w:t>2.4</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1.3. INCORPORATION BY REFERENCE OF TRUST INDENTURE ACT.</w:t>
      </w:r>
    </w:p>
    <w:p>
      <w:pPr>
        <w:spacing w:after="0" w:line="117" w:lineRule="exact"/>
        <w:rPr>
          <w:sz w:val="20"/>
          <w:szCs w:val="20"/>
          <w:color w:val="auto"/>
        </w:rPr>
      </w:pPr>
    </w:p>
    <w:p>
      <w:pPr>
        <w:jc w:val="both"/>
        <w:ind w:right="140" w:firstLine="222"/>
        <w:spacing w:after="0" w:line="264" w:lineRule="auto"/>
        <w:rPr>
          <w:sz w:val="20"/>
          <w:szCs w:val="20"/>
          <w:color w:val="auto"/>
        </w:rPr>
      </w:pPr>
      <w:r>
        <w:rPr>
          <w:rFonts w:ascii="Arial" w:cs="Arial" w:eastAsia="Arial" w:hAnsi="Arial"/>
          <w:sz w:val="18"/>
          <w:szCs w:val="18"/>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“Commission” means the SEC.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“indenture securities” means the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“indenture securityholder” means a Holder or Securityholder.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“indenture to be qualified” means this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“obligor on the indenture securities” means the Company.</w:t>
      </w:r>
    </w:p>
    <w:p>
      <w:pPr>
        <w:spacing w:after="0" w:line="117" w:lineRule="exact"/>
        <w:rPr>
          <w:sz w:val="20"/>
          <w:szCs w:val="20"/>
          <w:color w:val="auto"/>
        </w:rPr>
      </w:pPr>
    </w:p>
    <w:p>
      <w:pPr>
        <w:ind w:right="500" w:firstLine="215"/>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in the TIA by reference to another statute or defined by SEC rule have the meanings therein assigned to them.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1.4. RULES OF CONSTRUCTION.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720" w:hanging="26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term has the meaning assigned to it herein, whether defined expressly or by reference;</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words used herein implying any gender shall apply to each gender; and</w:t>
      </w:r>
    </w:p>
    <w:p>
      <w:pPr>
        <w:spacing w:after="0" w:line="117" w:lineRule="exact"/>
        <w:rPr>
          <w:rFonts w:ascii="Arial" w:cs="Arial" w:eastAsia="Arial" w:hAnsi="Arial"/>
          <w:sz w:val="18"/>
          <w:szCs w:val="18"/>
          <w:color w:val="auto"/>
        </w:rPr>
      </w:pPr>
    </w:p>
    <w:p>
      <w:pPr>
        <w:ind w:right="140" w:firstLine="458"/>
        <w:spacing w:after="0" w:line="277"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2.1. ISSUABLE IN SERIES.</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aggregate principal amount of Securities that may be authenticated and delivered under this Indenture is $100,000,000.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Stated Maturity,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2.2. ESTABLISHMENT OF TERMS OF SERIES OF SECURITIES.</w:t>
      </w:r>
    </w:p>
    <w:p>
      <w:pPr>
        <w:spacing w:after="0" w:line="117" w:lineRule="exact"/>
        <w:rPr>
          <w:sz w:val="20"/>
          <w:szCs w:val="20"/>
          <w:color w:val="auto"/>
        </w:rPr>
      </w:pPr>
    </w:p>
    <w:p>
      <w:pPr>
        <w:ind w:right="160" w:firstLine="215"/>
        <w:spacing w:after="0" w:line="286" w:lineRule="auto"/>
        <w:rPr>
          <w:sz w:val="20"/>
          <w:szCs w:val="20"/>
          <w:color w:val="auto"/>
        </w:rPr>
      </w:pPr>
      <w:r>
        <w:rPr>
          <w:rFonts w:ascii="Arial" w:cs="Arial" w:eastAsia="Arial" w:hAnsi="Arial"/>
          <w:sz w:val="17"/>
          <w:szCs w:val="17"/>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a Board Resolution, a supplemental indenture or an Officers’ Certificate, in each case, pursuant to authority granted under a Board Resolution:</w:t>
      </w:r>
    </w:p>
    <w:p>
      <w:pPr>
        <w:spacing w:after="0" w:line="57" w:lineRule="exact"/>
        <w:rPr>
          <w:sz w:val="20"/>
          <w:szCs w:val="20"/>
          <w:color w:val="auto"/>
        </w:rPr>
      </w:pPr>
    </w:p>
    <w:p>
      <w:pPr>
        <w:ind w:left="720" w:hanging="26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the Series (which shall distinguish the Securities of that particular Series from the Securities of any other Series);</w:t>
      </w:r>
    </w:p>
    <w:p>
      <w:pPr>
        <w:spacing w:after="0" w:line="117" w:lineRule="exact"/>
        <w:rPr>
          <w:rFonts w:ascii="Arial" w:cs="Arial" w:eastAsia="Arial" w:hAnsi="Arial"/>
          <w:sz w:val="18"/>
          <w:szCs w:val="18"/>
          <w:color w:val="auto"/>
        </w:rPr>
      </w:pPr>
    </w:p>
    <w:p>
      <w:pPr>
        <w:ind w:right="40" w:firstLine="458"/>
        <w:spacing w:after="0" w:line="264"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8.5);</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thereof) at which the Securities of the Series will be issued;</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ind w:right="20" w:firstLine="458"/>
        <w:spacing w:after="0" w:line="259"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42" w:name="page43"/>
    <w:bookmarkEnd w:id="42"/>
    <w:p>
      <w:pPr>
        <w:ind w:left="-80" w:right="220" w:firstLine="458"/>
        <w:spacing w:after="0" w:line="277" w:lineRule="auto"/>
        <w:tabs>
          <w:tab w:leader="none" w:pos="6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and premium, if any, on the Securities of the Series shall be payable, or the method of such payment, if by wire transfer, mail or other means;</w:t>
      </w:r>
    </w:p>
    <w:p>
      <w:pPr>
        <w:spacing w:after="0" w:line="62" w:lineRule="exact"/>
        <w:rPr>
          <w:rFonts w:ascii="Arial" w:cs="Arial" w:eastAsia="Arial" w:hAnsi="Arial"/>
          <w:sz w:val="18"/>
          <w:szCs w:val="18"/>
          <w:color w:val="auto"/>
        </w:rPr>
      </w:pPr>
    </w:p>
    <w:p>
      <w:pPr>
        <w:ind w:left="-80" w:right="160" w:firstLine="458"/>
        <w:spacing w:after="0" w:line="277" w:lineRule="auto"/>
        <w:tabs>
          <w:tab w:leader="none" w:pos="6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62" w:lineRule="exact"/>
        <w:rPr>
          <w:rFonts w:ascii="Arial" w:cs="Arial" w:eastAsia="Arial" w:hAnsi="Arial"/>
          <w:sz w:val="18"/>
          <w:szCs w:val="18"/>
          <w:color w:val="auto"/>
        </w:rPr>
      </w:pPr>
    </w:p>
    <w:p>
      <w:pPr>
        <w:jc w:val="both"/>
        <w:ind w:left="-80" w:right="60" w:firstLine="458"/>
        <w:spacing w:after="0" w:line="264" w:lineRule="auto"/>
        <w:tabs>
          <w:tab w:leader="none" w:pos="6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3" w:lineRule="exact"/>
        <w:rPr>
          <w:rFonts w:ascii="Arial" w:cs="Arial" w:eastAsia="Arial" w:hAnsi="Arial"/>
          <w:sz w:val="18"/>
          <w:szCs w:val="18"/>
          <w:color w:val="auto"/>
        </w:rPr>
      </w:pPr>
    </w:p>
    <w:p>
      <w:pPr>
        <w:ind w:left="-80" w:right="400" w:firstLine="458"/>
        <w:spacing w:after="0" w:line="277" w:lineRule="auto"/>
        <w:tabs>
          <w:tab w:leader="none" w:pos="6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62" w:lineRule="exact"/>
        <w:rPr>
          <w:rFonts w:ascii="Arial" w:cs="Arial" w:eastAsia="Arial" w:hAnsi="Arial"/>
          <w:sz w:val="18"/>
          <w:szCs w:val="18"/>
          <w:color w:val="auto"/>
        </w:rPr>
      </w:pPr>
    </w:p>
    <w:p>
      <w:pPr>
        <w:ind w:left="720" w:hanging="342"/>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Securities of the Series shall be issuable;</w:t>
      </w:r>
    </w:p>
    <w:p>
      <w:pPr>
        <w:spacing w:after="0" w:line="140" w:lineRule="exact"/>
        <w:rPr>
          <w:rFonts w:ascii="Arial" w:cs="Arial" w:eastAsia="Arial" w:hAnsi="Arial"/>
          <w:sz w:val="16"/>
          <w:szCs w:val="16"/>
          <w:color w:val="auto"/>
        </w:rPr>
      </w:pPr>
    </w:p>
    <w:p>
      <w:pPr>
        <w:ind w:left="-80" w:right="220" w:firstLine="458"/>
        <w:spacing w:after="0" w:line="277" w:lineRule="auto"/>
        <w:tabs>
          <w:tab w:leader="none" w:pos="7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forms of the Securities of the Series in bearer (if to be issued outside of the United States) or fully registered form (and, if in fully registered form, whether the Securities will be issuable as Global Securities);</w:t>
      </w:r>
    </w:p>
    <w:p>
      <w:pPr>
        <w:spacing w:after="0" w:line="62" w:lineRule="exact"/>
        <w:rPr>
          <w:rFonts w:ascii="Arial" w:cs="Arial" w:eastAsia="Arial" w:hAnsi="Arial"/>
          <w:sz w:val="18"/>
          <w:szCs w:val="18"/>
          <w:color w:val="auto"/>
        </w:rPr>
      </w:pPr>
    </w:p>
    <w:p>
      <w:pPr>
        <w:ind w:left="-80" w:right="60" w:firstLine="458"/>
        <w:spacing w:after="0" w:line="277" w:lineRule="auto"/>
        <w:tabs>
          <w:tab w:leader="none" w:pos="7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6.2;</w:t>
      </w:r>
    </w:p>
    <w:p>
      <w:pPr>
        <w:spacing w:after="0" w:line="62" w:lineRule="exact"/>
        <w:rPr>
          <w:rFonts w:ascii="Arial" w:cs="Arial" w:eastAsia="Arial" w:hAnsi="Arial"/>
          <w:sz w:val="18"/>
          <w:szCs w:val="18"/>
          <w:color w:val="auto"/>
        </w:rPr>
      </w:pPr>
    </w:p>
    <w:p>
      <w:pPr>
        <w:ind w:left="-80" w:right="180" w:firstLine="458"/>
        <w:spacing w:after="0" w:line="264" w:lineRule="auto"/>
        <w:tabs>
          <w:tab w:leader="none" w:pos="7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of denomination of the Securities of the Series, which may be Dollars or any Foreign Currency, including, but not limited to, the Euro, and if such currency of denomination is a composite currency other than the Euro, the agency or organization, if any, responsible for overseeing such composite currency;</w:t>
      </w:r>
    </w:p>
    <w:p>
      <w:pPr>
        <w:spacing w:after="0" w:line="73" w:lineRule="exact"/>
        <w:rPr>
          <w:rFonts w:ascii="Arial" w:cs="Arial" w:eastAsia="Arial" w:hAnsi="Arial"/>
          <w:sz w:val="18"/>
          <w:szCs w:val="18"/>
          <w:color w:val="auto"/>
        </w:rPr>
      </w:pPr>
    </w:p>
    <w:p>
      <w:pPr>
        <w:ind w:left="-80" w:right="660" w:firstLine="458"/>
        <w:spacing w:after="0" w:line="277" w:lineRule="auto"/>
        <w:tabs>
          <w:tab w:leader="none" w:pos="7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and premium, if any, on the Securities of the Series will be made;</w:t>
      </w:r>
    </w:p>
    <w:p>
      <w:pPr>
        <w:spacing w:after="0" w:line="62" w:lineRule="exact"/>
        <w:rPr>
          <w:rFonts w:ascii="Arial" w:cs="Arial" w:eastAsia="Arial" w:hAnsi="Arial"/>
          <w:sz w:val="18"/>
          <w:szCs w:val="18"/>
          <w:color w:val="auto"/>
        </w:rPr>
      </w:pPr>
    </w:p>
    <w:p>
      <w:pPr>
        <w:ind w:left="-80" w:firstLine="458"/>
        <w:spacing w:after="0" w:line="342" w:lineRule="auto"/>
        <w:tabs>
          <w:tab w:leader="none" w:pos="7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payments of principal of or interest or premium,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5" w:lineRule="exact"/>
        <w:rPr>
          <w:rFonts w:ascii="Arial" w:cs="Arial" w:eastAsia="Arial" w:hAnsi="Arial"/>
          <w:sz w:val="16"/>
          <w:szCs w:val="16"/>
          <w:color w:val="auto"/>
        </w:rPr>
      </w:pPr>
    </w:p>
    <w:p>
      <w:pPr>
        <w:ind w:left="-80" w:right="140" w:firstLine="458"/>
        <w:spacing w:after="0" w:line="264" w:lineRule="auto"/>
        <w:tabs>
          <w:tab w:leader="none" w:pos="7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and premium, if any, on the Securities of the Series will be determined, if such amounts may be determined by reference to an index based on a currency or currencies or by reference to a commodity, commodity index, stock exchange index or financial index;</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36" w:right="299" w:bottom="1440" w:gutter="0" w:footer="0" w:header="0"/>
        </w:sectPr>
      </w:pPr>
    </w:p>
    <w:bookmarkStart w:id="43" w:name="page44"/>
    <w:bookmarkEnd w:id="43"/>
    <w:p>
      <w:pPr>
        <w:ind w:left="800" w:hanging="342"/>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the Securities of the Series;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Articles 4 or 5 that applies to Securities of the Series;</w:t>
      </w:r>
    </w:p>
    <w:p>
      <w:pPr>
        <w:spacing w:after="0" w:line="117" w:lineRule="exact"/>
        <w:rPr>
          <w:rFonts w:ascii="Arial" w:cs="Arial" w:eastAsia="Arial" w:hAnsi="Arial"/>
          <w:sz w:val="18"/>
          <w:szCs w:val="18"/>
          <w:color w:val="auto"/>
        </w:rPr>
      </w:pPr>
    </w:p>
    <w:p>
      <w:pPr>
        <w:ind w:right="300" w:firstLine="458"/>
        <w:spacing w:after="0" w:line="277" w:lineRule="auto"/>
        <w:tabs>
          <w:tab w:leader="none" w:pos="7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62" w:lineRule="exact"/>
        <w:rPr>
          <w:rFonts w:ascii="Arial" w:cs="Arial" w:eastAsia="Arial" w:hAnsi="Arial"/>
          <w:sz w:val="18"/>
          <w:szCs w:val="18"/>
          <w:color w:val="auto"/>
        </w:rPr>
      </w:pPr>
    </w:p>
    <w:p>
      <w:pPr>
        <w:ind w:right="180" w:firstLine="458"/>
        <w:spacing w:after="0" w:line="277" w:lineRule="auto"/>
        <w:tabs>
          <w:tab w:leader="none" w:pos="7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and conditions, if any, for conversion of the Securities into or exchange of the Securities for shares of common stock or preferred stock of the Company that apply to Securities of the Series;</w:t>
      </w:r>
    </w:p>
    <w:p>
      <w:pPr>
        <w:spacing w:after="0" w:line="62" w:lineRule="exact"/>
        <w:rPr>
          <w:rFonts w:ascii="Arial" w:cs="Arial" w:eastAsia="Arial" w:hAnsi="Arial"/>
          <w:sz w:val="18"/>
          <w:szCs w:val="18"/>
          <w:color w:val="auto"/>
        </w:rPr>
      </w:pPr>
    </w:p>
    <w:p>
      <w:pPr>
        <w:ind w:right="140" w:firstLine="458"/>
        <w:spacing w:after="0" w:line="277" w:lineRule="auto"/>
        <w:tabs>
          <w:tab w:leader="none" w:pos="7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depositories, interest rate calculation agents, exchange rate calculation agents or other agents with respect to Securities of such Series if other than those appointed herein;</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terms and conditions, if any, upon which the Securities shall be subordinated in right of payment to other Indebtedness of the Company;</w:t>
      </w:r>
    </w:p>
    <w:p>
      <w:pPr>
        <w:spacing w:after="0" w:line="128" w:lineRule="exact"/>
        <w:rPr>
          <w:rFonts w:ascii="Arial" w:cs="Arial" w:eastAsia="Arial" w:hAnsi="Arial"/>
          <w:sz w:val="17"/>
          <w:szCs w:val="17"/>
          <w:color w:val="auto"/>
        </w:rPr>
      </w:pPr>
    </w:p>
    <w:p>
      <w:pPr>
        <w:ind w:left="800" w:hanging="342"/>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Article 9; and</w:t>
      </w:r>
    </w:p>
    <w:p>
      <w:pPr>
        <w:spacing w:after="0" w:line="117" w:lineRule="exact"/>
        <w:rPr>
          <w:rFonts w:ascii="Arial" w:cs="Arial" w:eastAsia="Arial" w:hAnsi="Arial"/>
          <w:sz w:val="18"/>
          <w:szCs w:val="18"/>
          <w:color w:val="auto"/>
        </w:rPr>
      </w:pPr>
    </w:p>
    <w:p>
      <w:pPr>
        <w:ind w:right="200" w:firstLine="458"/>
        <w:spacing w:after="0" w:line="277" w:lineRule="auto"/>
        <w:tabs>
          <w:tab w:leader="none" w:pos="7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terms shall not be inconsistent with the provisions of this Indenture, except as permitted by Section 8.1, but which may modify or delete any provision of this Indenture insofar as it applies to such Series).</w:t>
      </w:r>
    </w:p>
    <w:p>
      <w:pPr>
        <w:spacing w:after="0" w:line="62" w:lineRule="exact"/>
        <w:rPr>
          <w:sz w:val="20"/>
          <w:szCs w:val="20"/>
          <w:color w:val="auto"/>
        </w:rPr>
      </w:pPr>
    </w:p>
    <w:p>
      <w:pPr>
        <w:ind w:right="120" w:firstLine="215"/>
        <w:spacing w:after="0" w:line="259"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or Officers’ Certificate referred to above, and the authorized principal amount of any Series may not be increased to provide for issuances of additional Securities of such Series, unless otherwise provided in such Board Resolution, supplemental indenture or Officers’ Certificate.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2.3. EXECUTION AND AUTHENTICATION.</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Securities shall be executed on behalf of the Company by two Officers of the Company or an Officer and an Assistant Secretary of the Company. Each such signature may be either manual or facsimile. The Company’s seal may be impressed, affixed, imprinted or reproduced on the Securities and may be in facsimile form.</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 be valid.</w:t>
      </w:r>
    </w:p>
    <w:p>
      <w:pPr>
        <w:spacing w:after="0" w:line="140" w:lineRule="exact"/>
        <w:rPr>
          <w:sz w:val="20"/>
          <w:szCs w:val="20"/>
          <w:color w:val="auto"/>
        </w:rPr>
      </w:pPr>
    </w:p>
    <w:p>
      <w:pPr>
        <w:ind w:right="560" w:firstLine="215"/>
        <w:spacing w:after="0" w:line="308" w:lineRule="auto"/>
        <w:rPr>
          <w:sz w:val="20"/>
          <w:szCs w:val="20"/>
          <w:color w:val="auto"/>
        </w:rPr>
      </w:pPr>
      <w:r>
        <w:rPr>
          <w:rFonts w:ascii="Arial" w:cs="Arial" w:eastAsia="Arial" w:hAnsi="Arial"/>
          <w:sz w:val="17"/>
          <w:szCs w:val="17"/>
          <w:color w:val="auto"/>
        </w:rPr>
        <w:t>A Security shall not be valid until authenticated by the manual signature of the Trustee or an authenticating agent. The signature shall be conclusive evidence that the Security has been authenticated under this Indenture. The Trustee shall at any time, and from time to time,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spacing w:after="0" w:line="259" w:lineRule="auto"/>
        <w:rPr>
          <w:sz w:val="20"/>
          <w:szCs w:val="20"/>
          <w:color w:val="auto"/>
        </w:rPr>
      </w:pPr>
      <w:r>
        <w:rPr>
          <w:rFonts w:ascii="Arial" w:cs="Arial" w:eastAsia="Arial" w:hAnsi="Arial"/>
          <w:sz w:val="18"/>
          <w:szCs w:val="18"/>
          <w:color w:val="auto"/>
        </w:rPr>
        <w:t>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w:t>
      </w:r>
    </w:p>
    <w:p>
      <w:pPr>
        <w:spacing w:after="0" w:line="79"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73"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79" w:lineRule="exact"/>
        <w:rPr>
          <w:sz w:val="20"/>
          <w:szCs w:val="20"/>
          <w:color w:val="auto"/>
        </w:rPr>
      </w:pPr>
    </w:p>
    <w:p>
      <w:pPr>
        <w:jc w:val="both"/>
        <w:ind w:right="60" w:firstLine="222"/>
        <w:spacing w:after="0" w:line="279" w:lineRule="auto"/>
        <w:rPr>
          <w:sz w:val="20"/>
          <w:szCs w:val="20"/>
          <w:color w:val="auto"/>
        </w:rPr>
      </w:pPr>
      <w:r>
        <w:rPr>
          <w:rFonts w:ascii="Arial" w:cs="Arial" w:eastAsia="Arial" w:hAnsi="Arial"/>
          <w:sz w:val="17"/>
          <w:szCs w:val="17"/>
          <w:color w:val="auto"/>
        </w:rPr>
        <w:t>The Trustee shall have the right to decline to authenticate and deliver any Securities of such Series: (a) if the Trustee, being advised in writing by outside counsel, determines that such action may not lawfully be taken; or (b) if the Trustee in good faith by its board of directors or trustees, executive committee or a trust committee of directors and/or vice-presidents shall reasonably determine that such action would expose the Trustee to personal liability, or cause it to have a conflict of interest with respect to Holders of any then outstanding Series of Securities.</w:t>
      </w:r>
    </w:p>
    <w:p>
      <w:pPr>
        <w:spacing w:after="0" w:line="63"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Any appointment shall be evidenced by instrument signed by an authorized officer of the Trustee, a copy of which shall be furnished to the Company. Each reference in this Indenture to authentication by the Trustee includes authentication by such agent. An authenticating agent has the same rights as an Agent to deal with the Company or an Affiliate of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2.4. REGISTRAR AND PAYING AGENT.</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Company shall maintain in each Place of Payment for any Series of Securities (i) an office or agency where such Securities may be presented for registration of transfer or for exchange (“Registrar”), (ii) an office or agency where such Securities may be presented for payment (“Paying Agent”) (PROVIDED that the Company shall at all times maintain a Paying Agent in the Borough of Manhattan, The City of New York, State of New York (the “New York Paying Agent”), and PROVIDED, FURTHER, that at the option of the Company payment of interest may be made by check mailed to the address of the Person entitled thereto as such address shall appear in the register for the Securities maintained by the Registrar, and (iii) an office or agency where notices and demands to or upon the Company in respect of the Securities and this Indenture may be served (“Service Agent”). The Registrar shall keep a register of the Securities and of their transfer and exchange. The Company may have one or more co-registrars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spacing w:after="0" w:line="276" w:lineRule="auto"/>
        <w:rPr>
          <w:sz w:val="20"/>
          <w:szCs w:val="20"/>
          <w:color w:val="auto"/>
        </w:rPr>
      </w:pPr>
      <w:r>
        <w:rPr>
          <w:rFonts w:ascii="Arial" w:cs="Arial" w:eastAsia="Arial" w:hAnsi="Arial"/>
          <w:sz w:val="17"/>
          <w:szCs w:val="17"/>
          <w:color w:val="auto"/>
        </w:rPr>
        <w:t>and one or more additional paying agents. The Company shall give prompt written notice to the Trustee of the location, and any change in the location, of such office or agency. If at any time the Company shall fail to maintain any such required office or to furnish the Trustee with the address thereof, such presentations, surrenders, notices and demands may be made or served at the address of the Trustee as set forth in Section 10.2. If the Company acts as Paying Agent, it shall segregate the money held by it for the payment of principal of and premium, if any, and interest on the Securities and hold it as a separate trust fund. The Company may change any Paying Agent, Registrar or co-registrar without notice to any Securityholder.</w:t>
      </w:r>
    </w:p>
    <w:p>
      <w:pPr>
        <w:spacing w:after="0" w:line="64"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The Company may also from time to time designate one or more other offices or agencies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shall give prompt written notice to the Trustee of such designation or rescission and of any change in the location of any such other office or agency.</w:t>
      </w:r>
    </w:p>
    <w:p>
      <w:pPr>
        <w:spacing w:after="0" w:line="46" w:lineRule="exact"/>
        <w:rPr>
          <w:sz w:val="20"/>
          <w:szCs w:val="20"/>
          <w:color w:val="auto"/>
        </w:rPr>
      </w:pPr>
    </w:p>
    <w:p>
      <w:pPr>
        <w:ind w:right="60" w:firstLine="222"/>
        <w:spacing w:after="0" w:line="285" w:lineRule="auto"/>
        <w:rPr>
          <w:sz w:val="20"/>
          <w:szCs w:val="20"/>
          <w:color w:val="auto"/>
        </w:rPr>
      </w:pPr>
      <w:r>
        <w:rPr>
          <w:rFonts w:ascii="Arial" w:cs="Arial" w:eastAsia="Arial" w:hAnsi="Arial"/>
          <w:sz w:val="16"/>
          <w:szCs w:val="16"/>
          <w:color w:val="auto"/>
        </w:rPr>
        <w:t>The Company shall enter into an appropriate agency agreement with any Registrar or Paying Agent not a party to this Indenture. The agreement shall implement the provisions of this Indenture that relate to such Agent. The Company shall notify the Trustee of the name and address of any such Agent. If the Company fails to maintain a Registrar or Paying Agent, or agent for service of notices and demands, or fails to give the foregoing notice, the Trustee shall act as such. The Company hereby appoints the Trustee as the initial Registrar, Paying Agent and Service Agent for each Series unless another Registrar, Paying Agent or Service Agent, as the case may be, is appointed prior to the time Securities of that Series are first issued. The Company hereby initially designates</w:t>
      </w:r>
    </w:p>
    <w:tbl>
      <w:tblPr>
        <w:tblLayout w:type="fixed"/>
        <w:tblInd w:w="0" w:type="dxa"/>
        <w:tblCellMar>
          <w:top w:w="0" w:type="dxa"/>
          <w:left w:w="0" w:type="dxa"/>
          <w:bottom w:w="0" w:type="dxa"/>
          <w:right w:w="0" w:type="dxa"/>
        </w:tblCellMar>
      </w:tblPr>
      <w:tr>
        <w:trPr>
          <w:trHeight w:val="178"/>
        </w:trPr>
        <w:tc>
          <w:tcPr>
            <w:tcW w:w="7660" w:type="dxa"/>
            <w:vAlign w:val="bottom"/>
            <w:gridSpan w:val="3"/>
          </w:tcPr>
          <w:p>
            <w:pPr>
              <w:spacing w:after="0" w:line="178" w:lineRule="exact"/>
              <w:rPr>
                <w:sz w:val="20"/>
                <w:szCs w:val="20"/>
                <w:color w:val="auto"/>
              </w:rPr>
            </w:pPr>
            <w:r>
              <w:rPr>
                <w:rFonts w:ascii="Arial" w:cs="Arial" w:eastAsia="Arial" w:hAnsi="Arial"/>
                <w:sz w:val="18"/>
                <w:szCs w:val="18"/>
                <w:color w:val="auto"/>
                <w:w w:val="90"/>
              </w:rPr>
              <w:t>the Corporate Trust Office of the Trustee as such office of the Company. The Company further designates</w:t>
            </w:r>
          </w:p>
        </w:tc>
        <w:tc>
          <w:tcPr>
            <w:tcW w:w="3440" w:type="dxa"/>
            <w:vAlign w:val="bottom"/>
            <w:gridSpan w:val="2"/>
          </w:tcPr>
          <w:p>
            <w:pPr>
              <w:ind w:left="2160"/>
              <w:spacing w:after="0" w:line="178" w:lineRule="exact"/>
              <w:rPr>
                <w:sz w:val="20"/>
                <w:szCs w:val="20"/>
                <w:color w:val="auto"/>
              </w:rPr>
            </w:pPr>
            <w:r>
              <w:rPr>
                <w:rFonts w:ascii="Arial" w:cs="Arial" w:eastAsia="Arial" w:hAnsi="Arial"/>
                <w:sz w:val="18"/>
                <w:szCs w:val="18"/>
                <w:color w:val="auto"/>
                <w:w w:val="88"/>
              </w:rPr>
              <w:t>, as the New York</w:t>
            </w:r>
          </w:p>
        </w:tc>
      </w:tr>
      <w:tr>
        <w:trPr>
          <w:trHeight w:val="196"/>
        </w:trPr>
        <w:tc>
          <w:tcPr>
            <w:tcW w:w="2160" w:type="dxa"/>
            <w:vAlign w:val="bottom"/>
          </w:tcPr>
          <w:p>
            <w:pPr>
              <w:spacing w:after="0" w:line="196" w:lineRule="exact"/>
              <w:rPr>
                <w:sz w:val="20"/>
                <w:szCs w:val="20"/>
                <w:color w:val="auto"/>
              </w:rPr>
            </w:pPr>
            <w:r>
              <w:rPr>
                <w:rFonts w:ascii="Arial" w:cs="Arial" w:eastAsia="Arial" w:hAnsi="Arial"/>
                <w:sz w:val="18"/>
                <w:szCs w:val="18"/>
                <w:color w:val="auto"/>
                <w:w w:val="94"/>
              </w:rPr>
              <w:t>Paying Agent, with offices at</w:t>
            </w:r>
          </w:p>
        </w:tc>
        <w:tc>
          <w:tcPr>
            <w:tcW w:w="5500" w:type="dxa"/>
            <w:vAlign w:val="bottom"/>
            <w:gridSpan w:val="2"/>
          </w:tcPr>
          <w:p>
            <w:pPr>
              <w:jc w:val="right"/>
              <w:ind w:right="2760"/>
              <w:spacing w:after="0" w:line="196" w:lineRule="exact"/>
              <w:rPr>
                <w:sz w:val="20"/>
                <w:szCs w:val="20"/>
                <w:color w:val="auto"/>
              </w:rPr>
            </w:pPr>
            <w:r>
              <w:rPr>
                <w:rFonts w:ascii="Arial" w:cs="Arial" w:eastAsia="Arial" w:hAnsi="Arial"/>
                <w:sz w:val="18"/>
                <w:szCs w:val="18"/>
                <w:color w:val="auto"/>
              </w:rPr>
              <w:t>.</w:t>
            </w:r>
          </w:p>
        </w:tc>
        <w:tc>
          <w:tcPr>
            <w:tcW w:w="216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216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2.5. PAYING AGENT TO HOLD ASSETS IN TRUST.</w:t>
      </w:r>
    </w:p>
    <w:p>
      <w:pPr>
        <w:spacing w:after="0" w:line="117" w:lineRule="exact"/>
        <w:rPr>
          <w:sz w:val="20"/>
          <w:szCs w:val="20"/>
          <w:color w:val="auto"/>
        </w:rPr>
      </w:pPr>
    </w:p>
    <w:p>
      <w:pPr>
        <w:ind w:right="40" w:firstLine="222"/>
        <w:spacing w:after="0" w:line="253" w:lineRule="auto"/>
        <w:rPr>
          <w:sz w:val="20"/>
          <w:szCs w:val="20"/>
          <w:color w:val="auto"/>
        </w:rPr>
      </w:pPr>
      <w:r>
        <w:rPr>
          <w:rFonts w:ascii="Arial" w:cs="Arial" w:eastAsia="Arial" w:hAnsi="Arial"/>
          <w:sz w:val="18"/>
          <w:szCs w:val="18"/>
          <w:color w:val="auto"/>
        </w:rPr>
        <w:t>The Trustee as Paying Agent shall, and the Company shall require each Paying Agent other than the Trustee to agree in writing that each Paying Agent shall hold in trust for the benefit of the Holders of any Series of Securities or the Trustee all assets held by the Paying Agent for the payment of principal of, or interest or premium (if any) on, such Series of Securities (whether such assets have been distributed to it by the Company or any other obligor on such Series of Securities), and the Company and the Paying Agent shall notify the Trustee in writing of any Default by the Company (or any other obligor on such Series of Securities) in making any such payment. The Company at any time may require a Paying Agent to distribute all assets held by it to the Trustee and account for any assets disbursed and the Trustee may at any time during the continuance of any payment default with respect to any Series of Securities, upon written request to a Paying Agent, require such Paying Agent to distribute all assets held by it to the Trustee and to account for any assets distributed. Upon distribution to the Trustee of all assets that shall have been delivered by the Company to the Paying Agent, the Paying Agent shall have no further liability for such assets.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2.6. SECURITYHOLDER LISTS.</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Securityholders of each Series of Securities. If the Trustee is not the Registrar, the Company shall furnish to the Trustee as of each regular record date for the payment of interest on the Securities of a Series and before each related Interest Payment Date, and at such other times as the Trustee may request in writing, a list in such form and as of such date as the Trustee may reasonably require of the names and addresses of Securityholders of each Series of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2.7. TRANSFER AND EXCHANGE.</w:t>
      </w:r>
    </w:p>
    <w:p>
      <w:pPr>
        <w:spacing w:after="0" w:line="11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When Securities of a Series are presented to the Registrar with a request to register the transfer thereof, the Registrar shall register the transfer as requested if the requirements of applicable law are met, and when such Securities of a Series are presented to the Registrar with a request to exchange them for an equal principal amount of other authorized denominations of Securities of the same Series, the Registrar shall make the exchange as requested. To permit transfers and exchanges, upon surrender of any Security for registration of transfer at the office or agency maintained pursuant to Section 2.4 hereof, the Company shall execute and the Trustee shall authenticate Securities at the Registrar’s request.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Securities are issued as Global Securities, the provisions of Section 2.15 shall apply.</w:t>
      </w:r>
    </w:p>
    <w:p>
      <w:pPr>
        <w:spacing w:after="0" w:line="117" w:lineRule="exact"/>
        <w:rPr>
          <w:sz w:val="20"/>
          <w:szCs w:val="20"/>
          <w:color w:val="auto"/>
        </w:rPr>
      </w:pPr>
    </w:p>
    <w:p>
      <w:pPr>
        <w:ind w:right="200" w:firstLine="215"/>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38"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Registrar or a co-Registrar) be duly endorsed, or be accompanied by a written instrument of transfer in form satisfactory to the Company and the Registrar or a co-Registrar, duly executed by the Holder thereof or his attorney duly authorized in writing.</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Any exchange or transfer shall be without charge, except that the Company may require payment by the Holder of a sum sufficient to cover any tax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 governmental charge that may be imposed in relation to a transfer or exchange, but this provision shall not apply to any exchange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2.11, 3.6 or 8.5 hereof. The Trustee shall not be required to register transfers of Securities of any Series or to exchange Securities of any Series 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of 15 days before the record date for selection for redemption of such Securities. The Trustee shall not be required to exchange or register transfers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of any Series called or being called for redemption in whole or in part, except the unredeemed portion of such Security being redeemed in part.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2.8. REPLACEMENT SECURITIES.</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If a mutilated Security is surrendered to the Trustee or if the Holder of a Security presents evidence to the satisfaction of the Company and the Trustee that the Security has been lost, destroyed or wrongfully taken, the Company shall issue and the Trustee shall authenticate 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spacing w:after="0" w:line="293" w:lineRule="auto"/>
        <w:rPr>
          <w:sz w:val="20"/>
          <w:szCs w:val="20"/>
          <w:color w:val="auto"/>
        </w:rPr>
      </w:pPr>
      <w:r>
        <w:rPr>
          <w:rFonts w:ascii="Arial" w:cs="Arial" w:eastAsia="Arial" w:hAnsi="Arial"/>
          <w:sz w:val="16"/>
          <w:szCs w:val="16"/>
          <w:color w:val="auto"/>
        </w:rPr>
        <w:t>replacement Security of the same Series and of like tenor and principal amount and bearing a number not contemporaneously outstanding. An indemnity bond may be required by the Company or the Trustee that is sufficient in the reasonable judgment of the Company or the Trustee, as the case may be, to protect the Company, the Trustee or any Agent from any loss which any of them may suffer if a Security is replaced. The Company may charge such Holder for its out-of-pocket expenses in replacing a Security, including the fees and expenses of the Trustee. Every replacement Security shall constitute an original additional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2.9. OUTSTANDING SECURITIES.</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Securities outstanding at any time are all Securities authenticated by the Trustee except for those canceled by it, those delivered to it for cancellation, and those described in this Section 2.9 as not outstanding.</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If a Security is replaced pursuant to Section 2.8 (other than a mutilated Security surrendered for replacement), it ceases to be outstanding until the Company and the Trustee receive proof satisfactory to each of them that the replaced Security is held by a bona fide purchaser. A mutilated Security ceases to be outstanding upon surrender of such Security and replacement thereof pursuant to Section 2.8.</w:t>
      </w:r>
    </w:p>
    <w:p>
      <w:pPr>
        <w:spacing w:after="0" w:line="73"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If a Paying Agent holds on a Redemption Date or the Stated Maturity money sufficient to pay the principal of, premium, if any, and accrued interest on Securities payable on that date and is not prohibited from paying such money to the Holders thereof pursuant to the terms of this Indenture (PROVIDED that, if such Securities are to be redeemed, notice of such redemption has been duly given pursuant to this Indenture or provision therefor satisfactory to the Trustee has been made), then on and after that date such Securities cease to be outstanding and interest on them ceases to accrue.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Security does not cease to be outstanding solely because the Company or an Affiliate holds the Security.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2.10. WHEN TREASURY SECURITIES DISREGARDED; DETERMINATION OF HOLDERS’ ACTION.</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determining whether the Holders of the required aggregate principal amount of the Securities of any Series have concurred in any direction, waiver or consent, the Securities of any Series owned by the Company or any other obligor on such Securities or by any Affiliate of any of them shall be disregarded, except that for the purposes of determining whether the Trustee shall be protected in relying on any such direction, waiver or consent, only Securities of such Series which the Trustee actually knows are so owned shall be so disregarded. Securities of such Series so owned which have been pledged in good faith shall not be disregarded if the pledgee establishes to the satisfaction of the Trustee the pledgee’s right so to act with respect to the Securities of such Series and that the pledgee is not the Company or any other obligor upon the Securities of such Series or any Affiliate of any of them.</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2.11. TEMPORARY SECURITIES.</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Until definitive Securities are ready for delivery, the Company may prepare and execute and the Trustee shall authenticate temporary Securities. Temporary Securities shall be substantially in the form, and shall carry all rights, of definitive Securities but may have variations that the Company considers appropriate for temporary Securities. Without unreasonable delay, the Company shall prepare and execute and the Trustee shall authenticate definitive Securities in exchange for temporary Securities presented to it without charge to the Holder.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2.12. CANCELLATION.</w:t>
      </w:r>
    </w:p>
    <w:p>
      <w:pPr>
        <w:spacing w:after="0" w:line="117"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All Securities surrendered for payment, redemption, registration of transfer or exchange or for credit against any sinking fund payment shall, if surrendered to any Person other than the Trustee, be delivered to the Trustee for cancellation.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The Registrar and the Paying Agent shall forward to the Trustee any Securities surrendered to them for transfer, exchange or payment. The Trustee or, at the direction of the Trustee, the Registrar or the Paying Agent, and no one else, shall cancel and at the written request of the Company, shall dispose of all Securities surrendered for transfer, exchange, payment or cancellation. If the Company shall acquire any of the Securities, such acquisition shall not operate as a redemption or satisfaction of the Indebtedness represented by such Securities unless and until the same are surrendered to the Trustee for cancellation pursuant to this Section 2.12. No Securities shall be authenticated in lieu of or in exchange for any Securities cancelled as provided in this Section 2.12, except as expressly permitted by this Indenture.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2.13. PAYMENT OF INTEREST; DEFAULTED INTEREST; COMPUTATION OF INTEREST.</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Except as otherwise provided as contemplated by Section 2.2 with respect to any Series of Securities, interest on any Security which is payable, and is punctually paid or duly provided for, on any Interest Payment Date shall be paid to the Person in whose name that Security is registered at the close of business on the regular record date for such interest, as provided in the Board Resolution, supplemental indenture hereto or Officers’ Certificate establishing the terms of such Series.</w:t>
      </w:r>
    </w:p>
    <w:p>
      <w:pPr>
        <w:spacing w:after="0" w:line="79" w:lineRule="exact"/>
        <w:rPr>
          <w:sz w:val="20"/>
          <w:szCs w:val="20"/>
          <w:color w:val="auto"/>
        </w:rPr>
      </w:pPr>
    </w:p>
    <w:p>
      <w:pPr>
        <w:ind w:right="360" w:firstLine="225"/>
        <w:spacing w:after="0" w:line="297" w:lineRule="auto"/>
        <w:rPr>
          <w:sz w:val="20"/>
          <w:szCs w:val="20"/>
          <w:color w:val="auto"/>
        </w:rPr>
      </w:pPr>
      <w:r>
        <w:rPr>
          <w:rFonts w:ascii="Arial" w:cs="Arial" w:eastAsia="Arial" w:hAnsi="Arial"/>
          <w:sz w:val="16"/>
          <w:szCs w:val="16"/>
          <w:color w:val="auto"/>
        </w:rPr>
        <w:t>If the Company defaults in a payment of interest on the Securities, it shall pay the defaulted amounts, plus any interest payable on defaulted amounts pursuant to Section 4.1 hereof, to the Persons who are Securityholders on a subsequent special record date, which date shall be the fifteenth day next preceding the date fixed by the Company for the payment of defaulted interest or the next succeeding Business Day if such date is not a Business Day. At least 15 days before the special record date, the Company shall mail or cause to be mailed to each Securityholder, with a copy to the Trustee, a notice that states the special record date, the payment date, and the amount of defaulted interest, and interest payable on such defaulted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interest, if any, to be paid.</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Except as otherwise specified as contemplated by Section 2.2 for Securities of any Series, interest on the Securities of each Series shall be computed on the basis of a 360-day year of twelve 30-day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2.14. CUSIP NUMBER.</w:t>
      </w:r>
    </w:p>
    <w:p>
      <w:pPr>
        <w:spacing w:after="0" w:line="117"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Company in issuing the Securities may use one or more “CUSIP” numbers, and if so, the Trustee shall use the CUSIP number(s) in notices of redemption or exchange as a convenience to Holders, PROVIDED that any such notice may state that no representation is made as to the correctness or accuracy of the CUSIP number(s) printed in the notice or on the Securities, and that reliance may be placed only on the other identification numbers printed on the Securities and any such redemption shall not be affected by any defect in or omission of any such numbers.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2.15. PROVISIONS FOR GLOBAL SECURITIES.</w:t>
      </w:r>
    </w:p>
    <w:p>
      <w:pPr>
        <w:spacing w:after="0" w:line="117" w:lineRule="exact"/>
        <w:rPr>
          <w:sz w:val="20"/>
          <w:szCs w:val="20"/>
          <w:color w:val="auto"/>
        </w:rPr>
      </w:pPr>
    </w:p>
    <w:p>
      <w:pPr>
        <w:ind w:right="420" w:firstLine="233"/>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Board Resolution, a supplemental indenture hereto or an Officers’ Certificate shall establish whether the Securities of a Series shall be issued in whole or in part in the form of one or more Global Securities and the Depository for such Global Securities or Securities.</w:t>
      </w:r>
    </w:p>
    <w:p>
      <w:pPr>
        <w:spacing w:after="0" w:line="62" w:lineRule="exact"/>
        <w:rPr>
          <w:rFonts w:ascii="Arial" w:cs="Arial" w:eastAsia="Arial" w:hAnsi="Arial"/>
          <w:sz w:val="18"/>
          <w:szCs w:val="18"/>
          <w:color w:val="auto"/>
        </w:rPr>
      </w:pPr>
    </w:p>
    <w:p>
      <w:pPr>
        <w:ind w:firstLine="233"/>
        <w:spacing w:after="0" w:line="269" w:lineRule="auto"/>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Notwithstanding any provisions to the contrary contained in Section 2.7 of the Indenture and in addition thereto, if, and only if the Depository (i) at any time is unwilling or unable to continue as Depository for such Global Security or ceases to be a clearing agency registered under the Exchange Act and (ii) a successor Depository is not appointed by the Company within 90 days after the date the Company is so informed in writing or becomes aware of the same, the Company promptly will execute and deliver to the Trustee definitive Securities, and the Trustee, upon receipt of a Company Request for the authentication and delivery of such definitive Securities (which the Company will promptly execute and deliver to the Trustee) and an Officers’ Certificate to the effect that such Global Security shall be so exchangeable, will authenticate and deliver definitive Securities, without charge, registered in such names and in such authorized denominations as the Depository shall direct in writing (pursuant to instructions from its direct and indirect participants or otherwise) in an aggregate principal amount equal to the principal amount of the Global Security with like tenor and terms. Upon the exchange of a Global Security for definitive Securities, such Global Security shall be canceled by the Trustee. Unless and until it is exchanged in whole or in part for definitive Securities, as provided in this Section 2.15(b),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spacing w:after="0" w:line="71" w:lineRule="exact"/>
        <w:rPr>
          <w:rFonts w:ascii="Arial" w:cs="Arial" w:eastAsia="Arial" w:hAnsi="Arial"/>
          <w:sz w:val="17"/>
          <w:szCs w:val="17"/>
          <w:color w:val="auto"/>
        </w:rPr>
      </w:pPr>
    </w:p>
    <w:p>
      <w:pPr>
        <w:ind w:left="460" w:hanging="227"/>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Global Security issued hereunder shall bear a legend in substantially the following form:</w:t>
      </w:r>
    </w:p>
    <w:p>
      <w:pPr>
        <w:spacing w:after="0" w:line="117" w:lineRule="exact"/>
        <w:rPr>
          <w:rFonts w:ascii="Arial" w:cs="Arial" w:eastAsia="Arial" w:hAnsi="Arial"/>
          <w:sz w:val="18"/>
          <w:szCs w:val="18"/>
          <w:color w:val="auto"/>
        </w:rPr>
      </w:pPr>
    </w:p>
    <w:p>
      <w:pPr>
        <w:ind w:left="460" w:right="460"/>
        <w:spacing w:after="0" w:line="277" w:lineRule="auto"/>
        <w:rPr>
          <w:rFonts w:ascii="Arial" w:cs="Arial" w:eastAsia="Arial" w:hAnsi="Arial"/>
          <w:sz w:val="18"/>
          <w:szCs w:val="18"/>
          <w:color w:val="auto"/>
        </w:rPr>
      </w:pPr>
      <w:r>
        <w:rPr>
          <w:rFonts w:ascii="Arial" w:cs="Arial" w:eastAsia="Arial" w:hAnsi="Arial"/>
          <w:sz w:val="18"/>
          <w:szCs w:val="18"/>
          <w:color w:val="auto"/>
        </w:rPr>
        <w:t>“This Security is a Global Security within the meaning of the Indenture hereinafter referred to and is registered in the name of the Depository or a nominee of the Depository. This Security 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ind w:left="460" w:right="20"/>
        <w:spacing w:after="0" w:line="259" w:lineRule="auto"/>
        <w:rPr>
          <w:sz w:val="20"/>
          <w:szCs w:val="20"/>
          <w:color w:val="auto"/>
        </w:rPr>
      </w:pPr>
      <w:r>
        <w:rPr>
          <w:rFonts w:ascii="Arial" w:cs="Arial" w:eastAsia="Arial" w:hAnsi="Arial"/>
          <w:sz w:val="18"/>
          <w:szCs w:val="18"/>
          <w:color w:val="auto"/>
        </w:rPr>
        <w:t>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spacing w:after="0" w:line="79" w:lineRule="exact"/>
        <w:rPr>
          <w:sz w:val="20"/>
          <w:szCs w:val="20"/>
          <w:color w:val="auto"/>
        </w:rPr>
      </w:pPr>
    </w:p>
    <w:p>
      <w:pPr>
        <w:ind w:right="340" w:firstLine="233"/>
        <w:spacing w:after="0" w:line="277" w:lineRule="auto"/>
        <w:tabs>
          <w:tab w:leader="none" w:pos="4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Depository, as a Holder, may appoint agents and otherwise authorize participants to give or take any request, demand, authorization, direction, notice, consent, waiver or other action which a Holder is entitled to give or take under the Indenture.</w:t>
      </w:r>
    </w:p>
    <w:p>
      <w:pPr>
        <w:spacing w:after="0" w:line="62" w:lineRule="exact"/>
        <w:rPr>
          <w:rFonts w:ascii="Arial" w:cs="Arial" w:eastAsia="Arial" w:hAnsi="Arial"/>
          <w:sz w:val="18"/>
          <w:szCs w:val="18"/>
          <w:color w:val="auto"/>
        </w:rPr>
      </w:pPr>
    </w:p>
    <w:p>
      <w:pPr>
        <w:ind w:right="380" w:firstLine="233"/>
        <w:spacing w:after="0" w:line="308" w:lineRule="auto"/>
        <w:tabs>
          <w:tab w:leader="none" w:pos="47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Notwithstanding the other provisions of this Indenture, unless otherwise specified as contemplated by Section 2.2, payment of the principal of and interest and premium, if any, on any Global Security shall be made to the Depository or its nominee in its capacity as the Holder thereof.</w:t>
      </w:r>
    </w:p>
    <w:p>
      <w:pPr>
        <w:spacing w:after="0" w:line="38" w:lineRule="exact"/>
        <w:rPr>
          <w:rFonts w:ascii="Arial" w:cs="Arial" w:eastAsia="Arial" w:hAnsi="Arial"/>
          <w:sz w:val="17"/>
          <w:szCs w:val="17"/>
          <w:color w:val="auto"/>
        </w:rPr>
      </w:pPr>
    </w:p>
    <w:p>
      <w:pPr>
        <w:ind w:firstLine="233"/>
        <w:spacing w:after="0" w:line="272" w:lineRule="auto"/>
        <w:tabs>
          <w:tab w:leader="none" w:pos="45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Except as provided in Section 2.15(e), the Company, the Trustee and any Agent shall treat a Person as the Holder of such principal amount of outstanding Securities of any Series represented by a Global Security as shall be specified in a written statement of the Depository (which may be in the form of a participants’ list for such Series) with respect to such Global Security, for purposes of obtaining any consents, declarations, waivers or directions required to be given by the Holders pursuant to this Indenture, PROVIDED that until the Trustee is so provided with a written statement, it may treat the Depository or any other Person in whose name a Global Security is registered as the owner of such Global Security for the purpose of receiving payment of principal of and any premium and (subject to Section 2.13) any interest on such Global Security and for all other purposes whatsoever, and neither the Company, the Trustee nor any agent of the Company or the Trustee shall be affected by notice to the contrary.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2.16. PERSONS DEEMED OWNERS.</w:t>
      </w:r>
    </w:p>
    <w:p>
      <w:pPr>
        <w:spacing w:after="0" w:line="117" w:lineRule="exact"/>
        <w:rPr>
          <w:sz w:val="20"/>
          <w:szCs w:val="20"/>
          <w:color w:val="auto"/>
        </w:rPr>
      </w:pPr>
    </w:p>
    <w:p>
      <w:pPr>
        <w:jc w:val="both"/>
        <w:ind w:right="60" w:firstLine="225"/>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the Registrar and any agent of the Company, the Registrar or the Trustee may treat the Person in whose name such Security is registered as the owner of such Security for the purpose of receiving payment of principal of and any premium and (subject to Section 2.13) any interest on such Security and for all other purposes whatsoever, and neither the Company, the Trustee, the Registrar nor any agent of the Company, the Registrar or the Trustee shall be affected by notice to the contrary.</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 NOTICES TO TRUSTEE.</w:t>
      </w:r>
    </w:p>
    <w:p>
      <w:pPr>
        <w:spacing w:after="0" w:line="117"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ind w:right="60"/>
        <w:spacing w:after="0" w:line="257" w:lineRule="auto"/>
        <w:rPr>
          <w:sz w:val="20"/>
          <w:szCs w:val="20"/>
          <w:color w:val="auto"/>
        </w:rPr>
      </w:pPr>
      <w:r>
        <w:rPr>
          <w:rFonts w:ascii="Arial" w:cs="Arial" w:eastAsia="Arial" w:hAnsi="Arial"/>
          <w:sz w:val="18"/>
          <w:szCs w:val="18"/>
          <w:color w:val="auto"/>
        </w:rPr>
        <w:t>any part thereof prior to the Stated Maturity thereof at such time and on such terms as provided for in such Securities or the related Board Resolution, supplemental indenture or Officers’ Certificate. If a Series of Securities is redeemable and the Company elects to redeem such Securities of a Series, it shall notify the Trustee of the Redemption Date and the principal amount of Securities to be redeemed at least 45 days (unless a shorter notice shall be satisfactory to the Trustee) before the Redemption Date. Any such notice may be canceled at any time prior to notice of such redemption being mailed to any Holder and shall thereby be void and of no effect.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3.2. SELECTION BY TRUSTEE OF SECURITIES TO BE REDEEMED.</w:t>
      </w:r>
    </w:p>
    <w:p>
      <w:pPr>
        <w:spacing w:after="0" w:line="117"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Unless otherwise indicated for a particular Series of Securities by a Board Resolution, a supplemental indenture or an Officers’ Certificate, if fewer than all of the Securities of a Series are to be redeemed, the Trustee shall select the Securities of a Series to be redeemed pro rata, by lot or by any other method that the Trustee considers fair and appropriate (unless the Company specifically directs the Trustee otherwise) and, if such Securities are listed on any securities exchange, by a method that complies with the requirements of such exchange.</w:t>
      </w:r>
    </w:p>
    <w:p>
      <w:pPr>
        <w:spacing w:after="0" w:line="79"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The Trustee shall make the selection from Securities of a Series outstanding and not previously called for redemption and shall promptly notify the Company in writing of the Securities selected for redemption and, in the case of any Security selected for partial redemption, the principal amount thereof to be redeemed at least 35 but not more than 60 days before the Redemption Date. Securities of a Series in denominations of $1,000 may be redeemed only in whole. The Trustee may select for redemption portions of the principal of Securities of a Series that have denominations larger than $1,000. Securities of a Series and portions of them it selects shall be in amounts of $1,000 or, with respect to Securities of any Series issuable in other denominations pursuant to Section 2.2(10), the minimum principal denomination for each Series and integral multiples thereof. Provisions of this Indenture that apply to Securities called for redemption also apply to portions of Securities called for redemption.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3.3. NOTICE OF REDEMPTION.</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Unless otherwise indicated for a particular Series by Board Resolution, a supplemental indenture hereto or an Officers’ Certificate, at least 30 days, and no more than 60 days, before a Redemption Date, the Company shall mail, or cause to be mailed, a notice of redemption by first-class mail to each Holder of Securities to be redeemed at his or her last address as the same appears on the registry books maintained by the Registrar. The notice shall identify the Securities to be redeemed (including the CUSIP number(s) thereof, if any) and shall state:</w:t>
      </w:r>
    </w:p>
    <w:p>
      <w:pPr>
        <w:spacing w:after="0" w:line="79" w:lineRule="exact"/>
        <w:rPr>
          <w:sz w:val="20"/>
          <w:szCs w:val="20"/>
          <w:color w:val="auto"/>
        </w:rPr>
      </w:pPr>
    </w:p>
    <w:p>
      <w:pPr>
        <w:ind w:left="720" w:hanging="26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redemption price, and that such redemption price shall become due and payable on the Redemption Date;</w:t>
      </w:r>
    </w:p>
    <w:p>
      <w:pPr>
        <w:spacing w:after="0" w:line="117" w:lineRule="exact"/>
        <w:rPr>
          <w:rFonts w:ascii="Arial" w:cs="Arial" w:eastAsia="Arial" w:hAnsi="Arial"/>
          <w:sz w:val="18"/>
          <w:szCs w:val="18"/>
          <w:color w:val="auto"/>
        </w:rPr>
      </w:pPr>
    </w:p>
    <w:p>
      <w:pPr>
        <w:jc w:val="both"/>
        <w:ind w:right="120" w:firstLine="458"/>
        <w:spacing w:after="0" w:line="264"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Security of a Series is being redeemed in part, the portion of the principal amount of such Security of a Series to be redeemed and that, after the Redemption Date and upon surrender of such Security of a Series, a new Security or Securities in principal amount equal to the unredeemed portion will be issued;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2" w:name="page53"/>
    <w:bookmarkEnd w:id="52"/>
    <w:p>
      <w:pPr>
        <w:ind w:left="720" w:hanging="262"/>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right="320" w:firstLine="458"/>
        <w:spacing w:after="0" w:line="277"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Securities of a Series called for redemption must be surrendered to the Paying Agent to collect the redemption price, and the place or places where each such Security is to be surrendered for such payment;</w:t>
      </w:r>
    </w:p>
    <w:p>
      <w:pPr>
        <w:spacing w:after="0" w:line="62" w:lineRule="exact"/>
        <w:rPr>
          <w:rFonts w:ascii="Arial" w:cs="Arial" w:eastAsia="Arial" w:hAnsi="Arial"/>
          <w:sz w:val="18"/>
          <w:szCs w:val="18"/>
          <w:color w:val="auto"/>
        </w:rPr>
      </w:pPr>
    </w:p>
    <w:p>
      <w:pPr>
        <w:ind w:right="20" w:firstLine="458"/>
        <w:spacing w:after="0" w:line="264"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unless the Company defaults in making the redemption payment, interest on the Securities of a Series called for redemption ceases to accrue on the Redemption Date, and the only remaining right of the Holders of such Securities is to receive payment of the redemption price upon surrender to the Paying Agent of the Securities redeemed;</w:t>
      </w:r>
    </w:p>
    <w:p>
      <w:pPr>
        <w:spacing w:after="0" w:line="73" w:lineRule="exact"/>
        <w:rPr>
          <w:rFonts w:ascii="Arial" w:cs="Arial" w:eastAsia="Arial" w:hAnsi="Arial"/>
          <w:sz w:val="18"/>
          <w:szCs w:val="18"/>
          <w:color w:val="auto"/>
        </w:rPr>
      </w:pPr>
    </w:p>
    <w:p>
      <w:pPr>
        <w:ind w:firstLine="458"/>
        <w:spacing w:after="0" w:line="264"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fewer than all the Securities of a Series are to be redeemed, the identification of the particular Securities of a Series (or portion thereof) to be redeemed, as well as the aggregate principal amount of Securities of a Series to be redeemed and the aggregate principal amount of Securities of a Series to be outstanding after such partial redemption.</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CUSIP number, if any, printed on the Securities being redeemed; and</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 Securities.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the Company’s request, the Trustee shall give the notice of redemption in the Company’s name and at the Company’s sole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3.4. EFFECT OF NOTICE OF REDEMPTION.</w:t>
      </w:r>
    </w:p>
    <w:p>
      <w:pPr>
        <w:spacing w:after="0" w:line="117"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Once the notice of redemption described in Section 3.3 is mailed, Securities of a Series called for redemption become due and payable on the Redemption Date and at the redemption price, plus interest, if any, accrued to the Redemption Date. Upon surrender to the Trustee or Paying Agent, such Securities of a Series shall be paid at the redemption price, plus accrued interest, if any, to the Redemption Date, PROVIDED that if the Redemption Date is after a regular interest payment record date and on or prior to the next Interest Payment Date, the accrued interest shall be payable to the Holder of the redeemed Securities registered on the relevant record date, as specified by the Company in the notice to the Trustee pursuant to Section 3.1 hereof.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3.5. DEPOSIT OF REDEMPTION PRICE.</w:t>
      </w:r>
    </w:p>
    <w:p>
      <w:pPr>
        <w:spacing w:after="0" w:line="117"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color w:val="auto"/>
        </w:rPr>
        <w:t>On or prior to the Redemption Date (but no later than 11:00 A.M. Eastern Time on such date), the Company shall deposit with the Paying Agent money sufficient to pay the redemption price of and accrued interest, if any, on all Securities to be redeemed on that date other than Securities or portions thereof called for redemption on that date which have been delivered by the Company to the Trustee for cancellation.</w:t>
      </w:r>
    </w:p>
    <w:p>
      <w:pPr>
        <w:spacing w:after="0" w:line="73"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On and after any Redemption Date, if money sufficient to pay the redemption price of and accrued interest on Securities called for redemption shall have been made available in accordance with the preceding paragraph and the Company and the Paying Agent are not prohibited from paying such moneys to Holders, the Securities called for redemption will cease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ind w:right="20"/>
        <w:spacing w:after="0" w:line="259" w:lineRule="auto"/>
        <w:rPr>
          <w:sz w:val="20"/>
          <w:szCs w:val="20"/>
          <w:color w:val="auto"/>
        </w:rPr>
      </w:pPr>
      <w:r>
        <w:rPr>
          <w:rFonts w:ascii="Arial" w:cs="Arial" w:eastAsia="Arial" w:hAnsi="Arial"/>
          <w:sz w:val="18"/>
          <w:szCs w:val="18"/>
          <w:color w:val="auto"/>
        </w:rPr>
        <w:t>to accrue interest and the only right of the Holders of such Securities will be to receive payment of the redemption price of and, subject to the proviso in Section 3.4, accrued and unpaid interest on such Securities to the Redemption Date. If any Security called for redemption shall not be so paid, interest will be paid, from the Redemption Date until such redemption payment is made, on the unpaid principal of the Security and any interest or premium (if any) not paid on such unpaid principal, in each case, at the rate and in the manner provided in the Securities.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3.6. SECURITIES REDEEMED IN PART.</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Upon surrender of a Security of a Series that is redeemed in part, the Company shall execute and the Trustee shall authenticate for a Holder a new Security of the same Series equal in principal amount to the unredeemed portion of the Security surrendered.</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4.1. PAYMENT OF SECURITIES.</w:t>
      </w:r>
    </w:p>
    <w:p>
      <w:pPr>
        <w:spacing w:after="0" w:line="117"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Company shall pay the principal of and interest and premium, if any, on each Series of Securities on the dates and in the manner provided in such Securities and this Indenture.</w:t>
      </w:r>
    </w:p>
    <w:p>
      <w:pPr>
        <w:spacing w:after="0" w:line="62" w:lineRule="exact"/>
        <w:rPr>
          <w:sz w:val="20"/>
          <w:szCs w:val="20"/>
          <w:color w:val="auto"/>
        </w:rPr>
      </w:pPr>
    </w:p>
    <w:p>
      <w:pPr>
        <w:ind w:right="60" w:firstLine="215"/>
        <w:spacing w:after="0" w:line="342" w:lineRule="auto"/>
        <w:rPr>
          <w:sz w:val="20"/>
          <w:szCs w:val="20"/>
          <w:color w:val="auto"/>
        </w:rPr>
      </w:pPr>
      <w:r>
        <w:rPr>
          <w:rFonts w:ascii="Arial" w:cs="Arial" w:eastAsia="Arial" w:hAnsi="Arial"/>
          <w:sz w:val="16"/>
          <w:szCs w:val="16"/>
          <w:color w:val="auto"/>
        </w:rPr>
        <w:t>An installment of principal or interest shall be considered paid on the date it is due if the Trustee or Paying Agent holds on that date money designated for and sufficient to pay such installment and is not prohibited from paying such money to the Holders pursuant to the terms of this Indenture or otherwise.</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shall pay interest on overdue principal, and overdue interest, to the extent lawful, at the rate specified in the Series of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4.2. SEC REPORTS.</w:t>
      </w:r>
    </w:p>
    <w:p>
      <w:pPr>
        <w:spacing w:after="0" w:line="11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Company will deliver to the Trustee within 15 days after the filing of the same with the SEC, copies of the quarterly and annual report and of the information documents and other reports, if any, which the Company is required to file with the SEC pursuant to Section 13 or 15(d) of the Exchange Act. Notwithstanding that the Company may not be subject to the reporting requirements of Section 13 or 15(d) of the Exchange Act, the Company will file with the SEC, to the extent permitted, and provide the Trustee, with such quarterly and annual reports and such information, documents and other reports specified in Section 13 and 15(d) of the Exchange Act. The Company will also comply with the other provisions of TIA Section 314(a).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4.3. WAIVER OF STAY, EXTENSION OR USURY LAWS.</w:t>
      </w:r>
    </w:p>
    <w:p>
      <w:pPr>
        <w:spacing w:after="0" w:line="117"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(as a defense or otherwise) or in any manner whatsoever claim or take the benefit or advantage of, any stay, extension, usury or other law which would prohibit or forgive the Company from paying all or any portion of the principal of, premium, if any, and/or interest on the Securities as contemplated herein, wherever enacted, now or at any time hereafter</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4" w:name="page55"/>
    <w:bookmarkEnd w:id="54"/>
    <w:p>
      <w:pPr>
        <w:ind w:right="60"/>
        <w:spacing w:after="0" w:line="264" w:lineRule="auto"/>
        <w:rPr>
          <w:sz w:val="20"/>
          <w:szCs w:val="20"/>
          <w:color w:val="auto"/>
        </w:rPr>
      </w:pPr>
      <w:r>
        <w:rPr>
          <w:rFonts w:ascii="Arial" w:cs="Arial" w:eastAsia="Arial" w:hAnsi="Arial"/>
          <w:sz w:val="18"/>
          <w:szCs w:val="18"/>
          <w:color w:val="auto"/>
        </w:rPr>
        <w:t>in force, or which may affect the covenants or the performance of this Indenture; and (to the extent that they may lawfully do so) the Company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4.4. COMPLIANCE CERTIFICATE.</w:t>
      </w:r>
    </w:p>
    <w:p>
      <w:pPr>
        <w:spacing w:after="0" w:line="117" w:lineRule="exact"/>
        <w:rPr>
          <w:sz w:val="20"/>
          <w:szCs w:val="20"/>
          <w:color w:val="auto"/>
        </w:rPr>
      </w:pPr>
    </w:p>
    <w:p>
      <w:pPr>
        <w:ind w:right="20" w:firstLine="233"/>
        <w:spacing w:after="0" w:line="289" w:lineRule="auto"/>
        <w:tabs>
          <w:tab w:leader="none" w:pos="46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each fiscal year of the Company, an Officers’ Certificate which complies with TIA Section 314(a)(4) stating that a review of the activities of the Company and its Subsidiaries during such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that there is no default in the performance or observance of any of the terms, provisions and conditions hereof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or premium, if any, on the Securities is prohibited or if such event has occurred, a description of the event and what action the Company is taking or proposes to take with respect thereto.</w:t>
      </w:r>
    </w:p>
    <w:p>
      <w:pPr>
        <w:spacing w:after="0" w:line="58" w:lineRule="exact"/>
        <w:rPr>
          <w:rFonts w:ascii="Arial" w:cs="Arial" w:eastAsia="Arial" w:hAnsi="Arial"/>
          <w:sz w:val="16"/>
          <w:szCs w:val="16"/>
          <w:color w:val="auto"/>
        </w:rPr>
      </w:pPr>
    </w:p>
    <w:p>
      <w:pPr>
        <w:ind w:right="200" w:firstLine="233"/>
        <w:spacing w:after="0" w:line="259"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If any Default or Event of Default has occurred and is continuing or (ii) if any Holder seeks to exercise any remedy hereunder with respect to a claimed Default under this Indenture or the Securities, within five Business Days after its becoming aware of such occurrence the Company shall deliver to the Trustee an Officers’ Certificate specifying such event, notice or other action and what action the Company is taking or proposes to take with respect thereto.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4.5. CORPORATE EXISTENCE.</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Subject to Article 5 hereof, the Company shall do or cause to be done all things necessary to preserve and keep in full force and effect its corporate existence, in accordance with the organizational documents (as the same may be amended from time to time) of the Company and the rights (charter and statutory), licenses and franchises of the Company; PROVIDED, HOWEVER, that the Company shall not be required to preserve any such right, license or franchise, or its corporate existence, if the Board of Directors shall determine that the preservation thereof is no longer desirable in the conduct of the business of the Company and that the loss thereof is not adverse in any material respect to the Holders.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ind w:left="5240"/>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SUCCESSOR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5.1. LIMITATION ON CONSOLIDATION, MERGER AND SALE OF ASSETS.</w:t>
      </w:r>
    </w:p>
    <w:p>
      <w:pPr>
        <w:spacing w:after="0" w:line="117" w:lineRule="exact"/>
        <w:rPr>
          <w:sz w:val="20"/>
          <w:szCs w:val="20"/>
          <w:color w:val="auto"/>
        </w:rPr>
      </w:pPr>
    </w:p>
    <w:p>
      <w:pPr>
        <w:ind w:firstLine="233"/>
        <w:spacing w:after="0" w:line="287" w:lineRule="auto"/>
        <w:tabs>
          <w:tab w:leader="none" w:pos="46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will not, in any transaction or series of transactions, merge or consolidate with or into, or sell, assign, convey, transfer, lease or otherwise dispose of all or substantially all of its properties and assets (as an entirety or substantially as an entirety in one transaction or a series of related transactions), to any Person or Persons, unless at the time of and after giving effect thereto (i) either (A) if the transaction or series of transactions is a merger or consolidation, the Company shall be the surviving Person of such merger or consolidation, or (B) the Person formed by such consolidation or into which the Company is merged or to which the properties and assets of the Company are transferred (any such surviving Person or transferee Person being the “Surviving Entity”) shall be a corporation organized and existing under the laws of the United States of America, any state thereof or the District of Columbia or a corporation or comparable legal entity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Securities of each Series and this Indenture, and in each case, this Indenture shall remain in full force and effect; and (ii) 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w:t>
      </w:r>
    </w:p>
    <w:p>
      <w:pPr>
        <w:spacing w:after="0" w:line="60" w:lineRule="exact"/>
        <w:rPr>
          <w:rFonts w:ascii="Arial" w:cs="Arial" w:eastAsia="Arial" w:hAnsi="Arial"/>
          <w:sz w:val="16"/>
          <w:szCs w:val="16"/>
          <w:color w:val="auto"/>
        </w:rPr>
      </w:pPr>
    </w:p>
    <w:p>
      <w:pPr>
        <w:ind w:left="480" w:hanging="247"/>
        <w:spacing w:after="0"/>
        <w:tabs>
          <w:tab w:leader="none" w:pos="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connection with any consolidation, merger or transfer of assets contemplated by this Section 5.1, the Company shall deliver, or cause to be</w:t>
      </w:r>
    </w:p>
    <w:p>
      <w:pPr>
        <w:spacing w:after="0" w:line="34"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delivered, to the Trustee, in form and substance reasonably satisfactory to the Trustee, an Officers’ Certificate and an Opinion of Counsel, each stating that such consolidation, merger or transfer and the supplemental indenture in respect thereto comply with this Section 5.1 and that all conditions precedent herein provided for relating to such transaction or transactions have been complied with.</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5.2. SUCCESSOR PERSON SUBSTITUTED.</w:t>
      </w:r>
    </w:p>
    <w:p>
      <w:pPr>
        <w:spacing w:after="0" w:line="117"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Upon any consolidation or merger, or any transfer of all or substantially all of the assets of the Company in accordance with Section 5.1 above, the successor corporation formed by such consolidation or into which the Company is merged or to which such transfer is made shall succeed to, and be substituted for, and may exercise every right and power of, the Company under this Indenture with the same effect as if such successor corporation had been named as the Company herein, and thereafter (except with respect to any such transfer which is a lease) the predecessor corporation shall be relieved of all obligations and covenants under this Indenture and the Securities.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6.1. EVENTS OF DEFAULT.</w:t>
      </w:r>
    </w:p>
    <w:p>
      <w:pPr>
        <w:spacing w:after="0" w:line="117"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“Events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38" w:lineRule="exact"/>
        <w:rPr>
          <w:sz w:val="20"/>
          <w:szCs w:val="20"/>
          <w:color w:val="auto"/>
        </w:rPr>
      </w:pPr>
    </w:p>
    <w:p>
      <w:pPr>
        <w:ind w:firstLine="458"/>
        <w:spacing w:after="0" w:line="277"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is a default in the payment of any principal of, or premium, if any, on the Securities when the same becomes due and payable at Maturity, upon acceleration, redemption or otherwise;</w:t>
      </w:r>
    </w:p>
    <w:p>
      <w:pPr>
        <w:spacing w:after="0" w:line="62" w:lineRule="exact"/>
        <w:rPr>
          <w:rFonts w:ascii="Arial" w:cs="Arial" w:eastAsia="Arial" w:hAnsi="Arial"/>
          <w:sz w:val="18"/>
          <w:szCs w:val="18"/>
          <w:color w:val="auto"/>
        </w:rPr>
      </w:pPr>
    </w:p>
    <w:p>
      <w:pPr>
        <w:ind w:right="80" w:firstLine="458"/>
        <w:spacing w:after="0" w:line="277"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is a default in the payment of any interest on any Security of a Series when the same becomes due and payable and the Default continues for a period of 30 days;</w:t>
      </w:r>
    </w:p>
    <w:p>
      <w:pPr>
        <w:spacing w:after="0" w:line="62" w:lineRule="exact"/>
        <w:rPr>
          <w:rFonts w:ascii="Arial" w:cs="Arial" w:eastAsia="Arial" w:hAnsi="Arial"/>
          <w:sz w:val="18"/>
          <w:szCs w:val="18"/>
          <w:color w:val="auto"/>
        </w:rPr>
      </w:pPr>
    </w:p>
    <w:p>
      <w:pPr>
        <w:ind w:right="40" w:firstLine="458"/>
        <w:spacing w:after="0" w:line="264"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defaults in the observance or performance of any other covenant in the Securities of a Series or this Indenture for 60 days after written notice from the Trustee or the Holders of not less than 25% in the aggregate principal amount of the Securities of such Series then outstanding which notice must specify the Default, demand that it be remedied and state the notice is a “Notice of Default”;</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980" w:hanging="291"/>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980" w:hanging="291"/>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980" w:hanging="291"/>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980" w:hanging="291"/>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960" w:hanging="271"/>
        <w:spacing w:after="0"/>
        <w:tabs>
          <w:tab w:leader="none" w:pos="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980" w:hanging="291"/>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460" w:right="720" w:firstLine="229"/>
        <w:spacing w:after="0" w:line="277" w:lineRule="auto"/>
        <w:tabs>
          <w:tab w:leader="none" w:pos="9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the property of the Company or any Significant Subsidiary;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7" w:name="page58"/>
    <w:bookmarkEnd w:id="57"/>
    <w:p>
      <w:pPr>
        <w:ind w:left="460" w:right="200" w:firstLine="229"/>
        <w:spacing w:after="0" w:line="277" w:lineRule="auto"/>
        <w:tabs>
          <w:tab w:leader="none" w:pos="9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consecutive days; or</w:t>
      </w:r>
    </w:p>
    <w:p>
      <w:pPr>
        <w:spacing w:after="0" w:line="62" w:lineRule="exact"/>
        <w:rPr>
          <w:rFonts w:ascii="Arial" w:cs="Arial" w:eastAsia="Arial" w:hAnsi="Arial"/>
          <w:sz w:val="18"/>
          <w:szCs w:val="18"/>
          <w:color w:val="auto"/>
        </w:rPr>
      </w:pPr>
    </w:p>
    <w:p>
      <w:pPr>
        <w:ind w:right="340" w:firstLine="458"/>
        <w:spacing w:after="0" w:line="277"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2.2(19).</w:t>
      </w:r>
    </w:p>
    <w:p>
      <w:pPr>
        <w:spacing w:after="0" w:line="62"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62"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Trustee may withhold notice of any Default (except in payment of principal or premium, if any, or interest on the Securities) to the Holders of the Securities of any Series in accordance with Section 7.5. When a Default is cured, it ceases to exist.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6.2. ACCELERATION.</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If an Event of Default with respect to Securities of any Series at the time outstanding (other than an Event of Default arising under Section 6.1(4) or (5)) occurs and is continuing, the Trustee by written notice to the Company, or the Holders of not less than 25% in aggregate principal amount of the Securities of that Series then outstanding may by written notice to the Company and the Trustee declare that the entire principal amount of all the Securities of that Series then outstanding plus accrued and unpaid interest to the date of acceleration are immediately due and payable, in which case such amounts shall become immediately due and payable; PROVIDED, HOWEVER, that after such acceleration but before a judgment or decree based on such acceleration is obtained by the Trustee, the Holders of a majority in aggregate principal amount of the outstanding Securities of that Series may rescind and annul such acceleration and its consequences if (i) all existing Events of Default, other than the nonpayment of accelerated principal, premium, if any, or interest that has become due solely because of the acceleration, have been cured or waived, (ii) to the extent the payment of such interest is lawful, interest on overdue installments of interest and overdue principal, which has become due otherwise than by such declaration of acceleration, has been paid and (iii) the rescission would not conflict with any judgment or decree. No such rescission shall affect any subsequent Default or impair any right consequent thereto. In case an Event of Default specified in Section 6.1(4) or (5) with respect to the Company occurs, such principal, premium, if any, and interest amount with respect to all of the Securities of that Series shall be due and payable immediately without any declaration or other act on the part of the Trustee or the Holders of the Securities of that Series.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6.3. REMEDIES.</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If an Event of Default with respect to Securities of any Series at the time outstanding occurs and is continuing, the Trustee may pursue any available remedy by proceeding at law or in equity to collect the payment of principal of, or premium, if any, and interest on the Securities of that Series or to enforce the performance of any provision of the Securities of that Series or this Indenture.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ind w:firstLine="222"/>
        <w:spacing w:after="0" w:line="259" w:lineRule="auto"/>
        <w:rPr>
          <w:sz w:val="20"/>
          <w:szCs w:val="20"/>
          <w:color w:val="auto"/>
        </w:rPr>
      </w:pPr>
      <w:r>
        <w:rPr>
          <w:rFonts w:ascii="Arial" w:cs="Arial" w:eastAsia="Arial" w:hAnsi="Arial"/>
          <w:sz w:val="18"/>
          <w:szCs w:val="18"/>
          <w:color w:val="auto"/>
        </w:rPr>
        <w:t>The Trustee may maintain a proceeding even if it does not possess any of the Securities of that Series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6.4. WAIVER OF PAST DEFAULTS AND EVENTS OF DEFAULT.</w:t>
      </w:r>
    </w:p>
    <w:p>
      <w:pPr>
        <w:spacing w:after="0" w:line="117"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Subject to Sections 6.2, 6.7 and 8.2 hereof, the Holders of a majority in principal amount of the Securities of any Series then outstanding have the right to waive any existing Default or Event of Default with respect to such Series or compliance with any provision of this Indenture (with respect to such Series) or the Securities of such Series. Upon any such waiver, such Default with respect to such Series shall cease to exist, and any Event of Default with respect to such Series arising therefrom shall be deemed to have been cured for every purpose of this Indenture; but no such waiver shall extend to any subsequent or other Default or Event of Default or impair any right consequent thereto. This Section 6.4 shall be in lieu of TIA Section 316(a)(1)(B), and TIA Section 316(a)(1)(B) is hereby expressly excluded from this Indenture and Section as permitted by the TIA.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6.5. CONTROL BY MAJORITY.</w:t>
      </w:r>
    </w:p>
    <w:p>
      <w:pPr>
        <w:spacing w:after="0" w:line="117"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Subject to Sections 6.2, 6.7 and 8.2 hereof, the Holders of a majority in principal amount of the Securities of any Series then outstanding may direct the time, method and place of conducting any proceeding for any remedy available to the Trustee or exercising any trust or power conferred on the Trustee by this Indenture with respect to such Series. The Trustee, however, may refuse to follow any direction that conflicts with law or this Indenture or that the Trustee determines may be unduly prejudicial to the rights of another Securityholder or that may involve the Trustee in personal liability; PROVIDED that the Trustee may take any other action deemed proper by the Trustee which is not inconsistent with such direction. This Section 6.5 shall be in lieu of TIA Section 316(a)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(1)(A), and TIA Section 316(a)(1)(A) is hereby expressly excluded from this Indenture and Section as permitted by the TIA.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6.6. LIMITATION ON SUITS.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Subject to Section 6.7 below, a Securityholder may not institute any proceeding or pursue any remedy with respect to this Indenture or the Securities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 unless:</w:t>
      </w:r>
    </w:p>
    <w:p>
      <w:pPr>
        <w:spacing w:after="0" w:line="103" w:lineRule="exact"/>
        <w:rPr>
          <w:sz w:val="20"/>
          <w:szCs w:val="20"/>
          <w:color w:val="auto"/>
        </w:rPr>
      </w:pPr>
    </w:p>
    <w:p>
      <w:pPr>
        <w:ind w:left="720" w:hanging="26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 with respect to the Securities of that Series;</w:t>
      </w:r>
    </w:p>
    <w:p>
      <w:pPr>
        <w:spacing w:after="0" w:line="117" w:lineRule="exact"/>
        <w:rPr>
          <w:rFonts w:ascii="Arial" w:cs="Arial" w:eastAsia="Arial" w:hAnsi="Arial"/>
          <w:sz w:val="18"/>
          <w:szCs w:val="18"/>
          <w:color w:val="auto"/>
        </w:rPr>
      </w:pPr>
    </w:p>
    <w:p>
      <w:pPr>
        <w:ind w:right="160" w:firstLine="458"/>
        <w:spacing w:after="0" w:line="277"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Securities of such Series then outstanding make a written request to the Trustee to pursue the remedy;</w:t>
      </w:r>
    </w:p>
    <w:p>
      <w:pPr>
        <w:spacing w:after="0" w:line="62" w:lineRule="exact"/>
        <w:rPr>
          <w:rFonts w:ascii="Arial" w:cs="Arial" w:eastAsia="Arial" w:hAnsi="Arial"/>
          <w:sz w:val="18"/>
          <w:szCs w:val="18"/>
          <w:color w:val="auto"/>
        </w:rPr>
      </w:pPr>
    </w:p>
    <w:p>
      <w:pPr>
        <w:ind w:right="220" w:firstLine="458"/>
        <w:spacing w:after="0" w:line="277"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Holder or Holders offer to the Trustee indemnity reasonably satisfactory to the Trustee against any loss, liability or expense to be incurred in compliance with such request;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left="720" w:hanging="262"/>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17" w:lineRule="exact"/>
        <w:rPr>
          <w:rFonts w:ascii="Arial" w:cs="Arial" w:eastAsia="Arial" w:hAnsi="Arial"/>
          <w:sz w:val="18"/>
          <w:szCs w:val="18"/>
          <w:color w:val="auto"/>
        </w:rPr>
      </w:pPr>
    </w:p>
    <w:p>
      <w:pPr>
        <w:ind w:right="740" w:firstLine="458"/>
        <w:spacing w:after="0" w:line="277"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aggregate principal amount of the Securities of such Series then outstanding.</w:t>
      </w:r>
    </w:p>
    <w:p>
      <w:pPr>
        <w:spacing w:after="0" w:line="62" w:lineRule="exact"/>
        <w:rPr>
          <w:sz w:val="20"/>
          <w:szCs w:val="20"/>
          <w:color w:val="auto"/>
        </w:rPr>
      </w:pPr>
    </w:p>
    <w:p>
      <w:pPr>
        <w:ind w:right="980" w:firstLine="215"/>
        <w:spacing w:after="0" w:line="277" w:lineRule="auto"/>
        <w:rPr>
          <w:sz w:val="20"/>
          <w:szCs w:val="20"/>
          <w:color w:val="auto"/>
        </w:rPr>
      </w:pPr>
      <w:r>
        <w:rPr>
          <w:rFonts w:ascii="Arial" w:cs="Arial" w:eastAsia="Arial" w:hAnsi="Arial"/>
          <w:sz w:val="18"/>
          <w:szCs w:val="18"/>
          <w:color w:val="auto"/>
        </w:rPr>
        <w:t>A Securityholder may not use this Indenture to prejudice the rights of another Securityholder or to obtain a preference or priority over another Securityholder.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6.7. RIGHTS OF HOLDERS TO RECEIVE PAYMENT.</w:t>
      </w:r>
    </w:p>
    <w:p>
      <w:pPr>
        <w:spacing w:after="0" w:line="117" w:lineRule="exact"/>
        <w:rPr>
          <w:sz w:val="20"/>
          <w:szCs w:val="20"/>
          <w:color w:val="auto"/>
        </w:rPr>
      </w:pPr>
    </w:p>
    <w:p>
      <w:pPr>
        <w:jc w:val="both"/>
        <w:ind w:firstLine="225"/>
        <w:spacing w:after="0" w:line="312" w:lineRule="auto"/>
        <w:rPr>
          <w:sz w:val="20"/>
          <w:szCs w:val="20"/>
          <w:color w:val="auto"/>
        </w:rPr>
      </w:pPr>
      <w:r>
        <w:rPr>
          <w:rFonts w:ascii="Arial" w:cs="Arial" w:eastAsia="Arial" w:hAnsi="Arial"/>
          <w:sz w:val="16"/>
          <w:szCs w:val="16"/>
          <w:color w:val="auto"/>
        </w:rPr>
        <w:t>Notwithstanding any other provision of this Indenture, the right of any Holder of a Security of a Series to receive payment of principal of, and premium, if any, and interest of the Security of such Series on or after the respective due dates expressed in the Security of such Series, or to bring suit for the enforcement of any such payment on or after such respective dates, is absolute and unconditional and shall not be impaired or affected without the consent of the Holder.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6.8. COLLECTION SUIT BY TRUSTEE.</w:t>
      </w:r>
    </w:p>
    <w:p>
      <w:pPr>
        <w:spacing w:after="0" w:line="11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If an Event of Default in payment of principal, premium or interest specified in Section 6.1(1) or (2) hereof with respect to Securities of any Series at the time outstanding occurs and is continuing, the Trustee may recover judgment in its own name and as trustee of an express trust against the Company (or any other obligor on the Securities of that Series) for the whole amount of unpaid principal and premium, if any, and accrued interest remaining unpaid, together with interest on overdue principal and premium, if any, and, to the extent that payment of such interest is lawful, interest on overdue installments of interest, in each case at the rate then borne by the Securities of that Series, and such further amounts as shall be sufficient to cover the costs and expenses of collection, including the reasonable compensation, expenses, disbursements and advances of the Trustee, its agents and counsel, as set forth in Section 7.7.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6.9. TRUSTEE MAY FILE PROOFS OF CLAIM.</w:t>
      </w:r>
    </w:p>
    <w:p>
      <w:pPr>
        <w:spacing w:after="0" w:line="117"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Trustee may file such proofs of claim and other papers or documents, and take other actions (including sitting on a committee of creditors)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any other obligor upon the Securities), any of their respective creditors or any of their respective property and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Securityholder to make such payments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7.7 hereof.</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firstLine="225"/>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Securityholder any plan of reorganization, arrangement, adjustment or composition affecting the Securities of a Series or the rights of any Holder thereof, or to authorize the Trustee to vote in respect of the claim of any Securityholder in any such proceedings.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6.10. PRIORITIES.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Trustee for amounts due under Section 7.7 hereof;</w:t>
      </w:r>
    </w:p>
    <w:p>
      <w:pPr>
        <w:spacing w:after="0" w:line="117" w:lineRule="exact"/>
        <w:rPr>
          <w:sz w:val="20"/>
          <w:szCs w:val="20"/>
          <w:color w:val="auto"/>
        </w:rPr>
      </w:pPr>
    </w:p>
    <w:p>
      <w:pPr>
        <w:jc w:val="both"/>
        <w:ind w:left="460" w:right="180"/>
        <w:spacing w:after="0" w:line="264" w:lineRule="auto"/>
        <w:rPr>
          <w:sz w:val="20"/>
          <w:szCs w:val="20"/>
          <w:color w:val="auto"/>
        </w:rPr>
      </w:pPr>
      <w:r>
        <w:rPr>
          <w:rFonts w:ascii="Arial" w:cs="Arial" w:eastAsia="Arial" w:hAnsi="Arial"/>
          <w:sz w:val="18"/>
          <w:szCs w:val="18"/>
          <w:color w:val="auto"/>
        </w:rPr>
        <w:t>SECOND: to Securityholders for amounts then due and unpaid for principal, premium, if any,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to the Company.</w:t>
      </w:r>
    </w:p>
    <w:p>
      <w:pPr>
        <w:spacing w:after="0" w:line="117" w:lineRule="exact"/>
        <w:rPr>
          <w:sz w:val="20"/>
          <w:szCs w:val="20"/>
          <w:color w:val="auto"/>
        </w:rPr>
      </w:pPr>
    </w:p>
    <w:p>
      <w:pPr>
        <w:ind w:right="100" w:firstLine="222"/>
        <w:spacing w:after="0" w:line="308" w:lineRule="auto"/>
        <w:rPr>
          <w:sz w:val="20"/>
          <w:szCs w:val="20"/>
          <w:color w:val="auto"/>
        </w:rPr>
      </w:pPr>
      <w:r>
        <w:rPr>
          <w:rFonts w:ascii="Arial" w:cs="Arial" w:eastAsia="Arial" w:hAnsi="Arial"/>
          <w:sz w:val="17"/>
          <w:szCs w:val="17"/>
          <w:color w:val="auto"/>
        </w:rPr>
        <w:t>The Trustee may fix a record date and payment date for any payment to Securityholders pursuant to this Section 6.10. At least 15 days before such record date, the Trustee shall mail to each Securityholder a notice that states the record date, the payment date and amount to be paid.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6.11. UNDERTAKING FOR COSTS.</w:t>
      </w:r>
    </w:p>
    <w:p>
      <w:pPr>
        <w:spacing w:after="0" w:line="117"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6.7 hereof or a suit by Holders of more than 10% in principal amount of the Securities of a Series then outstanding.</w:t>
      </w: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7.1. DUTIES OF TRUSTEE.</w:t>
      </w:r>
    </w:p>
    <w:p>
      <w:pPr>
        <w:spacing w:after="0" w:line="117" w:lineRule="exact"/>
        <w:rPr>
          <w:sz w:val="20"/>
          <w:szCs w:val="20"/>
          <w:color w:val="auto"/>
        </w:rPr>
      </w:pPr>
    </w:p>
    <w:p>
      <w:pPr>
        <w:ind w:right="80" w:firstLine="233"/>
        <w:spacing w:after="0" w:line="342" w:lineRule="auto"/>
        <w:tabs>
          <w:tab w:leader="none" w:pos="47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the Trustee shall exercise such of the rights and powers vested in it by this Indenture and use the same degree of care and skill in its exercise as a prudent Person would exercise or use under the same circumstances in the conduct of his own affairs.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1" w:name="page62"/>
    <w:bookmarkEnd w:id="61"/>
    <w:p>
      <w:pPr>
        <w:ind w:left="480" w:hanging="247"/>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right="200" w:firstLine="458"/>
        <w:spacing w:after="0" w:line="277" w:lineRule="auto"/>
        <w:tabs>
          <w:tab w:leader="none" w:pos="70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covenants or obligations shall be implied in this Indenture against the Trustee.</w:t>
      </w:r>
    </w:p>
    <w:p>
      <w:pPr>
        <w:spacing w:after="0" w:line="62" w:lineRule="exact"/>
        <w:rPr>
          <w:rFonts w:ascii="Arial" w:cs="Arial" w:eastAsia="Arial" w:hAnsi="Arial"/>
          <w:sz w:val="18"/>
          <w:szCs w:val="18"/>
          <w:color w:val="auto"/>
        </w:rPr>
      </w:pPr>
    </w:p>
    <w:p>
      <w:pPr>
        <w:ind w:firstLine="458"/>
        <w:spacing w:after="0" w:line="259" w:lineRule="auto"/>
        <w:tabs>
          <w:tab w:leader="none" w:pos="705"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Trustee may not be relieved from liability for its own negligent action, its own negligent failure to act, or its own willful misconduct, except that:</w:t>
      </w:r>
    </w:p>
    <w:p>
      <w:pPr>
        <w:spacing w:after="0" w:line="140" w:lineRule="exact"/>
        <w:rPr>
          <w:rFonts w:ascii="Arial" w:cs="Arial" w:eastAsia="Arial" w:hAnsi="Arial"/>
          <w:sz w:val="16"/>
          <w:szCs w:val="16"/>
          <w:color w:val="auto"/>
        </w:rPr>
      </w:pPr>
    </w:p>
    <w:p>
      <w:pPr>
        <w:ind w:left="700" w:hanging="242"/>
        <w:spacing w:after="0"/>
        <w:tabs>
          <w:tab w:leader="none" w:pos="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7.1.</w:t>
      </w:r>
    </w:p>
    <w:p>
      <w:pPr>
        <w:spacing w:after="0" w:line="117" w:lineRule="exact"/>
        <w:rPr>
          <w:rFonts w:ascii="Arial" w:cs="Arial" w:eastAsia="Arial" w:hAnsi="Arial"/>
          <w:sz w:val="18"/>
          <w:szCs w:val="18"/>
          <w:color w:val="auto"/>
        </w:rPr>
      </w:pPr>
    </w:p>
    <w:p>
      <w:pPr>
        <w:ind w:right="520" w:firstLine="458"/>
        <w:spacing w:after="0" w:line="277" w:lineRule="auto"/>
        <w:tabs>
          <w:tab w:leader="none" w:pos="70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62" w:lineRule="exact"/>
        <w:rPr>
          <w:rFonts w:ascii="Arial" w:cs="Arial" w:eastAsia="Arial" w:hAnsi="Arial"/>
          <w:sz w:val="18"/>
          <w:szCs w:val="18"/>
          <w:color w:val="auto"/>
        </w:rPr>
      </w:pPr>
    </w:p>
    <w:p>
      <w:pPr>
        <w:ind w:firstLine="458"/>
        <w:spacing w:after="0" w:line="277" w:lineRule="auto"/>
        <w:tabs>
          <w:tab w:leader="none" w:pos="70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Sections 6.2 and 6.5 hereof.</w:t>
      </w:r>
    </w:p>
    <w:p>
      <w:pPr>
        <w:spacing w:after="0" w:line="62" w:lineRule="exact"/>
        <w:rPr>
          <w:rFonts w:ascii="Arial" w:cs="Arial" w:eastAsia="Arial" w:hAnsi="Arial"/>
          <w:sz w:val="18"/>
          <w:szCs w:val="18"/>
          <w:color w:val="auto"/>
        </w:rPr>
      </w:pPr>
    </w:p>
    <w:p>
      <w:pPr>
        <w:jc w:val="both"/>
        <w:ind w:right="80" w:firstLine="233"/>
        <w:spacing w:after="0" w:line="264"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rights or powers if it shall have reasonable grounds for believing that repayment of such funds or adequate indemnity satisfactory to it against such risk or liability is not reasonably assured to it.</w:t>
      </w:r>
    </w:p>
    <w:p>
      <w:pPr>
        <w:spacing w:after="0" w:line="73" w:lineRule="exact"/>
        <w:rPr>
          <w:rFonts w:ascii="Arial" w:cs="Arial" w:eastAsia="Arial" w:hAnsi="Arial"/>
          <w:sz w:val="18"/>
          <w:szCs w:val="18"/>
          <w:color w:val="auto"/>
        </w:rPr>
      </w:pPr>
    </w:p>
    <w:p>
      <w:pPr>
        <w:ind w:right="200" w:firstLine="233"/>
        <w:spacing w:after="0" w:line="277" w:lineRule="auto"/>
        <w:tabs>
          <w:tab w:leader="none" w:pos="4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or not therein expressly so provided, paragraphs (a), (b), (c) and (d) of this Section 7.1 shall govern every provision of this Indenture that in any way relates to the Trustee.</w:t>
      </w:r>
    </w:p>
    <w:p>
      <w:pPr>
        <w:spacing w:after="0" w:line="62" w:lineRule="exact"/>
        <w:rPr>
          <w:rFonts w:ascii="Arial" w:cs="Arial" w:eastAsia="Arial" w:hAnsi="Arial"/>
          <w:sz w:val="18"/>
          <w:szCs w:val="18"/>
          <w:color w:val="auto"/>
        </w:rPr>
      </w:pPr>
    </w:p>
    <w:p>
      <w:pPr>
        <w:ind w:right="60" w:firstLine="233"/>
        <w:spacing w:after="0" w:line="308" w:lineRule="auto"/>
        <w:tabs>
          <w:tab w:leader="none" w:pos="447"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Trustee and Paying Agent shall not be liable for interest on any money received by it except as the Trustee and Paying Agent may agree in writing with the Company. Money held in trust by the Trustee need not be segregated from other funds except to the extent required by the law.</w:t>
      </w:r>
    </w:p>
    <w:p>
      <w:pPr>
        <w:spacing w:after="0" w:line="38" w:lineRule="exact"/>
        <w:rPr>
          <w:rFonts w:ascii="Arial" w:cs="Arial" w:eastAsia="Arial" w:hAnsi="Arial"/>
          <w:sz w:val="17"/>
          <w:szCs w:val="17"/>
          <w:color w:val="auto"/>
        </w:rPr>
      </w:pPr>
    </w:p>
    <w:p>
      <w:pPr>
        <w:ind w:right="760" w:firstLine="233"/>
        <w:spacing w:after="0" w:line="277" w:lineRule="auto"/>
        <w:tabs>
          <w:tab w:leader="none" w:pos="47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immunities and standard of care set forth in paragraphs (a), (b), (c), (d) and (f) of this Section 7.1 and in Section 7.2 with respect to the Trustee.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7.2. RIGHTS OF TRUSTEE.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Subject to Section 7.1 hereof: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2" w:name="page63"/>
    <w:bookmarkEnd w:id="62"/>
    <w:p>
      <w:pPr>
        <w:ind w:right="20" w:firstLine="458"/>
        <w:spacing w:after="0" w:line="308" w:lineRule="auto"/>
        <w:tabs>
          <w:tab w:leader="none" w:pos="70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Trustee may rely on and shall be protected in acting or refraining from acting upon any document reasonably believed by it to be genuine and to have been signed or presented by the proper Person. The Trustee need not investigate any fact or matter stated in the document.</w:t>
      </w:r>
    </w:p>
    <w:p>
      <w:pPr>
        <w:spacing w:after="0" w:line="38" w:lineRule="exact"/>
        <w:rPr>
          <w:rFonts w:ascii="Arial" w:cs="Arial" w:eastAsia="Arial" w:hAnsi="Arial"/>
          <w:sz w:val="17"/>
          <w:szCs w:val="17"/>
          <w:color w:val="auto"/>
        </w:rPr>
      </w:pPr>
    </w:p>
    <w:p>
      <w:pPr>
        <w:ind w:right="80" w:firstLine="458"/>
        <w:spacing w:after="0" w:line="264"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which shall conform to the provisions of Section 10.5 hereof. The Trustee shall be protected and shall not be liable for any action it takes or omits to take in good faith in reliance on such certificate or opinion.</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Trustee may act through agents and attorneys and shall not be responsible for the misconduct or negligence of any agent appointed by it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due care.</w:t>
      </w:r>
    </w:p>
    <w:p>
      <w:pPr>
        <w:spacing w:after="0" w:line="102" w:lineRule="exact"/>
        <w:rPr>
          <w:rFonts w:ascii="Arial" w:cs="Arial" w:eastAsia="Arial" w:hAnsi="Arial"/>
          <w:sz w:val="16"/>
          <w:szCs w:val="16"/>
          <w:color w:val="auto"/>
        </w:rPr>
      </w:pPr>
    </w:p>
    <w:p>
      <w:pPr>
        <w:ind w:right="120" w:firstLine="458"/>
        <w:spacing w:after="0" w:line="277" w:lineRule="auto"/>
        <w:tabs>
          <w:tab w:leader="none" w:pos="7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reasonably believes to be authorized or within its rights or powers.</w:t>
      </w:r>
    </w:p>
    <w:p>
      <w:pPr>
        <w:spacing w:after="0" w:line="62" w:lineRule="exact"/>
        <w:rPr>
          <w:rFonts w:ascii="Arial" w:cs="Arial" w:eastAsia="Arial" w:hAnsi="Arial"/>
          <w:sz w:val="18"/>
          <w:szCs w:val="18"/>
          <w:color w:val="auto"/>
        </w:rPr>
      </w:pPr>
    </w:p>
    <w:p>
      <w:pPr>
        <w:ind w:right="60" w:firstLine="458"/>
        <w:spacing w:after="0" w:line="264" w:lineRule="auto"/>
        <w:tabs>
          <w:tab w:leader="none" w:pos="7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may consult with counsel reasonably acceptable to the Trustee, which may be counsel to the Company,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73" w:lineRule="exact"/>
        <w:rPr>
          <w:rFonts w:ascii="Arial" w:cs="Arial" w:eastAsia="Arial" w:hAnsi="Arial"/>
          <w:sz w:val="18"/>
          <w:szCs w:val="18"/>
          <w:color w:val="auto"/>
        </w:rPr>
      </w:pPr>
    </w:p>
    <w:p>
      <w:pPr>
        <w:ind w:right="40" w:firstLine="458"/>
        <w:spacing w:after="0" w:line="264" w:lineRule="auto"/>
        <w:tabs>
          <w:tab w:leader="none" w:pos="7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order or direction of any of the Holders pursuant to the provisions of this Indenture, unless such Holders shall have offered to the Trustee reasonable security or indemnity against the costs, expenses and liabilities which may be incurred therein or thereby.</w:t>
      </w:r>
    </w:p>
    <w:p>
      <w:pPr>
        <w:spacing w:after="0" w:line="73" w:lineRule="exact"/>
        <w:rPr>
          <w:rFonts w:ascii="Arial" w:cs="Arial" w:eastAsia="Arial" w:hAnsi="Arial"/>
          <w:sz w:val="18"/>
          <w:szCs w:val="18"/>
          <w:color w:val="auto"/>
        </w:rPr>
      </w:pPr>
    </w:p>
    <w:p>
      <w:pPr>
        <w:ind w:right="160" w:firstLine="458"/>
        <w:spacing w:after="0" w:line="277" w:lineRule="auto"/>
        <w:tabs>
          <w:tab w:leader="none" w:pos="7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shall not be deemed to have knowledge of any fact or matter (including, without limitation, a Default or Event of Default) unless such fact or matter is known to a Responsible Officer of the Trustee.</w:t>
      </w:r>
    </w:p>
    <w:p>
      <w:pPr>
        <w:spacing w:after="0" w:line="62" w:lineRule="exact"/>
        <w:rPr>
          <w:rFonts w:ascii="Arial" w:cs="Arial" w:eastAsia="Arial" w:hAnsi="Arial"/>
          <w:sz w:val="18"/>
          <w:szCs w:val="18"/>
          <w:color w:val="auto"/>
        </w:rPr>
      </w:pPr>
    </w:p>
    <w:p>
      <w:pPr>
        <w:ind w:firstLine="458"/>
        <w:spacing w:after="0" w:line="285"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Unless otherwise expressly provided herein or in the Securities of a Series or the related Board Resolution, supplemental indenture or Officers’ Certificate, the Trustee shall not have any responsibility with respect to reports, notices, certificates or other documents filed with it hereunder, except to make them available for inspection, at reasonable times, by Securityholders, it being understood that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(except as set forth in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7.3. INDIVIDUAL RIGHTS OF TRUSTEE.</w:t>
      </w:r>
    </w:p>
    <w:p>
      <w:pPr>
        <w:spacing w:after="0" w:line="117"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Any Agent may do the same with like rights. The Trustee, however, shall be subject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Sections 7.10 and 7.11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7.4. TRUSTEE’S DISCLAIMER.</w:t>
      </w:r>
    </w:p>
    <w:p>
      <w:pPr>
        <w:spacing w:after="0" w:line="117" w:lineRule="exact"/>
        <w:rPr>
          <w:sz w:val="20"/>
          <w:szCs w:val="20"/>
          <w:color w:val="auto"/>
        </w:rPr>
      </w:pPr>
    </w:p>
    <w:p>
      <w:pPr>
        <w:jc w:val="both"/>
        <w:ind w:right="420" w:firstLine="222"/>
        <w:spacing w:after="0" w:line="279" w:lineRule="auto"/>
        <w:rPr>
          <w:sz w:val="20"/>
          <w:szCs w:val="20"/>
          <w:color w:val="auto"/>
        </w:rPr>
      </w:pPr>
      <w:r>
        <w:rPr>
          <w:rFonts w:ascii="Arial" w:cs="Arial" w:eastAsia="Arial" w:hAnsi="Arial"/>
          <w:sz w:val="17"/>
          <w:szCs w:val="17"/>
          <w:color w:val="auto"/>
        </w:rPr>
        <w:t>The Trustee makes no representation as to the validity or adequacy of this Indenture or the Securities (except that the Trustee represents that it is duly authorized to execute and deliver this Indenture and authenticate the Securities and perform its obligations hereunder), it shall not be accountable for the Company’s use of the proceeds from the sale of Securities or any money paid to the Company pursuant to the terms of this Indenture and it shall not be responsible for any statement in the Securities other than its certificates of authentication.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7.5. NOTICE OF DEFAULT.</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If a Default or an Event of Default occurs and is continuing with respect to the Securities of any Series and if it is known to the Trustee, the Trustee shall mail to each Securityholder of the Securities of that Series notice of the Default or the Event of Default, as the case may be, within 90 days after it occurs or, if later, after a Responsible Officer of the Trustee has knowledge of such Default or Event of Default (except if such Default or Event of Default has been validly cured or waived before the giving of such notice). Except in the case of a Default or an Event of Default in payment of the principal of, or premium, if any, or interest on any Security of any Series, the Trustee may withhold the notice if and so long as the Board of Directors of the Trustee, the executive committee or any trust committee of such board and/or its Responsible Officers in good faith determine(s) that withholding the notice is in the interests of the Securityholders of that Series.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7.6. REPORTS BY TRUSTEE TO HOLDERS.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If and to the extent required by the TIA, within 60 days after April 1 of each year, commencing the April 1 following the date of this Indenture, the Trustee shall mail to each Securityholder a brief report dated as of such April 1 that complies with TIA Section 313(a). The Trustee also shall comply with TIA Sections 313(b) and 313(c).</w:t>
      </w:r>
    </w:p>
    <w:p>
      <w:pPr>
        <w:spacing w:after="0" w:line="73" w:lineRule="exact"/>
        <w:rPr>
          <w:sz w:val="20"/>
          <w:szCs w:val="20"/>
          <w:color w:val="auto"/>
        </w:rPr>
      </w:pPr>
    </w:p>
    <w:p>
      <w:pPr>
        <w:ind w:right="140" w:firstLine="215"/>
        <w:spacing w:after="0" w:line="264" w:lineRule="auto"/>
        <w:rPr>
          <w:sz w:val="20"/>
          <w:szCs w:val="20"/>
          <w:color w:val="auto"/>
        </w:rPr>
      </w:pPr>
      <w:r>
        <w:rPr>
          <w:rFonts w:ascii="Arial" w:cs="Arial" w:eastAsia="Arial" w:hAnsi="Arial"/>
          <w:sz w:val="18"/>
          <w:szCs w:val="18"/>
          <w:color w:val="auto"/>
        </w:rPr>
        <w:t>A copy of each report at the time of its mailing to Securityholders shall be filed with the SEC and any stock exchange on which the Securities of that Series are listed. The Company shall promptly notify the Trustee when the Securities of any Series are listed on any stock exchange or any delisting thereof, and the Trustee shall comply with TIA Section 313(d).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7.7. COMPENSATION AND INDEMNITY.</w:t>
      </w:r>
    </w:p>
    <w:p>
      <w:pPr>
        <w:spacing w:after="0" w:line="117"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Company shall pay to the Trustee from time to time reasonable compensation for its services. The Trustee’s compensation shall not be limited by any provision of law on compensation of a trustee of an express trust. The Company shall reimburse the Trustee within 45 days after receipt of request for all reasonable out-of-pocket disbursements and expenses incurred or made by it in connection with its duties under this Indenture, including the reasonable compensation, disbursements and expenses of the Trustee’s agents and counsel.</w:t>
      </w:r>
    </w:p>
    <w:p>
      <w:pPr>
        <w:spacing w:after="0" w:line="7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Company shall indemnify the Trustee for, and hold it harmless against, any and all loss or liability incurred by it in connection with the acceptance or performance of its duties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ind w:right="120"/>
        <w:spacing w:after="0" w:line="264" w:lineRule="auto"/>
        <w:rPr>
          <w:sz w:val="20"/>
          <w:szCs w:val="20"/>
          <w:color w:val="auto"/>
        </w:rPr>
      </w:pPr>
      <w:r>
        <w:rPr>
          <w:rFonts w:ascii="Arial" w:cs="Arial" w:eastAsia="Arial" w:hAnsi="Arial"/>
          <w:sz w:val="18"/>
          <w:szCs w:val="18"/>
          <w:color w:val="auto"/>
        </w:rPr>
        <w:t>under this Indenture including the reasonable costs and expenses of defending itself against any claim or liability in connection with the exercise or performance of any of its powers or duties hereunder. The Trustee shall notify the Company promptly of any claim asserted against the Trustee for which it may seek indemnity.</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failure by the Trustee to so notify the Company shall not however relieve the Company of its obligations. Notwithstanding the foregoing, the Company need not reimburse the Trustee for any expense or indemnify it against any loss or liability incurred by the Trustee through its negligence or bad faith. To secure the payment obligations of the Company in this Section 7.7, the Trustee shall have a lien prior to the Securities of any Series on all money or property held or collected by the Trustee except such money or property held in trust to pay principal of and interest and premium (if any) on particular Securities of that Series.</w:t>
      </w:r>
    </w:p>
    <w:p>
      <w:pPr>
        <w:spacing w:after="0" w:line="80"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6.1(4) or (5) hereof occurs, the expenses and the compensation for the services are intended to constitute expenses of administration under any Bankruptcy Law.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this Section 7.7, the term “Trustee” shall include any trustee appointed pursuant to Article 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7.8. REPLACEMENT OF TRUSTEE.</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Trustee may resign with respect to the Securities of one or more Series by so notifying the Company in writing at least 90 days in advance of such resignation.</w:t>
      </w:r>
    </w:p>
    <w:p>
      <w:pPr>
        <w:spacing w:after="0" w:line="62" w:lineRule="exact"/>
        <w:rPr>
          <w:sz w:val="20"/>
          <w:szCs w:val="20"/>
          <w:color w:val="auto"/>
        </w:rPr>
      </w:pPr>
    </w:p>
    <w:p>
      <w:pPr>
        <w:jc w:val="both"/>
        <w:ind w:right="40" w:firstLine="222"/>
        <w:spacing w:after="0" w:line="286" w:lineRule="auto"/>
        <w:rPr>
          <w:sz w:val="20"/>
          <w:szCs w:val="20"/>
          <w:color w:val="auto"/>
        </w:rPr>
      </w:pPr>
      <w:r>
        <w:rPr>
          <w:rFonts w:ascii="Arial" w:cs="Arial" w:eastAsia="Arial" w:hAnsi="Arial"/>
          <w:sz w:val="17"/>
          <w:szCs w:val="17"/>
          <w:color w:val="auto"/>
        </w:rPr>
        <w:t>The Holders of a majority in principal amount of the outstanding Securities of any Series may remove the Trustee with respect to that Series by notifying the removed Trustee in writing and may appoint a successor Trustee with respect to that Series with the consent of the Company, which consent shall not be unreasonably withheld. The Company may remove the Trustee with respect to that Series at its election if:</w:t>
      </w:r>
    </w:p>
    <w:p>
      <w:pPr>
        <w:spacing w:after="0" w:line="57" w:lineRule="exact"/>
        <w:rPr>
          <w:sz w:val="20"/>
          <w:szCs w:val="20"/>
          <w:color w:val="auto"/>
        </w:rPr>
      </w:pPr>
    </w:p>
    <w:p>
      <w:pPr>
        <w:ind w:left="720" w:hanging="262"/>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fails to comply with, or ceases to be eligible under, Section 7.10 hereof;</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Trustee is adjudged a bankrupt or an insolvent or an order for relief is entered with respect to the Trustee under any Bankruptcy Law;</w:t>
      </w:r>
    </w:p>
    <w:p>
      <w:pPr>
        <w:spacing w:after="0" w:line="128" w:lineRule="exact"/>
        <w:rPr>
          <w:rFonts w:ascii="Arial" w:cs="Arial" w:eastAsia="Arial" w:hAnsi="Arial"/>
          <w:sz w:val="17"/>
          <w:szCs w:val="17"/>
          <w:color w:val="auto"/>
        </w:rPr>
      </w:pPr>
    </w:p>
    <w:p>
      <w:pPr>
        <w:ind w:left="720" w:hanging="262"/>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Custodian or other public officer takes charge of the Trustee or its property; or</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117" w:lineRule="exact"/>
        <w:rPr>
          <w:rFonts w:ascii="Arial" w:cs="Arial" w:eastAsia="Arial" w:hAnsi="Arial"/>
          <w:sz w:val="18"/>
          <w:szCs w:val="18"/>
          <w:color w:val="auto"/>
        </w:rPr>
      </w:pPr>
    </w:p>
    <w:p>
      <w:pPr>
        <w:ind w:right="560" w:firstLine="458"/>
        <w:spacing w:after="0" w:line="277"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with respect to any Series of Securities for any reason, the Company shall promptly appoint, by Board Resolution, a successor Trustee.</w:t>
      </w:r>
    </w:p>
    <w:p>
      <w:pPr>
        <w:spacing w:after="0" w:line="62"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If a successor Trustee with respect to the Securities of one or more Series does not take office within 60 days after the retiring Trustee resigns or is removed, the retiring Trustee, the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65" w:name="page66"/>
    <w:bookmarkEnd w:id="65"/>
    <w:p>
      <w:pPr>
        <w:ind w:right="580"/>
        <w:spacing w:after="0" w:line="277" w:lineRule="auto"/>
        <w:rPr>
          <w:sz w:val="20"/>
          <w:szCs w:val="20"/>
          <w:color w:val="auto"/>
        </w:rPr>
      </w:pPr>
      <w:r>
        <w:rPr>
          <w:rFonts w:ascii="Arial" w:cs="Arial" w:eastAsia="Arial" w:hAnsi="Arial"/>
          <w:sz w:val="18"/>
          <w:szCs w:val="18"/>
          <w:color w:val="auto"/>
        </w:rPr>
        <w:t>Company or the Holders of at least 10% in principal amount of the outstanding Securities of the applicable Series may petition any court of competent jurisdiction for the appointment of a successor Trustee.</w:t>
      </w:r>
    </w:p>
    <w:p>
      <w:pPr>
        <w:spacing w:after="0" w:line="6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If the Trustee with respect to the Securities of one or more Series fails to comply with Section 7.10 hereof, any Securityholder of the applicable Series may petition any court of competent jurisdiction for the removal of the Trustee and the appointment of a successor Trustee.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 successor Trustee shall deliver a written acceptance of its appointment to the retiring Trustee and to the Company. Immediately following such delivery,</w:t>
      </w:r>
    </w:p>
    <w:p>
      <w:pPr>
        <w:spacing w:after="0" w:line="46" w:lineRule="exact"/>
        <w:rPr>
          <w:sz w:val="20"/>
          <w:szCs w:val="20"/>
          <w:color w:val="auto"/>
        </w:rPr>
      </w:pPr>
    </w:p>
    <w:p>
      <w:pPr>
        <w:jc w:val="both"/>
        <w:ind w:firstLine="8"/>
        <w:spacing w:after="0" w:line="254" w:lineRule="auto"/>
        <w:tabs>
          <w:tab w:leader="none" w:pos="2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retiring Trustee with respect to one or more Series shall, subject to its rights under Section 7.7 hereof, transfer all property held by it as Trustee with respect to such Series to the successor Trustee, (ii) the resignation or removal of the retiring Trustee shall become effective, and (iii) the successor Trustee with respect to such Series shall have all the rights, powers and duties of the Trustee under this Indenture. A successor Trustee with respect to the Securities of one or more Series shall mail notice of its succession to each Securityholder of such Series.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7.9. SUCCESSOR TRUSTEE BY CONSOLIDATION, MERGER OR CONVERSION.</w:t>
      </w:r>
    </w:p>
    <w:p>
      <w:pPr>
        <w:spacing w:after="0" w:line="117" w:lineRule="exact"/>
        <w:rPr>
          <w:sz w:val="20"/>
          <w:szCs w:val="20"/>
          <w:color w:val="auto"/>
        </w:rPr>
      </w:pPr>
    </w:p>
    <w:p>
      <w:pPr>
        <w:ind w:right="400" w:firstLine="225"/>
        <w:spacing w:after="0" w:line="342" w:lineRule="auto"/>
        <w:rPr>
          <w:sz w:val="20"/>
          <w:szCs w:val="20"/>
          <w:color w:val="auto"/>
        </w:rPr>
      </w:pPr>
      <w:r>
        <w:rPr>
          <w:rFonts w:ascii="Arial" w:cs="Arial" w:eastAsia="Arial" w:hAnsi="Arial"/>
          <w:sz w:val="16"/>
          <w:szCs w:val="16"/>
          <w:color w:val="auto"/>
        </w:rPr>
        <w:t>If the Trustee, or any Agent, consolidates with, merges or converts into, or transfers all or substantially all of its corporate trust assets to, another corporation, subject to Section 7.10 hereof, the successor corporation without any further act shall be the successor Trustee or Agent, as the case may be.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7.10. ELIGIBILITY; DISQUALIFICATION.</w:t>
      </w:r>
    </w:p>
    <w:p>
      <w:pPr>
        <w:spacing w:after="0" w:line="11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This Indenture shall always have a Trustee who satisfies the requirements of TIA Sections 310(a)(1), (2) and (5) in every respect. The Trustee (or in the case of a Trustee that is a Person included in a bank holding company system, the related bank holding company) shall have a combined capital and surplus of at least $100,000,000 as set forth in its most recent published annual report of condition. The Trustee shall comply with TIA Section 310(b), including the provision in Section 310(b)(1). In addition, if the Trustee is a Person included in a bank holding company system, the Trustee, independently of such bank holding company, shall meet the capital requirements of TIA Section 310(a)(2). If at any time the Trustee shall cease to be eligible in accordance with the provisions of this Section 7.10, it shall resign immediately in the manner and with the effect specified in this Article 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7.11. PREFERENTIAL COLLECTION OF CLAIMS AGAINST COMPANY.</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Trustee shall comply with TIA Section 311(a), excluding any creditor relationship listed in TIA Section 311(b). A Trustee who has resigned or been removed shall be subject to TIA Section 311(a) to the extent indicated therein.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7.12. PAYING AGENTS.</w:t>
      </w:r>
    </w:p>
    <w:p>
      <w:pPr>
        <w:spacing w:after="0" w:line="11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Company shall cause each Paying Agent other than the Trustee to execute and deliver to it and the Trustee an instrument in which such agent shall agree with the Trustee, subject to the provisions of this Section 7.12:</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ind w:right="300" w:firstLine="458"/>
        <w:spacing w:after="0" w:line="308" w:lineRule="auto"/>
        <w:tabs>
          <w:tab w:leader="none" w:pos="70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that it will hold all sums held by it as agent for the payment of principal of, or premium, if any, or interest on, the Securities (whether such sums have been paid to it by the Company or by any obligor on the Securities) in trust for the benefit of Holders of the Securities or the Trustee;</w:t>
      </w:r>
    </w:p>
    <w:p>
      <w:pPr>
        <w:spacing w:after="0" w:line="38" w:lineRule="exact"/>
        <w:rPr>
          <w:rFonts w:ascii="Arial" w:cs="Arial" w:eastAsia="Arial" w:hAnsi="Arial"/>
          <w:sz w:val="17"/>
          <w:szCs w:val="17"/>
          <w:color w:val="auto"/>
        </w:rPr>
      </w:pPr>
    </w:p>
    <w:p>
      <w:pPr>
        <w:ind w:right="20" w:firstLine="458"/>
        <w:spacing w:after="0" w:line="277"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Event of Default, upon written request from the Trustee, deliver to the Trustee all sums so held in trust by it together with a full accounting thereof; and</w:t>
      </w:r>
    </w:p>
    <w:p>
      <w:pPr>
        <w:spacing w:after="0" w:line="62" w:lineRule="exact"/>
        <w:rPr>
          <w:rFonts w:ascii="Arial" w:cs="Arial" w:eastAsia="Arial" w:hAnsi="Arial"/>
          <w:sz w:val="18"/>
          <w:szCs w:val="18"/>
          <w:color w:val="auto"/>
        </w:rPr>
      </w:pPr>
    </w:p>
    <w:p>
      <w:pPr>
        <w:ind w:right="180" w:firstLine="458"/>
        <w:spacing w:after="0" w:line="342"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that it will give the Trustee written notice within three (3) Business Days after any failure of the Company (or by any obligor on the Securities) in the payment of any installment of the principal of, premium, if any, or interest on, the Securities when the same shall be due and payable.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 SUPPLEMENTS AND WAIVERS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8.1. WITHOUT CONSENT OF HOLDERS.</w:t>
      </w:r>
    </w:p>
    <w:p>
      <w:pPr>
        <w:spacing w:after="0" w:line="11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Company, when authorized by a Board Resolution, and the Trustee may amend or supplement this Indenture or the Securities of one or more Series without notice to, or consent of, any Securityholder:</w:t>
      </w:r>
    </w:p>
    <w:p>
      <w:pPr>
        <w:spacing w:after="0" w:line="62" w:lineRule="exact"/>
        <w:rPr>
          <w:sz w:val="20"/>
          <w:szCs w:val="20"/>
          <w:color w:val="auto"/>
        </w:rPr>
      </w:pPr>
    </w:p>
    <w:p>
      <w:pPr>
        <w:ind w:left="720" w:hanging="26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comply with Section 5.1 hereof;</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provide for certificated Securities in addition to uncertificated Securities;</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comply with any requirements of the SEC under the TIA;</w:t>
      </w:r>
    </w:p>
    <w:p>
      <w:pPr>
        <w:spacing w:after="0" w:line="117" w:lineRule="exact"/>
        <w:rPr>
          <w:rFonts w:ascii="Arial" w:cs="Arial" w:eastAsia="Arial" w:hAnsi="Arial"/>
          <w:sz w:val="18"/>
          <w:szCs w:val="18"/>
          <w:color w:val="auto"/>
        </w:rPr>
      </w:pPr>
    </w:p>
    <w:p>
      <w:pPr>
        <w:ind w:right="100" w:firstLine="458"/>
        <w:spacing w:after="0" w:line="277"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cure any ambiguity, defect or inconsistency, or to make any other change herein or in the Securities that does not materially and adversely affect the rights of any Securityholder;</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Securities of any Series as permitted by this Indenture; or</w:t>
      </w:r>
    </w:p>
    <w:p>
      <w:pPr>
        <w:spacing w:after="0" w:line="128" w:lineRule="exact"/>
        <w:rPr>
          <w:rFonts w:ascii="Arial" w:cs="Arial" w:eastAsia="Arial" w:hAnsi="Arial"/>
          <w:sz w:val="17"/>
          <w:szCs w:val="17"/>
          <w:color w:val="auto"/>
        </w:rPr>
      </w:pPr>
    </w:p>
    <w:p>
      <w:pPr>
        <w:ind w:firstLine="458"/>
        <w:spacing w:after="0" w:line="264"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73"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Trustee is hereby authorized to join with the Company in the execution of any supplemental indenture authorized or permitted by the terms of this Indenture and to make any further appropriate agreements and stipulations which may be therein contained, but the Trustee shall not be obligated to enter into any such supplemental indenture which adversely affects its own rights, duties or immunities under this Indenture.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8.2. WITH CONSENT OF HOLDERS.</w:t>
      </w:r>
    </w:p>
    <w:p>
      <w:pPr>
        <w:spacing w:after="0" w:line="117" w:lineRule="exact"/>
        <w:rPr>
          <w:sz w:val="20"/>
          <w:szCs w:val="20"/>
          <w:color w:val="auto"/>
        </w:rPr>
      </w:pPr>
    </w:p>
    <w:p>
      <w:pPr>
        <w:ind w:right="80" w:firstLine="233"/>
        <w:spacing w:after="0" w:line="273" w:lineRule="auto"/>
        <w:tabs>
          <w:tab w:leader="none" w:pos="467"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when authorized by a Board Resolution, and the Trustee may amend or supplement this Indenture or the Securities of one or more Series with the written consent of the Holders of not less than a majority in aggregate principal amount of the outstanding Securities of such Series affected by such amendment or supplement without notice to any Securityholder. The Holders of not less than a majority in aggregate principal amount of the outstanding Securities of each such Series affected by such amendment or supplement may waive compliance in a particular instance by the Company with any provision of this Indenture or the Securities of such Series without notice to any Securityholder. Subject to Section 8.4, without the consent of each Securityholder affected, however, an amendment, supplement or waiver may not:</w:t>
      </w:r>
    </w:p>
    <w:p>
      <w:pPr>
        <w:spacing w:after="0" w:line="70" w:lineRule="exact"/>
        <w:rPr>
          <w:rFonts w:ascii="Arial" w:cs="Arial" w:eastAsia="Arial" w:hAnsi="Arial"/>
          <w:sz w:val="17"/>
          <w:szCs w:val="17"/>
          <w:color w:val="auto"/>
        </w:rPr>
      </w:pPr>
    </w:p>
    <w:p>
      <w:pPr>
        <w:ind w:left="720" w:hanging="262"/>
        <w:spacing w:after="0"/>
        <w:tabs>
          <w:tab w:leader="none" w:pos="7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reduce the amount of Securities whose Holders must consent to an amendment, supplement or waiver to this Indenture or the Securities;</w:t>
      </w:r>
    </w:p>
    <w:p>
      <w:pPr>
        <w:spacing w:after="0" w:line="128" w:lineRule="exact"/>
        <w:rPr>
          <w:rFonts w:ascii="Arial" w:cs="Arial" w:eastAsia="Arial" w:hAnsi="Arial"/>
          <w:sz w:val="17"/>
          <w:szCs w:val="17"/>
          <w:color w:val="auto"/>
        </w:rPr>
      </w:pPr>
    </w:p>
    <w:p>
      <w:pPr>
        <w:ind w:left="720" w:hanging="262"/>
        <w:spacing w:after="0"/>
        <w:tabs>
          <w:tab w:leader="none" w:pos="7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Security;</w:t>
      </w:r>
    </w:p>
    <w:p>
      <w:pPr>
        <w:spacing w:after="0" w:line="117" w:lineRule="exact"/>
        <w:rPr>
          <w:rFonts w:ascii="Arial" w:cs="Arial" w:eastAsia="Arial" w:hAnsi="Arial"/>
          <w:sz w:val="18"/>
          <w:szCs w:val="18"/>
          <w:color w:val="auto"/>
        </w:rPr>
      </w:pPr>
    </w:p>
    <w:p>
      <w:pPr>
        <w:ind w:right="360" w:firstLine="458"/>
        <w:spacing w:after="0" w:line="277" w:lineRule="auto"/>
        <w:tabs>
          <w:tab w:leader="none" w:pos="705"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make any Security payable in money other than that stated in the Security;</w:t>
      </w:r>
    </w:p>
    <w:p>
      <w:pPr>
        <w:spacing w:after="0" w:line="117" w:lineRule="exact"/>
        <w:rPr>
          <w:rFonts w:ascii="Arial" w:cs="Arial" w:eastAsia="Arial" w:hAnsi="Arial"/>
          <w:sz w:val="18"/>
          <w:szCs w:val="18"/>
          <w:color w:val="auto"/>
        </w:rPr>
      </w:pPr>
    </w:p>
    <w:p>
      <w:pPr>
        <w:ind w:right="280" w:firstLine="458"/>
        <w:spacing w:after="0" w:line="277" w:lineRule="auto"/>
        <w:tabs>
          <w:tab w:leader="none" w:pos="705" w:val="left"/>
        </w:tabs>
        <w:numPr>
          <w:ilvl w:val="1"/>
          <w:numId w:val="57"/>
        </w:numPr>
        <w:rPr>
          <w:rFonts w:ascii="Arial" w:cs="Arial" w:eastAsia="Arial" w:hAnsi="Arial"/>
          <w:sz w:val="18"/>
          <w:szCs w:val="18"/>
          <w:color w:val="auto"/>
        </w:rPr>
      </w:pPr>
      <w:r>
        <w:rPr>
          <w:rFonts w:ascii="Arial" w:cs="Arial" w:eastAsia="Arial" w:hAnsi="Arial"/>
          <w:sz w:val="18"/>
          <w:szCs w:val="18"/>
          <w:color w:val="auto"/>
        </w:rPr>
        <w:t>change the amount or time of any payment required by the Securities or reduce the premium payable upon any redemption of the Securities, or change the time before which no such redemption may be made;</w:t>
      </w:r>
    </w:p>
    <w:p>
      <w:pPr>
        <w:spacing w:after="0" w:line="62" w:lineRule="exact"/>
        <w:rPr>
          <w:rFonts w:ascii="Arial" w:cs="Arial" w:eastAsia="Arial" w:hAnsi="Arial"/>
          <w:sz w:val="18"/>
          <w:szCs w:val="18"/>
          <w:color w:val="auto"/>
        </w:rPr>
      </w:pPr>
    </w:p>
    <w:p>
      <w:pPr>
        <w:ind w:firstLine="458"/>
        <w:spacing w:after="0" w:line="264" w:lineRule="auto"/>
        <w:tabs>
          <w:tab w:leader="none" w:pos="705" w:val="left"/>
        </w:tabs>
        <w:numPr>
          <w:ilvl w:val="1"/>
          <w:numId w:val="57"/>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or premium,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waive a redemption payment with respect to any Security or change any of the provisions with respect to the redemption of any Securities;</w:t>
      </w:r>
    </w:p>
    <w:p>
      <w:pPr>
        <w:spacing w:after="0" w:line="128" w:lineRule="exact"/>
        <w:rPr>
          <w:rFonts w:ascii="Arial" w:cs="Arial" w:eastAsia="Arial" w:hAnsi="Arial"/>
          <w:sz w:val="17"/>
          <w:szCs w:val="17"/>
          <w:color w:val="auto"/>
        </w:rPr>
      </w:pPr>
    </w:p>
    <w:p>
      <w:pPr>
        <w:ind w:right="160" w:firstLine="458"/>
        <w:spacing w:after="0" w:line="277" w:lineRule="auto"/>
        <w:tabs>
          <w:tab w:leader="none" w:pos="705" w:val="left"/>
        </w:tabs>
        <w:numPr>
          <w:ilvl w:val="1"/>
          <w:numId w:val="57"/>
        </w:numPr>
        <w:rPr>
          <w:rFonts w:ascii="Arial" w:cs="Arial" w:eastAsia="Arial" w:hAnsi="Arial"/>
          <w:sz w:val="18"/>
          <w:szCs w:val="18"/>
          <w:color w:val="auto"/>
        </w:rPr>
      </w:pPr>
      <w:r>
        <w:rPr>
          <w:rFonts w:ascii="Arial" w:cs="Arial" w:eastAsia="Arial" w:hAnsi="Arial"/>
          <w:sz w:val="18"/>
          <w:szCs w:val="18"/>
          <w:color w:val="auto"/>
        </w:rPr>
        <w:t>make any changes in Section 6.6 hereof or this Section 8.2; except to increase any percentage of Securities the Holders of which must consent to any matter; or</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take any other action otherwise prohibited by this Indenture to be taken without the consent of each Holder affected thereby.</w:t>
      </w:r>
    </w:p>
    <w:p>
      <w:pPr>
        <w:spacing w:after="0" w:line="117" w:lineRule="exact"/>
        <w:rPr>
          <w:rFonts w:ascii="Arial" w:cs="Arial" w:eastAsia="Arial" w:hAnsi="Arial"/>
          <w:sz w:val="18"/>
          <w:szCs w:val="18"/>
          <w:color w:val="auto"/>
        </w:rPr>
      </w:pPr>
    </w:p>
    <w:p>
      <w:pPr>
        <w:ind w:right="20" w:firstLine="233"/>
        <w:spacing w:after="0" w:line="264"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the request of the Company, accompanied by a Board Resolution authorizing the execution of any such supplemental indenture, and upon the receipt by the Trustee of evidence reasonably satisfactory to the Trustee of the consent of the Securityholders as aforesaid and upon receipt by the Trustee of the documents described in Section 8.6 hereof,</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6" w:right="379" w:bottom="1440" w:gutter="0" w:footer="0" w:header="0"/>
        </w:sectPr>
      </w:pPr>
    </w:p>
    <w:bookmarkStart w:id="68" w:name="page69"/>
    <w:bookmarkEnd w:id="68"/>
    <w:p>
      <w:pPr>
        <w:ind w:right="100"/>
        <w:spacing w:after="0" w:line="264" w:lineRule="auto"/>
        <w:rPr>
          <w:sz w:val="20"/>
          <w:szCs w:val="20"/>
          <w:color w:val="auto"/>
        </w:rPr>
      </w:pPr>
      <w:r>
        <w:rPr>
          <w:rFonts w:ascii="Arial" w:cs="Arial" w:eastAsia="Arial" w:hAnsi="Arial"/>
          <w:sz w:val="18"/>
          <w:szCs w:val="18"/>
          <w:color w:val="auto"/>
        </w:rPr>
        <w:t>the Trustee shall join with the Company in the execution of such supplemental indenture unless such supplemental indenture affects the Trustee’s own rights, duties or immunities under this Indenture, in which case the Trustee may in its discretion, but shall not be obligated to, enter into such supplemental indenture.</w:t>
      </w:r>
    </w:p>
    <w:p>
      <w:pPr>
        <w:spacing w:after="0" w:line="73" w:lineRule="exact"/>
        <w:rPr>
          <w:sz w:val="20"/>
          <w:szCs w:val="20"/>
          <w:color w:val="auto"/>
        </w:rPr>
      </w:pPr>
    </w:p>
    <w:p>
      <w:pPr>
        <w:ind w:right="300" w:firstLine="233"/>
        <w:spacing w:after="0" w:line="277" w:lineRule="auto"/>
        <w:tabs>
          <w:tab w:leader="none" w:pos="4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w:t>
      </w:r>
    </w:p>
    <w:p>
      <w:pPr>
        <w:spacing w:after="0" w:line="6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After an amendment or supplement under this Section becomes effective, the Company shall mail to Securityholders a notice briefly describing the amendment or supplement. Any failure of the Company to mail any such notice, or any defect therein, shall not, however, in any way impair or affect the validity of any supplemental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8.3. COMPLIANCE WITH TRUST INDENTURE ACT.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Every amendment to or supplement of this Indenture or the Securities shall comply with the TIA as then in effect.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8.4. REVOCATION AND EFFECT OF CONSENTS.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Until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Any such Holder or subsequent Holder, however, may revoke the consent as to his Security or portion of a Security, if the Trustee receives the notice of revocation before the date the amendment, supplement, waiver or other action becomes effective.</w:t>
      </w:r>
    </w:p>
    <w:p>
      <w:pPr>
        <w:spacing w:after="0" w:line="80"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Company may, but shall not be obligated to, fix a record date for the purpose of determining the Holders entitled to consent to any amendment, supplement, or waiver which record date shall be at least 30 days prior to the first solicitation of such consent.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w:t>
      </w:r>
    </w:p>
    <w:p>
      <w:pPr>
        <w:spacing w:after="0" w:line="80"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After an amendment, supplement, waiver or other action becomes effective, it shall bind every Securityholder, unless it makes a change described in any of clauses (1) through (9) of Section 8.2 hereof. In that case the amendment, supplement, waiver or other action shall bind each Holder of a Security who has consented to it and every subsequent Holder of a Security or portion of a Security that evidences the same debt as the consenting Holder’s Security; PROVIDED that any such waiver shall not impair or affect the right of any Holder to receive payment of principal of and interest and premium (if any) on a Security, on or after the respective due dates expressed in such Security, or to bring suit for the enforcement of any such payment on or after such respective dates without the consent of such Holder.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8.5. NOTATION ON OR EXCHANGE OF SECURITIES.</w:t>
      </w:r>
    </w:p>
    <w:p>
      <w:pPr>
        <w:spacing w:after="0" w:line="117"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If an amendment, supplement, or waiver changes the terms of a Security of any Series, the Trustee may request the Holder of such Security to deliver it to the Trustee. In such case, the Trustee shall place an appropriate notation on such Security about the changed terms and return it to the Holder. Alternatively, the Company in exchange for such Security may issue and the Trustee shall authenticate a new security that reflects the changed terms. Failure to make the appropriate notation or issue a new Security shall not affect the validity and effect of such amendment, supplement or waiver.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8.6. TRUSTEE TO SIGN AMENDMENTS, ETC.</w:t>
      </w:r>
    </w:p>
    <w:p>
      <w:pPr>
        <w:spacing w:after="0" w:line="117"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The Trustee shall sign any amendment, supplement or waiver authorized pursuant to this Article 8 if the amendment, supplement or waiver does not adversely affect the rights, duties, liabilities or immunities of the Trustee. If it does, the Trustee may, but need not, sign it. In signing or refusing to sign such amendment, supplement or waiver the Trustee shall be entitled to receive and, subject to Section 7.1 hereof, shall be fully protected in relying upon an Officers’ Certificate and an Opinion of Counsel stating that such amendment, supplement or waiver is authorized or permitted by this Indenture. The Company may not sign an amendment or supplement until the Board of Directors of the Company approves it.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DISCHARGE OF INDENTURE; DEFEASANCE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9.1. DISCHARGE OF INDENTURE.</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may terminate its obligations under the Securities of any Series and this Indenture with respect to such Series, except the obligations referred to in the last paragraph of this Section 9.1, if there shall have been canceled by the Trustee or delivered to the Trustee for cancellation all Securities of such Series theretofore authenticated and delivered (other than any Securities of such Series that are asserted to have been destroyed, lost or stolen and that shall have been replaced as provided in Section 2.8 hereof) and the Company has paid all sums payable by it hereunder or deposited all required sums with the Trustee.</w:t>
      </w:r>
    </w:p>
    <w:p>
      <w:pPr>
        <w:spacing w:after="0" w:line="80" w:lineRule="exact"/>
        <w:rPr>
          <w:sz w:val="20"/>
          <w:szCs w:val="20"/>
          <w:color w:val="auto"/>
        </w:rPr>
      </w:pPr>
    </w:p>
    <w:p>
      <w:pPr>
        <w:ind w:right="400" w:firstLine="215"/>
        <w:spacing w:after="0" w:line="277" w:lineRule="auto"/>
        <w:rPr>
          <w:sz w:val="20"/>
          <w:szCs w:val="20"/>
          <w:color w:val="auto"/>
        </w:rPr>
      </w:pPr>
      <w:r>
        <w:rPr>
          <w:rFonts w:ascii="Arial" w:cs="Arial" w:eastAsia="Arial" w:hAnsi="Arial"/>
          <w:sz w:val="18"/>
          <w:szCs w:val="18"/>
          <w:color w:val="auto"/>
        </w:rPr>
        <w:t>After such delivery the Trustee upon request shall acknowledge in a writing prepared by or on behalf of the Company the discharge of the Company’s obligations under the Securities of such Series and this Indenture except for those surviving obligations specified below.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Notwithstanding the satisfaction and discharge of this Indenture, the obligations of the Company in Sections 7.7, 9.5 and 9.6 hereof shall survive.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9.2. LEGAL DEFEASANCE.</w:t>
      </w:r>
    </w:p>
    <w:p>
      <w:pPr>
        <w:spacing w:after="0" w:line="11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Company may at its option, by Board Resolution, be discharged from its obligations with respect to the Securities of any Series on the date upon which the conditions set forth in Section 9.4 below are satisfied (hereinafter, “Legal Defeasance”). For this purpose, such Legal Defeasance means that the Company shall be deemed to have paid and discharged the entire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spacing w:after="0" w:line="289" w:lineRule="auto"/>
        <w:rPr>
          <w:sz w:val="20"/>
          <w:szCs w:val="20"/>
          <w:color w:val="auto"/>
        </w:rPr>
      </w:pPr>
      <w:r>
        <w:rPr>
          <w:rFonts w:ascii="Arial" w:cs="Arial" w:eastAsia="Arial" w:hAnsi="Arial"/>
          <w:sz w:val="16"/>
          <w:szCs w:val="16"/>
          <w:color w:val="auto"/>
        </w:rPr>
        <w:t>indebtedness represented by the Securities of such Series and to have satisfied all its other obligations under such Securities and this Indenture insofar as such Securities are concerned (and the Trustee, at the expense of the Company, shall, subject to Section 9.6 hereof, execute proper instruments acknowledging the same, as are delivered to it by the Company), except for the following which shall survive until otherwise terminated or discharged hereunder: (A) the rights of Holders of outstanding Securities of such Series to receive solely from the trust funds described in Section 9.4 hereof and as more fully set forth in such section, payments in respect of the principal of, premium, if any, and interest on the Securities of such Series when such payments are due, (B) the Company’s obligations with respect to the Securities of such Series under Sections 2.4, 2.5, 2.6, 2.7, 2.8 and 2.9 hereof, (C) the rights, powers, trusts, duties, and immunities of the Trustee hereunder (including claims of, or payments to, the Trustee under or pursuant to Section 7.7 hereof) and (D) this Article 9. Subject to compliance with this Article 9, the Company may exercise its option under this Section 9.2 with respect to the Securities of any Series notwithstanding the prior exercise of its option under Section 9.3 below with respect to the Securities of such Series.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9.3. COVENANT DEFEASANCE.</w:t>
      </w:r>
    </w:p>
    <w:p>
      <w:pPr>
        <w:spacing w:after="0" w:line="117" w:lineRule="exact"/>
        <w:rPr>
          <w:sz w:val="20"/>
          <w:szCs w:val="20"/>
          <w:color w:val="auto"/>
        </w:rPr>
      </w:pPr>
    </w:p>
    <w:p>
      <w:pPr>
        <w:ind w:firstLine="215"/>
        <w:spacing w:after="0" w:line="272" w:lineRule="auto"/>
        <w:rPr>
          <w:sz w:val="20"/>
          <w:szCs w:val="20"/>
          <w:color w:val="auto"/>
        </w:rPr>
      </w:pPr>
      <w:r>
        <w:rPr>
          <w:rFonts w:ascii="Arial" w:cs="Arial" w:eastAsia="Arial" w:hAnsi="Arial"/>
          <w:sz w:val="17"/>
          <w:szCs w:val="17"/>
          <w:color w:val="auto"/>
        </w:rPr>
        <w:t>At the option of the Company, pursuant to a Board Resolution, the Company shall be released from its obligations with respect to the outstanding Securities of any Series under Sections 4.2 through 4.5 hereof, inclusive, and Section 5.1 hereof, with respect to the outstanding Securities of such Series, on and after the date the conditions set forth in Section 9.4 hereof are satisfied (hereinafter, “Covenant Defeasance”). For this purpose, such Covenant Defeasance means that the Company may omit to comply with and shall have no liability in respect of any term, condition or limitation set forth in any such specified section or portion thereof, whether directly or indirectly by reason of any reference elsewhere herein to any such specified Section or portion thereof or by reason of any reference in any such specified section or portion thereof to any other provision herein or in any other document, but the remainder of this Indenture and the Securities of any Series shall be unaffected thereby.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9.4. CONDITIONS TO LEGAL DEFEASANCE OR COVENANT DEFEASANCE.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shall be the conditions to application of Section 9.2 or Section 9.3 hereof to the outstanding Securities of a Series:</w:t>
      </w:r>
    </w:p>
    <w:p>
      <w:pPr>
        <w:spacing w:after="0" w:line="117" w:lineRule="exact"/>
        <w:rPr>
          <w:sz w:val="20"/>
          <w:szCs w:val="20"/>
          <w:color w:val="auto"/>
        </w:rPr>
      </w:pPr>
    </w:p>
    <w:p>
      <w:pPr>
        <w:ind w:right="100" w:firstLine="458"/>
        <w:spacing w:after="0" w:line="254"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shall irrevocably have deposited or caused to be deposited with the Trustee (or another trustee satisfying the requirements of Section 7.10 hereof who shall agree to comply with the provisions of this Article 9 applicable to it) as funds in trust for the purpose of making the following payments, specifically pledged as security for, and dedicated solely to, the benefit of the Holders of the Securities, (A) money in an amount, or (B) U.S. Government Obligations or Foreign Government Obligations which through the scheduled payment of principal and interest in respect thereof in accordance with their terms will provide, not later than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premium, if any, and accrued interest on the outstanding Securities of such Series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1" w:name="page72"/>
    <w:bookmarkEnd w:id="71"/>
    <w:p>
      <w:pPr>
        <w:ind w:right="160"/>
        <w:spacing w:after="0" w:line="277" w:lineRule="auto"/>
        <w:rPr>
          <w:sz w:val="20"/>
          <w:szCs w:val="20"/>
          <w:color w:val="auto"/>
        </w:rPr>
      </w:pPr>
      <w:r>
        <w:rPr>
          <w:rFonts w:ascii="Arial" w:cs="Arial" w:eastAsia="Arial" w:hAnsi="Arial"/>
          <w:sz w:val="18"/>
          <w:szCs w:val="18"/>
          <w:color w:val="auto"/>
        </w:rPr>
        <w:t>at the Stated Maturity of such principal, premium, if any, or interest, or on dates for payment and redemption of such principal, premium, if any, and interest selected in accordance with the terms of this Indenture and of the Securities of such Series;</w:t>
      </w:r>
    </w:p>
    <w:p>
      <w:pPr>
        <w:spacing w:after="0" w:line="62" w:lineRule="exact"/>
        <w:rPr>
          <w:sz w:val="20"/>
          <w:szCs w:val="20"/>
          <w:color w:val="auto"/>
        </w:rPr>
      </w:pPr>
    </w:p>
    <w:p>
      <w:pPr>
        <w:ind w:firstLine="458"/>
        <w:spacing w:after="0" w:line="302"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 Event of Default or Default with respect to the Securities of such Series shall have occurred and be continuing on the date of such deposit, or shall have occurred and be continuing at any time during the period ending on the 91st day after the date of such deposit or, if longer, ending on the day following the expiration of the longest preference period under any Bankruptcy Law applicable to the Company in respect of such deposit as specified in the Opinion of Counsel identified in paragraph (8) below (it being understood that this condition shall not be deemed satisfied until the expiration of such period);</w:t>
      </w:r>
    </w:p>
    <w:p>
      <w:pPr>
        <w:spacing w:after="0" w:line="46" w:lineRule="exact"/>
        <w:rPr>
          <w:rFonts w:ascii="Arial" w:cs="Arial" w:eastAsia="Arial" w:hAnsi="Arial"/>
          <w:sz w:val="16"/>
          <w:szCs w:val="16"/>
          <w:color w:val="auto"/>
        </w:rPr>
      </w:pPr>
    </w:p>
    <w:p>
      <w:pPr>
        <w:ind w:right="40" w:firstLine="458"/>
        <w:spacing w:after="0" w:line="277"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cause the Trustee to have a conflicting interest for purposes of the TIA with respect to any securities of the Company;</w:t>
      </w:r>
    </w:p>
    <w:p>
      <w:pPr>
        <w:spacing w:after="0" w:line="62" w:lineRule="exact"/>
        <w:rPr>
          <w:rFonts w:ascii="Arial" w:cs="Arial" w:eastAsia="Arial" w:hAnsi="Arial"/>
          <w:sz w:val="18"/>
          <w:szCs w:val="18"/>
          <w:color w:val="auto"/>
        </w:rPr>
      </w:pPr>
    </w:p>
    <w:p>
      <w:pPr>
        <w:ind w:right="540" w:firstLine="458"/>
        <w:spacing w:after="0" w:line="277"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default under any other agreement or instrument to which the Company is a party or by which it is bound;</w:t>
      </w:r>
    </w:p>
    <w:p>
      <w:pPr>
        <w:spacing w:after="0" w:line="62" w:lineRule="exact"/>
        <w:rPr>
          <w:rFonts w:ascii="Arial" w:cs="Arial" w:eastAsia="Arial" w:hAnsi="Arial"/>
          <w:sz w:val="18"/>
          <w:szCs w:val="18"/>
          <w:color w:val="auto"/>
        </w:rPr>
      </w:pPr>
    </w:p>
    <w:p>
      <w:pPr>
        <w:ind w:right="160" w:firstLine="458"/>
        <w:spacing w:after="0" w:line="342"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stating that, as a result of such Legal Defeasance or Covenant Defeasance, neither the trust nor the Trustee will be required to register as an investment company under the Investment Company Act of 1940, as amended;</w:t>
      </w:r>
    </w:p>
    <w:p>
      <w:pPr>
        <w:spacing w:after="0" w:line="15" w:lineRule="exact"/>
        <w:rPr>
          <w:rFonts w:ascii="Arial" w:cs="Arial" w:eastAsia="Arial" w:hAnsi="Arial"/>
          <w:sz w:val="16"/>
          <w:szCs w:val="16"/>
          <w:color w:val="auto"/>
        </w:rPr>
      </w:pPr>
    </w:p>
    <w:p>
      <w:pPr>
        <w:ind w:right="40" w:firstLine="458"/>
        <w:spacing w:after="0" w:line="255"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an election under Section 9.2 above, the Company shall have delivered to the Trustee an Opinion of Counsel stating that (i) the Company has received from, or there has been published by, the Internal Revenue Service a ruling to the effect that or (ii) there has been a change in any applicable Federal income tax law with the effect that, and such opinion shall confirm that, the Holders of the outstanding Securities of such Series or Persons in their positions will not recognize income, gain or loss for Federal income tax purposes solely as a result of such Legal Defeasance and will be subject to Federal income tax on the same amounts, in the same manner, including as a result of prepayment, and at the same times as would have been the case if such Legal Defeasance had not occurred;</w:t>
      </w:r>
    </w:p>
    <w:p>
      <w:pPr>
        <w:spacing w:after="0" w:line="85" w:lineRule="exact"/>
        <w:rPr>
          <w:rFonts w:ascii="Arial" w:cs="Arial" w:eastAsia="Arial" w:hAnsi="Arial"/>
          <w:sz w:val="18"/>
          <w:szCs w:val="18"/>
          <w:color w:val="auto"/>
        </w:rPr>
      </w:pPr>
    </w:p>
    <w:p>
      <w:pPr>
        <w:jc w:val="both"/>
        <w:ind w:right="320" w:firstLine="458"/>
        <w:spacing w:after="0" w:line="259"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an election under Section 9.3 hereof,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right="340" w:firstLine="458"/>
        <w:spacing w:after="0" w:line="264"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in this Article 9 relating to either the Legal Defeasance under Section 9.2 above or the Covenant Defeasance under Section 9.3 hereof (as the case may be) have been complied with;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ind w:firstLine="458"/>
        <w:spacing w:after="0" w:line="277"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under clause (1) was not made by the Company with the intent of defeating, hindering, delaying or defrauding any creditors of the Company or others; and</w:t>
      </w:r>
    </w:p>
    <w:p>
      <w:pPr>
        <w:spacing w:after="0" w:line="62" w:lineRule="exact"/>
        <w:rPr>
          <w:rFonts w:ascii="Arial" w:cs="Arial" w:eastAsia="Arial" w:hAnsi="Arial"/>
          <w:sz w:val="18"/>
          <w:szCs w:val="18"/>
          <w:color w:val="auto"/>
        </w:rPr>
      </w:pPr>
    </w:p>
    <w:p>
      <w:pPr>
        <w:ind w:right="20" w:firstLine="458"/>
        <w:spacing w:after="0" w:line="277" w:lineRule="auto"/>
        <w:tabs>
          <w:tab w:leader="none" w:pos="7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shall have paid or duly provided for payment under terms mutually satisfactory to the Company and the Trustee all amounts then due to the Trustee pursuant to Section 7.7 hereof.</w:t>
      </w:r>
    </w:p>
    <w:p>
      <w:pPr>
        <w:spacing w:after="0" w:line="62" w:lineRule="exact"/>
        <w:rPr>
          <w:sz w:val="20"/>
          <w:szCs w:val="20"/>
          <w:color w:val="auto"/>
        </w:rPr>
      </w:pPr>
    </w:p>
    <w:p>
      <w:pPr>
        <w:ind w:left="380" w:right="580" w:hanging="377"/>
        <w:spacing w:after="0" w:line="277" w:lineRule="auto"/>
        <w:rPr>
          <w:sz w:val="20"/>
          <w:szCs w:val="20"/>
          <w:color w:val="auto"/>
        </w:rPr>
      </w:pPr>
      <w:r>
        <w:rPr>
          <w:rFonts w:ascii="Arial" w:cs="Arial" w:eastAsia="Arial" w:hAnsi="Arial"/>
          <w:sz w:val="18"/>
          <w:szCs w:val="18"/>
          <w:color w:val="auto"/>
        </w:rPr>
        <w:t>9.5. DEPOSITED MONEY AND U.S. AND FOREIGN GOVERNMENT OBLIGATIONS TO BE HELD IN TRUST; OTHER MISCELLANEOUS PROVISIONS.</w:t>
      </w:r>
    </w:p>
    <w:p>
      <w:pPr>
        <w:spacing w:after="0" w:line="62" w:lineRule="exact"/>
        <w:rPr>
          <w:sz w:val="20"/>
          <w:szCs w:val="20"/>
          <w:color w:val="auto"/>
        </w:rPr>
      </w:pPr>
    </w:p>
    <w:p>
      <w:pPr>
        <w:ind w:right="140" w:firstLine="215"/>
        <w:spacing w:after="0" w:line="257" w:lineRule="auto"/>
        <w:rPr>
          <w:sz w:val="20"/>
          <w:szCs w:val="20"/>
          <w:color w:val="auto"/>
        </w:rPr>
      </w:pPr>
      <w:r>
        <w:rPr>
          <w:rFonts w:ascii="Arial" w:cs="Arial" w:eastAsia="Arial" w:hAnsi="Arial"/>
          <w:sz w:val="18"/>
          <w:szCs w:val="18"/>
          <w:color w:val="auto"/>
        </w:rPr>
        <w:t>All money, U.S. Government Obligations and Foreign Government Obligations (including the proceeds thereof) deposited with the Trustee pursuant to Section 9.4 hereof in respect of the outstanding Securities shall be held in trust and applied by the Trustee, in accordance with the provisions of such Securities and this Indenture, to the payment, either directly or through any Paying Agent as the Trustee may determine, to the Holders of such Securities, of all sums due and to become due thereon in respect of principal, premium, if any, and accrued interest, but such money need not be segregated from other funds except to the extent required by law.</w:t>
      </w:r>
    </w:p>
    <w:p>
      <w:pPr>
        <w:spacing w:after="0" w:line="80" w:lineRule="exact"/>
        <w:rPr>
          <w:sz w:val="20"/>
          <w:szCs w:val="20"/>
          <w:color w:val="auto"/>
        </w:rPr>
      </w:pPr>
    </w:p>
    <w:p>
      <w:pPr>
        <w:ind w:right="100" w:firstLine="222"/>
        <w:spacing w:after="0" w:line="286" w:lineRule="auto"/>
        <w:rPr>
          <w:sz w:val="20"/>
          <w:szCs w:val="20"/>
          <w:color w:val="auto"/>
        </w:rPr>
      </w:pPr>
      <w:r>
        <w:rPr>
          <w:rFonts w:ascii="Arial" w:cs="Arial" w:eastAsia="Arial" w:hAnsi="Arial"/>
          <w:sz w:val="17"/>
          <w:szCs w:val="17"/>
          <w:color w:val="auto"/>
        </w:rPr>
        <w:t>The Company shall pay and indemnify the Trustee against any tax, fee or other charge imposed on or assessed against the U.S. Government Obligations and Foreign Government Obligations deposited pursuant to Section 9.4 hereof or the principal, premium, if any, and interest received in respect thereof other than any such tax, fee or other charge which by law is for the account of the Holders of the outstanding Securities.</w:t>
      </w:r>
    </w:p>
    <w:p>
      <w:pPr>
        <w:spacing w:after="0" w:line="57"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Anything in this Article 9 to the contrary notwithstanding, but subject to payment of any of its outstanding fees and expenses, the Trustee shall deliver or pay to the Company from time to time upon Company Request any money, U.S. Government Obligations or Foreign Government Obligations held by it as provided in Section 9.4 hereof which, in the opinion of a nationally-recognized firm of independent public accountants expressed in a written certification thereof delivered to the Trustee, are in excess of the amount thereof which would then be required to be deposited to effect an equivalent Legal Defeasance or Covenant Defeasance.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9.6. REINSTATEMENT.</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If the Trustee or Paying Agent is unable to apply any money, U.S. Government Obligations or Foreign Government Obligations in accordance with Section 9.1, 9.2, 9.3 or 9.4 hereof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9 until such time as the Trustee or Paying Agent is permitted to apply all such money, U.S. Government Obligations or Foreign Government Obligations, as the case may be, in accordance with Section 9.1, 9.2, 9.3 or 9.4 hereof; PROVIDED, HOWEVER, that if the Company has made any payment of principal of, premium, if any, or accrued interest on any Securities because of the reinstatement of their obligations, the Company shall be subrogated to the rights of the Holders of such Securities to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receive such payment from the money, U.S. Government Obligations or Foreign Government Obligations held by the Trustee or Paying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9.7. MONEYS HELD BY PAYING AGENT.</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then held by any Paying Agent under the provisions of this Indenture shall, upon demand of the Company, be paid to the Trustee, or if sufficient moneys have been deposited pursuant to Section 9.1 hereof, to the Company, and thereupon such Paying Agent shall be released from all further liability with respect to such moneys.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9.8. MONEYS HELD BY TRUSTEE.</w:t>
      </w:r>
    </w:p>
    <w:p>
      <w:pPr>
        <w:spacing w:after="0" w:line="117" w:lineRule="exact"/>
        <w:rPr>
          <w:sz w:val="20"/>
          <w:szCs w:val="20"/>
          <w:color w:val="auto"/>
        </w:rPr>
      </w:pPr>
    </w:p>
    <w:p>
      <w:pPr>
        <w:ind w:firstLine="215"/>
        <w:spacing w:after="0" w:line="287" w:lineRule="auto"/>
        <w:rPr>
          <w:sz w:val="20"/>
          <w:szCs w:val="20"/>
          <w:color w:val="auto"/>
        </w:rPr>
      </w:pPr>
      <w:r>
        <w:rPr>
          <w:rFonts w:ascii="Arial" w:cs="Arial" w:eastAsia="Arial" w:hAnsi="Arial"/>
          <w:sz w:val="16"/>
          <w:szCs w:val="16"/>
          <w:color w:val="auto"/>
        </w:rPr>
        <w:t>Any moneys deposited with the Trustee or any Paying Agent or then held by the Company in trust for the payment of the principal of, or premium, if any, or interest on any Security that are not applied but remain unclaimed by the Holder of such Security for two years after the date upon which the principal of, or premium, if any, or interest on such Security shall have respectively become due and payable shall be repaid to the Company upon Company Request,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such Paying Agent with respect to such trust money shall thereupon cease; PROVIDED, HOWEVER, that the Trustee or any such Paying Agent, before being required to make any such repayment, may, at the expense of the Company, either mail to each Securityholder affected, at the address shown in the register of the Securities maintained by the Registrar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mailing or publication, any unclaimed balance of such moneys then remaining will be repaid to the Company. After payment to the Company or the release of any money held in trust by the Company, Securityholders entitled to the money must look only to the Company for payment as general creditors unless applicable abandoned property law designates another Person.</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10.1. TRUST INDENTURE ACT CONTROLS.</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to be included in this Indenture by the TIA, the required provision shall control. If any provision of this Indenture modifies or excludes any provision of the TIA which may be so modified or excluded, the latter provision shall be deemed to apply to this Indenture as so modified or to be excluded, as the case may be.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10.2. NOTICES.</w:t>
      </w:r>
    </w:p>
    <w:p>
      <w:pPr>
        <w:spacing w:after="0" w:line="117" w:lineRule="exact"/>
        <w:rPr>
          <w:sz w:val="20"/>
          <w:szCs w:val="20"/>
          <w:color w:val="auto"/>
        </w:rPr>
      </w:pPr>
    </w:p>
    <w:p>
      <w:pPr>
        <w:ind w:right="520" w:firstLine="215"/>
        <w:spacing w:after="0" w:line="308" w:lineRule="auto"/>
        <w:rPr>
          <w:sz w:val="20"/>
          <w:szCs w:val="20"/>
          <w:color w:val="auto"/>
        </w:rPr>
      </w:pPr>
      <w:r>
        <w:rPr>
          <w:rFonts w:ascii="Arial" w:cs="Arial" w:eastAsia="Arial" w:hAnsi="Arial"/>
          <w:sz w:val="17"/>
          <w:szCs w:val="17"/>
          <w:color w:val="auto"/>
        </w:rPr>
        <w:t>Any notice or communication shall be given in writing and delivered in Person, sent by facsimile (and receipt confirmed by telephone or electronic transmission report), delivered by commercial courier service or mailed by first-class mail, postage prepaid, addressed as follows:</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(650) 475-3101</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Ropes &amp; Gray LLP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(617) 951-7050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Geoffrey Davis, Esq.</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340995</wp:posOffset>
            </wp:positionV>
            <wp:extent cx="19894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8945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572135</wp:posOffset>
            </wp:positionV>
            <wp:extent cx="19894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8945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803910</wp:posOffset>
            </wp:positionV>
            <wp:extent cx="19894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8945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1035685</wp:posOffset>
            </wp:positionV>
            <wp:extent cx="19894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Company or the Trustee by written notice to the other may designate additional or different addresses for subsequent notices or communications. Any notice or communication to the Company or the Trustee shall be deemed to have been given or made as of the date so delivered if personally delivered; when receipt is confirmed by telephone or electronic transmission report, if sent by facsimile; and three (3) Business Days after mailing if sent by registered or certified mail, postage prepaid (except that a notice of change of address shall not be deemed to have been given until actually received by the addressee).</w:t>
      </w:r>
    </w:p>
    <w:p>
      <w:pPr>
        <w:spacing w:after="0" w:line="46" w:lineRule="exact"/>
        <w:rPr>
          <w:sz w:val="20"/>
          <w:szCs w:val="20"/>
          <w:color w:val="auto"/>
        </w:rPr>
      </w:pPr>
    </w:p>
    <w:p>
      <w:pPr>
        <w:ind w:right="1060" w:firstLine="215"/>
        <w:spacing w:after="0" w:line="277" w:lineRule="auto"/>
        <w:rPr>
          <w:sz w:val="20"/>
          <w:szCs w:val="20"/>
          <w:color w:val="auto"/>
        </w:rPr>
      </w:pPr>
      <w:r>
        <w:rPr>
          <w:rFonts w:ascii="Arial" w:cs="Arial" w:eastAsia="Arial" w:hAnsi="Arial"/>
          <w:sz w:val="18"/>
          <w:szCs w:val="18"/>
          <w:color w:val="auto"/>
        </w:rPr>
        <w:t>Any notice or communication mailed to a Securityholder shall be mailed to such Securityholder by first-class mail, postage prepaid, at such Securityholder’s address shown on the register kept by the Registrar.</w:t>
      </w:r>
    </w:p>
    <w:p>
      <w:pPr>
        <w:spacing w:after="0" w:line="62"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Failure to mail a notice or communication to a Securityholder or any defect in it shall not affect its sufficiency with respect to other Securityholders. If a notice or communication to a Securityholder is mailed in the manner provided above, it shall be deemed duly given, three Business Days after such mailing, whether or not the addressee receives it.</w:t>
      </w:r>
    </w:p>
    <w:p>
      <w:pPr>
        <w:spacing w:after="0" w:line="73"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 case by reason of the suspension of regular mail service, or by reason of any other cause, it shall be impossible to mail any notice as required by this Indenture, then such method of</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notification as shall be made with the approval of the Trustee shall constitute a sufficient mailing of such notice.</w:t>
      </w:r>
    </w:p>
    <w:p>
      <w:pPr>
        <w:spacing w:after="0" w:line="117"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In the case of Global Securities, notices or communications to be given to Securityholders shall be given to the Depository, in accordance with its applicable policies as in effect from time to time.</w:t>
      </w:r>
    </w:p>
    <w:p>
      <w:pPr>
        <w:spacing w:after="0" w:line="6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In addition to the manner provided for in the foregoing provisions, notices or communications to Securityholders shall be given by the Company by release made to Reuters Economic Services and Bloomberg Business News.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10.3. COMMUNICATIONS BY HOLDERS WITH OTHER HOLDERS.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Securityholders of any Series may communicate pursuant to TIA Section 312(b) with other Securityholders of that Series or any other Series with respect to their rights under this Indenture or the Securities of that Series or any other Series. The Company, the Trustee, the Registrar and any other Person shall have the protection of TIA Section 312(c).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10.4. CERTIFICATE AND OPINION AS TO CONDITIONS PRECEDENT.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Upon any request or application by the Company to the Trustee to take any action under this Indenture, the Company shall furnish to the Trustee:</w:t>
      </w:r>
    </w:p>
    <w:p>
      <w:pPr>
        <w:spacing w:after="0" w:line="129" w:lineRule="exact"/>
        <w:rPr>
          <w:sz w:val="20"/>
          <w:szCs w:val="20"/>
          <w:color w:val="auto"/>
        </w:rPr>
      </w:pPr>
    </w:p>
    <w:p>
      <w:pPr>
        <w:ind w:right="100" w:firstLine="503"/>
        <w:spacing w:after="0" w:line="277" w:lineRule="auto"/>
        <w:tabs>
          <w:tab w:leader="none" w:pos="7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Officers’ Certificate (which shall include the statements set forth in Section 10.5 below) stating that, in the opinion of the signers, all conditions precedent, if any, provided for in this Indenture relating to the proposed action have been complied with; and</w:t>
      </w:r>
    </w:p>
    <w:p>
      <w:pPr>
        <w:spacing w:after="0" w:line="62" w:lineRule="exact"/>
        <w:rPr>
          <w:rFonts w:ascii="Arial" w:cs="Arial" w:eastAsia="Arial" w:hAnsi="Arial"/>
          <w:sz w:val="18"/>
          <w:szCs w:val="18"/>
          <w:color w:val="auto"/>
        </w:rPr>
      </w:pPr>
    </w:p>
    <w:p>
      <w:pPr>
        <w:ind w:right="400" w:firstLine="503"/>
        <w:spacing w:after="0" w:line="277" w:lineRule="auto"/>
        <w:tabs>
          <w:tab w:leader="none" w:pos="7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Opinion of Counsel (which shall include the statements set forth in Section 10.5 below) stating that, in the opinion of such counsel, all such conditions precedent have been complied with.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10.5. STATEMENT REQUIRED IN CERTIFICATE AND OPINION.</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Each certificate and opinion with respect to compliance with a condition or covenant provided for in this Indenture (other than pursuant to Section 4.4 hereof) shall include:</w:t>
      </w:r>
    </w:p>
    <w:p>
      <w:pPr>
        <w:spacing w:after="0" w:line="62" w:lineRule="exact"/>
        <w:rPr>
          <w:sz w:val="20"/>
          <w:szCs w:val="20"/>
          <w:color w:val="auto"/>
        </w:rPr>
      </w:pPr>
    </w:p>
    <w:p>
      <w:pPr>
        <w:ind w:left="760" w:hanging="257"/>
        <w:spacing w:after="0"/>
        <w:tabs>
          <w:tab w:leader="none" w:pos="7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right="160" w:firstLine="458"/>
        <w:spacing w:after="0" w:line="277"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right="120" w:firstLine="458"/>
        <w:spacing w:after="0" w:line="277"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statement that, in the opinion of such Person, it or he has made such examination or investigation as is necessary to enable it or him to express an informed opinion as to whether or not such covenant or condition has been complied with;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ind w:right="2360" w:firstLine="458"/>
        <w:spacing w:after="0" w:line="375"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covenant or condition has been complied with. 10.6. RULES BY TRUSTEE AND AGENTS.</w:t>
      </w:r>
    </w:p>
    <w:p>
      <w:pPr>
        <w:spacing w:after="0" w:line="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Trustee may make reasonable rules for action by or at meetings of Securityholders. The Registrar and Paying Agent may make reasonable rules for their functions.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10.7. BUSINESS DAYS; LEGAL HOLIDAYS; PLACE OF PAYMENT.</w:t>
      </w:r>
    </w:p>
    <w:p>
      <w:pPr>
        <w:spacing w:after="0" w:line="117" w:lineRule="exact"/>
        <w:rPr>
          <w:sz w:val="20"/>
          <w:szCs w:val="20"/>
          <w:color w:val="auto"/>
        </w:rPr>
      </w:pPr>
    </w:p>
    <w:p>
      <w:pPr>
        <w:ind w:right="500" w:firstLine="215"/>
        <w:spacing w:after="0" w:line="308" w:lineRule="auto"/>
        <w:rPr>
          <w:sz w:val="20"/>
          <w:szCs w:val="20"/>
          <w:color w:val="auto"/>
        </w:rPr>
      </w:pPr>
      <w:r>
        <w:rPr>
          <w:rFonts w:ascii="Arial" w:cs="Arial" w:eastAsia="Arial" w:hAnsi="Arial"/>
          <w:sz w:val="17"/>
          <w:szCs w:val="17"/>
          <w:color w:val="auto"/>
        </w:rPr>
        <w:t>A “Business Day” is a day that is not a Legal Holiday. A “Legal Holiday” is a Saturday, a Sunday, a federally-recognized holiday or a day on which banking institutions are not authorized or required by law or executive order to be open in the State of California or the State of New York.</w:t>
      </w:r>
    </w:p>
    <w:p>
      <w:pPr>
        <w:spacing w:after="0" w:line="3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If a payment date is a Legal Holiday at a Place of Payment, payment may be made at that place on the next succeeding day that is not a Legal Holiday, and no interest shall accrue for the intervening period. “Place of Payment” means the place or places where the principal of and any premium and interest on the Securities of a Series are payable as specified as contemplated by Section 2.2. If the regular record date is a Legal Holiday, the record date shall not be affected.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10.8. GOVERNING LAW.</w:t>
      </w:r>
    </w:p>
    <w:p>
      <w:pPr>
        <w:spacing w:after="0" w:line="113"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LAWS OF THE STATE OF NEW YORK, AS APPLIED TO CONTRACTS MADE AND PERFORMED WITHIN THE STATE OF NEW YORK WITHOUT REGARD TO PRINCIPLES OF CONFLICTS OF LAW.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10.9. NO ADVERSE INTERPRETATION OF OTHER AGREEMENTS.</w:t>
      </w:r>
    </w:p>
    <w:p>
      <w:pPr>
        <w:spacing w:after="0" w:line="117"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This Indenture may not be used to interpret another indenture, loan, security or debt agreement of the Company or any Subsidiary thereof. No such indenture, loan, security or debt agreement may be used to interpret this Indenture.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10.10. NO RECOURSE AGAINST OTHERS.</w:t>
      </w:r>
    </w:p>
    <w:p>
      <w:pPr>
        <w:spacing w:after="0" w:line="117" w:lineRule="exact"/>
        <w:rPr>
          <w:sz w:val="20"/>
          <w:szCs w:val="20"/>
          <w:color w:val="auto"/>
        </w:rPr>
      </w:pPr>
    </w:p>
    <w:p>
      <w:pPr>
        <w:ind w:right="140" w:firstLine="215"/>
        <w:spacing w:after="0" w:line="264" w:lineRule="auto"/>
        <w:rPr>
          <w:sz w:val="20"/>
          <w:szCs w:val="20"/>
          <w:color w:val="auto"/>
        </w:rPr>
      </w:pPr>
      <w:r>
        <w:rPr>
          <w:rFonts w:ascii="Arial" w:cs="Arial" w:eastAsia="Arial" w:hAnsi="Arial"/>
          <w:sz w:val="18"/>
          <w:szCs w:val="18"/>
          <w:color w:val="auto"/>
        </w:rPr>
        <w:t>A director, officer, employee, stockholder or incorporator, as such, of the Company shall not have any liability for any obligations of the Company under the Securities or the Indenture. Each Securityholder by accepting a Security waives and releases all such liability. Such waiver and release are part of the consideration for the issuance of the Securities.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10.11. SUCCESSORS.</w:t>
      </w:r>
    </w:p>
    <w:p>
      <w:pPr>
        <w:spacing w:after="0" w:line="117" w:lineRule="exact"/>
        <w:rPr>
          <w:sz w:val="20"/>
          <w:szCs w:val="20"/>
          <w:color w:val="auto"/>
        </w:rPr>
      </w:pPr>
    </w:p>
    <w:p>
      <w:pPr>
        <w:ind w:right="180" w:firstLine="215"/>
        <w:spacing w:after="0" w:line="342" w:lineRule="auto"/>
        <w:rPr>
          <w:sz w:val="20"/>
          <w:szCs w:val="20"/>
          <w:color w:val="auto"/>
        </w:rPr>
      </w:pPr>
      <w:r>
        <w:rPr>
          <w:rFonts w:ascii="Arial" w:cs="Arial" w:eastAsia="Arial" w:hAnsi="Arial"/>
          <w:sz w:val="16"/>
          <w:szCs w:val="16"/>
          <w:color w:val="auto"/>
        </w:rPr>
        <w:t>All covenants and agreements of the Company in this Indenture and the Securities shall bind its successors and assigns, whether so expressed or not. All agreements of the Trustee, any additional trustee and any Paying Agents in this Indenture shall bind their respective successors and assigns.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10.12. MULTIPLE COUNTERPARTS.</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parties may sign multiple counterparts of this Indenture. Each signed counterpart shall be deemed an original, but all of them together represent one and the same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10.13. TABLE OF CONTENTS, HEADINGS, ETC.</w:t>
      </w:r>
    </w:p>
    <w:p>
      <w:pPr>
        <w:spacing w:after="0" w:line="117" w:lineRule="exact"/>
        <w:rPr>
          <w:sz w:val="20"/>
          <w:szCs w:val="20"/>
          <w:color w:val="auto"/>
        </w:rPr>
      </w:pPr>
    </w:p>
    <w:p>
      <w:pPr>
        <w:ind w:right="260" w:firstLine="222"/>
        <w:spacing w:after="0" w:line="308" w:lineRule="auto"/>
        <w:rPr>
          <w:sz w:val="20"/>
          <w:szCs w:val="20"/>
          <w:color w:val="auto"/>
        </w:rPr>
      </w:pPr>
      <w:r>
        <w:rPr>
          <w:rFonts w:ascii="Arial" w:cs="Arial" w:eastAsia="Arial" w:hAnsi="Arial"/>
          <w:sz w:val="17"/>
          <w:szCs w:val="17"/>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10.14. SEVERABILITY.</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Each provision of this Indenture shall be considered separable and if for any reason any provision which is not essential to the effectuation of the basic purpose of this Indenture or the Securities shall be invalid, illegal or unenforceable, the validity, legality and enforceability of the remaining provisions shall not in any way be affected or impaired thereby and a Holder shall have no claim therefor against any party hereto.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10.15. SECURITIES IN A FOREIGN CURRENCY OR IN EURO.</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Euros),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Euros,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Euros, the rate of exchange as published in the Journal, as of the most recent available date, or quotations or, in the case of Euros, rates of exchange from one or more major banks in The City of New York or in the country of issue of the currency in question or, in the case of Euros, in Luxembourg or such other quotations or, in the case of Euros,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decisions and determinations of the Trustee regarding the Market Exchange Rate or</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8" w:name="page79"/>
    <w:bookmarkEnd w:id="78"/>
    <w:p>
      <w:pPr>
        <w:ind w:right="180"/>
        <w:spacing w:after="0" w:line="277" w:lineRule="auto"/>
        <w:rPr>
          <w:sz w:val="20"/>
          <w:szCs w:val="20"/>
          <w:color w:val="auto"/>
        </w:rPr>
      </w:pPr>
      <w:r>
        <w:rPr>
          <w:rFonts w:ascii="Arial" w:cs="Arial" w:eastAsia="Arial" w:hAnsi="Arial"/>
          <w:sz w:val="18"/>
          <w:szCs w:val="18"/>
          <w:color w:val="auto"/>
        </w:rPr>
        <w:t>any alternative determination provided for in the preceding paragraph shall be in its sole discretion and shall, in the absence of manifest error, be conclusive to the extent permitted by law for all purposes and irrevocably binding upon the Company and all 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10.16. JUDGMENT CURRENCY.</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premium (if any)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64"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 WITNESS WHEREOF, the parties hereto have caused this Indenture to be duly executed, and their respective corporate seals to be hereunto affixed and attested, all as of the day and year first above written.</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4098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24098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ind w:left="3940"/>
        <w:spacing w:after="0"/>
        <w:rPr>
          <w:sz w:val="20"/>
          <w:szCs w:val="20"/>
          <w:color w:val="auto"/>
        </w:rPr>
      </w:pPr>
      <w:r>
        <w:rPr>
          <w:rFonts w:ascii="Arial" w:cs="Arial" w:eastAsia="Arial" w:hAnsi="Arial"/>
          <w:sz w:val="16"/>
          <w:szCs w:val="16"/>
          <w:b w:val="1"/>
          <w:bCs w:val="1"/>
          <w:color w:val="auto"/>
        </w:rPr>
        <w:t>[Name of Trustee]</w:t>
      </w:r>
    </w:p>
    <w:p>
      <w:pPr>
        <w:spacing w:after="0" w:line="25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744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23755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14605</wp:posOffset>
            </wp:positionV>
            <wp:extent cx="23755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744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23755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14605</wp:posOffset>
            </wp:positionV>
            <wp:extent cx="23755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019"/>
          </w:cols>
          <w:pgMar w:left="1440" w:top="1148"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5.1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June 24,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94304-1213</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of Securities of StemCells, Inc. with an Aggregate Offering Price of up to $100,000,000</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This opinion is being furnished to you in connection with the Registration Statement on Form S-3 (the “Registration Statement”), including the prospectus that is part of the Registration Statement (the “Prospectus”), filed by StemCells, Inc., a Delaware corporation (the “Company”), with the Securities and Exchange Commission (the “SEC”) on June 24, 2008 under the Securities Act of 1933, as amended (the “Securities Act”). The Prospectus provides that it will be supplemented in the future by one or more prospectus supplements (each, a “Prospectus Supplement”). The Prospectus, as supplemented by the various Prospectus Supplements, will provide for the issuance and sale by the Company from time to time of (i) shares of common stock, $0.01 par value per share (the “Common Stock”); (ii) shares of preferred stock (the “Preferred Stock”); (iii) warrants to purchase Common Stock, Preferred Stock and/or Debt Securities (the “Warrants”); or (iv) one or more series of the debt securities of the Company (the “Debt Securities”), which may be either senior securities or subordinated securities and which may be convertible into or exchangeable for shares of the Common Stock, Preferred Stock, or both Common Stock and Preferred Stock.</w:t>
      </w:r>
    </w:p>
    <w:p>
      <w:pPr>
        <w:spacing w:after="0" w:line="7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Common Stock, the Preferred Stock, the Warrants, and the Debt Securities are collectively referred to herein as the “Securities.” The Securities are being registered for offering and sale from time to time pursuant to Rule 415 under the Securities Act. The maximum aggregate offering price of the Securities being registered is $100,000,000.</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Warrants may be issued pursuant to warrant agreements to be dated on or about the date of the first issuance of the Warrants thereunder (the “Warrant Agreement”).</w:t>
      </w:r>
    </w:p>
    <w:p>
      <w:pPr>
        <w:spacing w:after="0" w:line="6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Debt Securities will be issued pursuant to one or more indentures in the form filed as an exhibit to the Registration Statement, as amended or supplemented from time to time (each,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tabs>
          <w:tab w:leader="none" w:pos="5600" w:val="left"/>
          <w:tab w:leader="none" w:pos="10400" w:val="left"/>
        </w:tabs>
        <w:rPr>
          <w:sz w:val="20"/>
          <w:szCs w:val="20"/>
          <w:color w:val="auto"/>
        </w:rPr>
      </w:pPr>
      <w:r>
        <w:rPr>
          <w:rFonts w:ascii="Arial" w:cs="Arial" w:eastAsia="Arial" w:hAnsi="Arial"/>
          <w:sz w:val="18"/>
          <w:szCs w:val="18"/>
          <w:color w:val="auto"/>
        </w:rPr>
        <w:t>StemCells, Inc.</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June 24, 2008</w:t>
      </w:r>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“Indenture”), between the Company, as obligor, and a trustee chosen by the Company and qualified to act as such under the Trust Indenture Act of 1939, as amended (each, a “Trustee”).</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examined and relied upon the information set forth in the Registration Statement and such other records, agreements, certificates and documents, and have made such other and further legal and factual inquiries, as we have deemed necessary as a basis for the opinions expressed herein. As to questions of fact not independently verified by us, we have relied upon certificates of public officials and officers of the Company.</w:t>
      </w:r>
    </w:p>
    <w:p>
      <w:pPr>
        <w:spacing w:after="0" w:line="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opinions expressed herein are limited to matters governed by the federal laws of the United States of America and the Delaware General Corporation Law, including the applicable provisions of the Delaware constitution.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qualifications set forth below, we are of the opinion that:</w:t>
      </w:r>
    </w:p>
    <w:p>
      <w:pPr>
        <w:spacing w:after="0" w:line="117" w:lineRule="exact"/>
        <w:rPr>
          <w:sz w:val="20"/>
          <w:szCs w:val="20"/>
          <w:color w:val="auto"/>
        </w:rPr>
      </w:pPr>
    </w:p>
    <w:p>
      <w:pPr>
        <w:ind w:firstLine="8"/>
        <w:spacing w:after="0" w:line="255" w:lineRule="auto"/>
        <w:tabs>
          <w:tab w:leader="none" w:pos="1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When the issuance and the terms of the sale of the shares of Common Stock have been duly authorized by the board of directors of the Company in conformity with its certificate of incorporation, and such shares have been issued and delivered against payment of the purchase price therefor in an amount in excess of the par value thereof, in accordance with the applicable definitive purchase, underwriting or similar agreement, and as contemplated by the Registration Statement, the Prospectus and the related Prospectus Supplement, and, if issued upon the conversion, exchange or exercise of Debt Securities or Warrants, when such shares have been duly issued and delivered as contemplated by the terms of the applicable Indenture or Warrant, the shares of Common Stock will be validly issued, fully paid and nonassessable.</w:t>
      </w:r>
    </w:p>
    <w:p>
      <w:pPr>
        <w:spacing w:after="0" w:line="85" w:lineRule="exact"/>
        <w:rPr>
          <w:rFonts w:ascii="Arial" w:cs="Arial" w:eastAsia="Arial" w:hAnsi="Arial"/>
          <w:sz w:val="18"/>
          <w:szCs w:val="18"/>
          <w:color w:val="auto"/>
        </w:rPr>
      </w:pPr>
    </w:p>
    <w:p>
      <w:pPr>
        <w:ind w:right="80" w:firstLine="8"/>
        <w:spacing w:after="0" w:line="270" w:lineRule="auto"/>
        <w:tabs>
          <w:tab w:leader="none" w:pos="177" w:val="left"/>
        </w:tabs>
        <w:numPr>
          <w:ilvl w:val="0"/>
          <w:numId w:val="66"/>
        </w:numPr>
        <w:rPr>
          <w:rFonts w:ascii="Arial" w:cs="Arial" w:eastAsia="Arial" w:hAnsi="Arial"/>
          <w:sz w:val="17"/>
          <w:szCs w:val="17"/>
          <w:color w:val="auto"/>
        </w:rPr>
      </w:pPr>
      <w:r>
        <w:rPr>
          <w:rFonts w:ascii="Arial" w:cs="Arial" w:eastAsia="Arial" w:hAnsi="Arial"/>
          <w:sz w:val="17"/>
          <w:szCs w:val="17"/>
          <w:color w:val="auto"/>
        </w:rPr>
        <w:t>When the issuance and the terms of the sale of the shares of Preferred Stock have been duly authorized by the board of directors of the Company in conformity with its certificate of incorporation; an appropriate certificate or certificates of designation relating to a series of the Preferred Stock to be sold under the Registration Statement have been duly authorized and adopted and filed with the Secretary of State of Delaware; the terms of issuance and sale of shares of such series of Preferred Stock have been duly established in conformity with the Company’s certificate of incorporation and by-laws so as to not violate any applicable law or result in a default under or breach of any agreement or instrument binding upon the Company and comply with any requirement or restriction imposed by any court or governmental body having jurisdiction over the Company or any of its property; and such shares have been issued and delivered against payment of the purchase price therefor in an amount in excess of the par value thereof, in accordance with the applicable definitive purchase, underwriting or similar agreement, and as contemplated by the Registration Statement, the Prospectus and the related Prospectus Supplement, and, if issued upon the conversion, exchange or exercise of any Debt Securities or Warrants, when such shares have been duly issued and delivered as contemplated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spacing w:after="0"/>
        <w:tabs>
          <w:tab w:leader="none" w:pos="5600" w:val="left"/>
          <w:tab w:leader="none" w:pos="10400" w:val="left"/>
        </w:tabs>
        <w:rPr>
          <w:sz w:val="20"/>
          <w:szCs w:val="20"/>
          <w:color w:val="auto"/>
        </w:rPr>
      </w:pPr>
      <w:r>
        <w:rPr>
          <w:rFonts w:ascii="Arial" w:cs="Arial" w:eastAsia="Arial" w:hAnsi="Arial"/>
          <w:sz w:val="18"/>
          <w:szCs w:val="18"/>
          <w:color w:val="auto"/>
        </w:rPr>
        <w:t>StemCells, Inc.</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5"/>
          <w:szCs w:val="15"/>
          <w:color w:val="auto"/>
        </w:rPr>
        <w:t>June 24, 2008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 the terms of the applicable Indenture or Warrant, the shares of Preferred Stock will be validly issued, fully paid and nonassessable.</w:t>
      </w:r>
    </w:p>
    <w:p>
      <w:pPr>
        <w:spacing w:after="0" w:line="117" w:lineRule="exact"/>
        <w:rPr>
          <w:sz w:val="20"/>
          <w:szCs w:val="20"/>
          <w:color w:val="auto"/>
        </w:rPr>
      </w:pPr>
    </w:p>
    <w:p>
      <w:pPr>
        <w:ind w:firstLine="8"/>
        <w:spacing w:after="0" w:line="291" w:lineRule="auto"/>
        <w:tabs>
          <w:tab w:leader="none" w:pos="177" w:val="left"/>
        </w:tabs>
        <w:numPr>
          <w:ilvl w:val="0"/>
          <w:numId w:val="67"/>
        </w:numPr>
        <w:rPr>
          <w:rFonts w:ascii="Arial" w:cs="Arial" w:eastAsia="Arial" w:hAnsi="Arial"/>
          <w:sz w:val="16"/>
          <w:szCs w:val="16"/>
          <w:color w:val="auto"/>
        </w:rPr>
      </w:pPr>
      <w:r>
        <w:rPr>
          <w:rFonts w:ascii="Arial" w:cs="Arial" w:eastAsia="Arial" w:hAnsi="Arial"/>
          <w:sz w:val="16"/>
          <w:szCs w:val="16"/>
          <w:color w:val="auto"/>
        </w:rPr>
        <w:t>When the issuance and the terms of the sale of the Debt Securities have been duly authorized by the board of directors of the Company and duly established in conformity with the applicable Indenture so as not to violate any applicable law or result in a default under, or breach of, any agreement or instrument binding upon the Company and so as to comply with any requirement or restriction imposed by any court or governmental or regulatory body having jurisdiction over the Company or any of its property, and the Debt Securities have been duly executed, authenticated, issued, delivered and sold in accordance with the applicable definitive purchase, underwriting or similar agreement, as contemplated by the Registration Statement, the Prospectus and the related Prospectus Supplement, and in the manner provided for in the applicable Indenture against payment of the purchase price therefor, the Debt Securities will constitute valid and binding obligations of the Company enforceable against the Company in accordance with their respective terms.</w:t>
      </w:r>
    </w:p>
    <w:p>
      <w:pPr>
        <w:spacing w:after="0" w:line="59" w:lineRule="exact"/>
        <w:rPr>
          <w:rFonts w:ascii="Arial" w:cs="Arial" w:eastAsia="Arial" w:hAnsi="Arial"/>
          <w:sz w:val="16"/>
          <w:szCs w:val="16"/>
          <w:color w:val="auto"/>
        </w:rPr>
      </w:pPr>
    </w:p>
    <w:p>
      <w:pPr>
        <w:ind w:right="60" w:firstLine="8"/>
        <w:spacing w:after="0" w:line="293" w:lineRule="auto"/>
        <w:tabs>
          <w:tab w:leader="none" w:pos="177" w:val="left"/>
        </w:tabs>
        <w:numPr>
          <w:ilvl w:val="0"/>
          <w:numId w:val="67"/>
        </w:numPr>
        <w:rPr>
          <w:rFonts w:ascii="Arial" w:cs="Arial" w:eastAsia="Arial" w:hAnsi="Arial"/>
          <w:sz w:val="16"/>
          <w:szCs w:val="16"/>
          <w:color w:val="auto"/>
        </w:rPr>
      </w:pPr>
      <w:r>
        <w:rPr>
          <w:rFonts w:ascii="Arial" w:cs="Arial" w:eastAsia="Arial" w:hAnsi="Arial"/>
          <w:sz w:val="16"/>
          <w:szCs w:val="16"/>
          <w:color w:val="auto"/>
        </w:rPr>
        <w:t>When the issuance and the terms of the sale of the Warrants have been duly authorized by the board of directors of the Company; the terms of the Warrants and of their issuance and sale have been duly established so as to not violate any applicable law or result in a default under or breach of any agreement or instrument binding upon the Company and comply with any requirement or restriction imposed by any court or governmental body having jurisdiction over the Company or any of its property; the Warrants have been duly executed and countersigned and issued and sold in accordance with the applicable definitive purchase, underwriting or similar agreement, as contemplated by the Registration Statement, the Prospectus and the related Prospectus Supplement, the Warrants will constitute valid and binding obligations of the Company enforceable against the Company in accordance with their terms.</w:t>
      </w:r>
    </w:p>
    <w:p>
      <w:pPr>
        <w:spacing w:after="0" w:line="5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rendering the opinions set forth above, we have assumed that (i) the Registration Statement will have become effective under the Securities Act, a Prospectus Supplement will have been prepared and filed with the Commission describing the Securities offered thereby and such Securities will have been issued and sold in accordance with the terms of such Prospectus Supplement; (ii) a definitive purchase, underwriting or similar agreement with respect to such Securities (if applicable) will have been duly authorized, executed and delivered by the Company and the other parties thereto; (iii) the Securities will be duly authorized by all necessary corporate action by the Company and the Indenture, any applicable supplemental indenture thereto, and other agreement pursuant to which such Securities may be issued will be duly authorized, executed and delivered by the Company and the other parties thereto; (iv) the Company is and will remain duly organized, validly existing and in good standing under applicable state law; and (v) the Company has reserved a sufficient number of shares of its duly authorized, but unissued, Common Stock and Preferred Stock as is necessary to provide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spacing w:after="0"/>
        <w:tabs>
          <w:tab w:leader="none" w:pos="5600" w:val="left"/>
          <w:tab w:leader="none" w:pos="10400" w:val="left"/>
        </w:tabs>
        <w:rPr>
          <w:sz w:val="20"/>
          <w:szCs w:val="20"/>
          <w:color w:val="auto"/>
        </w:rPr>
      </w:pPr>
      <w:r>
        <w:rPr>
          <w:rFonts w:ascii="Arial" w:cs="Arial" w:eastAsia="Arial" w:hAnsi="Arial"/>
          <w:sz w:val="18"/>
          <w:szCs w:val="18"/>
          <w:color w:val="auto"/>
        </w:rPr>
        <w:t>StemCells, Inc.</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5"/>
          <w:szCs w:val="15"/>
          <w:color w:val="auto"/>
        </w:rPr>
        <w:t>June 24, 2008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issuance of the shares of Common Stock and Preferred Stock pursuant to the Registration Statement.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opinions set forth above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including without limitation, concepts of materiality, reasonableness, good faith and fair dealing and the possible unavailability of specific performance or injunctive relief, regardless of whether enforcement is considered in a proceeding in equity or at law, and the discretion of the court before which any proceeding therefore may be brought; (iii) the unenforceability under certain circumstances under law or court decisions of provision providing for the indemnification of, or contribution to, a party with respect to at liability where such indemnification or contribution is contrary to public policy. We express no opinion (i) concerning the enforceability of any waiver of rights or defenses with respect to stay, extension or usury laws or (ii) with respect to whether acceleration of Debt Securities may affect the collectability of any portion of the stated principal amount thereof which might be determined to constitute unearned interest thereon. Our opinion expressed herein is also subject to the qualification that no term or provision shall be included in any Indenture, any Warrant or any other agreement or instrument pursuant to which any of the Securities are to be issued that would affect the validity of such opinion.</w:t>
      </w:r>
    </w:p>
    <w:p>
      <w:pPr>
        <w:spacing w:after="0" w:line="7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this firm under the caption “Legal Matters” in the Prospectus included therein. This opinion may be used only in connection with the offer and sale of the Securities while the Registration Statement is effective.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Ropes &amp; Gray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w w:val="93"/>
              </w:rPr>
              <w:t>Exhibit 12.1</w:t>
            </w:r>
          </w:p>
        </w:tc>
        <w:tc>
          <w:tcPr>
            <w:tcW w:w="0" w:type="dxa"/>
            <w:vAlign w:val="bottom"/>
          </w:tcPr>
          <w:p>
            <w:pPr>
              <w:spacing w:after="0"/>
              <w:rPr>
                <w:sz w:val="1"/>
                <w:szCs w:val="1"/>
                <w:color w:val="auto"/>
              </w:rPr>
            </w:pPr>
          </w:p>
        </w:tc>
      </w:tr>
      <w:tr>
        <w:trPr>
          <w:trHeight w:val="63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StemCells, Inc</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March 31, 2008</w:t>
            </w: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40" w:type="dxa"/>
            <w:vAlign w:val="bottom"/>
            <w:gridSpan w:val="2"/>
            <w:vMerge w:val="restart"/>
          </w:tcPr>
          <w:p>
            <w:pPr>
              <w:jc w:val="right"/>
              <w:ind w:right="1174"/>
              <w:spacing w:after="0"/>
              <w:rPr>
                <w:sz w:val="20"/>
                <w:szCs w:val="20"/>
                <w:color w:val="auto"/>
              </w:rPr>
            </w:pPr>
            <w:r>
              <w:rPr>
                <w:rFonts w:ascii="Arial" w:cs="Arial" w:eastAsia="Arial" w:hAnsi="Arial"/>
                <w:sz w:val="14"/>
                <w:szCs w:val="14"/>
                <w:color w:val="auto"/>
                <w:w w:val="94"/>
              </w:rPr>
              <w:t>Year ended December 31,</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3"/>
          </w:tcPr>
          <w:p>
            <w:pPr>
              <w:ind w:left="300"/>
              <w:spacing w:after="0"/>
              <w:rPr>
                <w:sz w:val="20"/>
                <w:szCs w:val="20"/>
                <w:color w:val="auto"/>
              </w:rPr>
            </w:pPr>
            <w:r>
              <w:rPr>
                <w:rFonts w:ascii="Arial" w:cs="Arial" w:eastAsia="Arial" w:hAnsi="Arial"/>
                <w:sz w:val="14"/>
                <w:szCs w:val="14"/>
                <w:color w:val="auto"/>
                <w:w w:val="97"/>
              </w:rPr>
              <w:t>Three months 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2"/>
            <w:vMerge w:val="continue"/>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20" w:type="dxa"/>
            <w:vAlign w:val="bottom"/>
          </w:tcPr>
          <w:p>
            <w:pPr>
              <w:jc w:val="right"/>
              <w:ind w:right="452"/>
              <w:spacing w:after="0" w:line="123" w:lineRule="exact"/>
              <w:rPr>
                <w:sz w:val="20"/>
                <w:szCs w:val="20"/>
                <w:color w:val="auto"/>
              </w:rPr>
            </w:pPr>
            <w:r>
              <w:rPr>
                <w:rFonts w:ascii="Arial" w:cs="Arial" w:eastAsia="Arial" w:hAnsi="Arial"/>
                <w:sz w:val="14"/>
                <w:szCs w:val="14"/>
                <w:color w:val="auto"/>
              </w:rPr>
              <w:t>2003</w:t>
            </w:r>
          </w:p>
        </w:tc>
        <w:tc>
          <w:tcPr>
            <w:tcW w:w="1120" w:type="dxa"/>
            <w:vAlign w:val="bottom"/>
          </w:tcPr>
          <w:p>
            <w:pPr>
              <w:jc w:val="right"/>
              <w:ind w:right="252"/>
              <w:spacing w:after="0" w:line="123" w:lineRule="exact"/>
              <w:rPr>
                <w:sz w:val="20"/>
                <w:szCs w:val="20"/>
                <w:color w:val="auto"/>
              </w:rPr>
            </w:pPr>
            <w:r>
              <w:rPr>
                <w:rFonts w:ascii="Arial" w:cs="Arial" w:eastAsia="Arial" w:hAnsi="Arial"/>
                <w:sz w:val="14"/>
                <w:szCs w:val="14"/>
                <w:color w:val="auto"/>
              </w:rPr>
              <w:t>2004</w:t>
            </w:r>
          </w:p>
        </w:tc>
        <w:tc>
          <w:tcPr>
            <w:tcW w:w="1320" w:type="dxa"/>
            <w:vAlign w:val="bottom"/>
          </w:tcPr>
          <w:p>
            <w:pPr>
              <w:jc w:val="right"/>
              <w:ind w:right="274"/>
              <w:spacing w:after="0" w:line="123" w:lineRule="exact"/>
              <w:rPr>
                <w:sz w:val="20"/>
                <w:szCs w:val="20"/>
                <w:color w:val="auto"/>
              </w:rPr>
            </w:pPr>
            <w:r>
              <w:rPr>
                <w:rFonts w:ascii="Arial" w:cs="Arial" w:eastAsia="Arial" w:hAnsi="Arial"/>
                <w:sz w:val="14"/>
                <w:szCs w:val="14"/>
                <w:color w:val="auto"/>
              </w:rPr>
              <w:t>2005</w:t>
            </w:r>
          </w:p>
        </w:tc>
        <w:tc>
          <w:tcPr>
            <w:tcW w:w="1520" w:type="dxa"/>
            <w:vAlign w:val="bottom"/>
          </w:tcPr>
          <w:p>
            <w:pPr>
              <w:jc w:val="right"/>
              <w:ind w:right="474"/>
              <w:spacing w:after="0" w:line="123" w:lineRule="exact"/>
              <w:rPr>
                <w:sz w:val="20"/>
                <w:szCs w:val="20"/>
                <w:color w:val="auto"/>
              </w:rPr>
            </w:pPr>
            <w:r>
              <w:rPr>
                <w:rFonts w:ascii="Arial" w:cs="Arial" w:eastAsia="Arial" w:hAnsi="Arial"/>
                <w:sz w:val="14"/>
                <w:szCs w:val="14"/>
                <w:color w:val="auto"/>
              </w:rPr>
              <w:t>2006</w:t>
            </w:r>
          </w:p>
        </w:tc>
        <w:tc>
          <w:tcPr>
            <w:tcW w:w="960" w:type="dxa"/>
            <w:vAlign w:val="bottom"/>
          </w:tcPr>
          <w:p>
            <w:pPr>
              <w:jc w:val="right"/>
              <w:ind w:right="112"/>
              <w:spacing w:after="0" w:line="123" w:lineRule="exact"/>
              <w:rPr>
                <w:sz w:val="20"/>
                <w:szCs w:val="20"/>
                <w:color w:val="auto"/>
              </w:rPr>
            </w:pPr>
            <w:r>
              <w:rPr>
                <w:rFonts w:ascii="Arial" w:cs="Arial" w:eastAsia="Arial" w:hAnsi="Arial"/>
                <w:sz w:val="14"/>
                <w:szCs w:val="14"/>
                <w:color w:val="auto"/>
              </w:rPr>
              <w:t>2007</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jc w:val="right"/>
              <w:ind w:right="453"/>
              <w:spacing w:after="0" w:line="123"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jc w:val="right"/>
              <w:ind w:right="714"/>
              <w:spacing w:after="0"/>
              <w:rPr>
                <w:sz w:val="20"/>
                <w:szCs w:val="20"/>
                <w:color w:val="auto"/>
              </w:rPr>
            </w:pPr>
            <w:r>
              <w:rPr>
                <w:rFonts w:ascii="Arial" w:cs="Arial" w:eastAsia="Arial" w:hAnsi="Arial"/>
                <w:sz w:val="14"/>
                <w:szCs w:val="14"/>
                <w:b w:val="1"/>
                <w:bCs w:val="1"/>
                <w:i w:val="1"/>
                <w:iCs w:val="1"/>
                <w:color w:val="auto"/>
              </w:rPr>
              <w:t>(In $’000)</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w:t>
            </w: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Income (loss) from from continuing</w:t>
            </w: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operations before income taxes</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w w:val="87"/>
              </w:rPr>
              <w:t>$ (14,425)</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 (15,330)</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 (11,738)</w:t>
            </w:r>
          </w:p>
        </w:tc>
        <w:tc>
          <w:tcPr>
            <w:tcW w:w="1520" w:type="dxa"/>
            <w:vAlign w:val="bottom"/>
          </w:tcPr>
          <w:p>
            <w:pPr>
              <w:jc w:val="right"/>
              <w:ind w:right="214"/>
              <w:spacing w:after="0"/>
              <w:rPr>
                <w:sz w:val="20"/>
                <w:szCs w:val="20"/>
                <w:color w:val="auto"/>
              </w:rPr>
            </w:pPr>
            <w:r>
              <w:rPr>
                <w:rFonts w:ascii="Arial" w:cs="Arial" w:eastAsia="Arial" w:hAnsi="Arial"/>
                <w:sz w:val="18"/>
                <w:szCs w:val="18"/>
                <w:color w:val="auto"/>
              </w:rPr>
              <w:t>$ (18,948)</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 (25,023)</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Add (deduct):</w:t>
            </w: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Fixed charges</w:t>
            </w: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1,081</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1,010</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1,152</w:t>
            </w:r>
          </w:p>
        </w:tc>
        <w:tc>
          <w:tcPr>
            <w:tcW w:w="15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1,079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1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(15,506)</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(16,340)</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(12,890)</w:t>
            </w:r>
          </w:p>
        </w:tc>
        <w:tc>
          <w:tcPr>
            <w:tcW w:w="15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(20,027)</w:t>
            </w:r>
          </w:p>
        </w:tc>
        <w:tc>
          <w:tcPr>
            <w:tcW w:w="13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(26,113)</w:t>
            </w: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Fixed Charges:</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207</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191</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172</w:t>
            </w:r>
          </w:p>
        </w:tc>
        <w:tc>
          <w:tcPr>
            <w:tcW w:w="15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143</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200"/>
              <w:spacing w:after="0" w:line="201" w:lineRule="exact"/>
              <w:rPr>
                <w:sz w:val="20"/>
                <w:szCs w:val="20"/>
                <w:color w:val="auto"/>
              </w:rPr>
            </w:pPr>
            <w:r>
              <w:rPr>
                <w:rFonts w:ascii="Arial" w:cs="Arial" w:eastAsia="Arial" w:hAnsi="Arial"/>
                <w:sz w:val="18"/>
                <w:szCs w:val="18"/>
                <w:color w:val="auto"/>
              </w:rPr>
              <w:t>Estimate of the interest within rental</w:t>
            </w: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400"/>
              <w:spacing w:after="0"/>
              <w:rPr>
                <w:sz w:val="20"/>
                <w:szCs w:val="20"/>
                <w:color w:val="auto"/>
              </w:rPr>
            </w:pPr>
            <w:r>
              <w:rPr>
                <w:rFonts w:ascii="Arial" w:cs="Arial" w:eastAsia="Arial" w:hAnsi="Arial"/>
                <w:sz w:val="18"/>
                <w:szCs w:val="18"/>
                <w:color w:val="auto"/>
              </w:rPr>
              <w:t>expense</w:t>
            </w: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874</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819</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980</w:t>
            </w:r>
          </w:p>
        </w:tc>
        <w:tc>
          <w:tcPr>
            <w:tcW w:w="15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936</w:t>
            </w:r>
          </w:p>
        </w:tc>
        <w:tc>
          <w:tcPr>
            <w:tcW w:w="13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966</w:t>
            </w: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1,081</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1,010</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1,152</w:t>
            </w:r>
          </w:p>
        </w:tc>
        <w:tc>
          <w:tcPr>
            <w:tcW w:w="15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1,079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560" w:type="dxa"/>
            <w:vAlign w:val="bottom"/>
            <w:gridSpan w:val="2"/>
          </w:tcPr>
          <w:p>
            <w:pPr>
              <w:spacing w:after="0"/>
              <w:rPr>
                <w:sz w:val="20"/>
                <w:szCs w:val="20"/>
                <w:color w:val="auto"/>
              </w:rPr>
            </w:pPr>
            <w:r>
              <w:rPr>
                <w:rFonts w:ascii="Arial" w:cs="Arial" w:eastAsia="Arial" w:hAnsi="Arial"/>
                <w:sz w:val="18"/>
                <w:szCs w:val="18"/>
                <w:color w:val="auto"/>
              </w:rPr>
              <w:t>Excess (deficiency) of earnings available</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to fixed charges</w:t>
            </w: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7"/>
              </w:rPr>
              <w:t>$ (16,587)</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 (17,350)</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 (14,042)</w:t>
            </w:r>
          </w:p>
        </w:tc>
        <w:tc>
          <w:tcPr>
            <w:tcW w:w="15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 (21,105)</w:t>
            </w:r>
          </w:p>
        </w:tc>
        <w:tc>
          <w:tcPr>
            <w:tcW w:w="1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 (27,202)</w:t>
            </w: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NA</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N/A</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N/A</w:t>
            </w:r>
          </w:p>
        </w:tc>
        <w:tc>
          <w:tcPr>
            <w:tcW w:w="15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right="360" w:hanging="452"/>
        <w:spacing w:after="0" w:line="27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earnings were insufficient to cover fixed charges in each of the years in the five-year period ended December 31, 2007 and for the three-month period ended March 31, 2008, and accordingly ratios are not presented.</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We have issued our reports dated March 7, 2008 with respect to the consolidated financial statements (which report expressed an unqualified opinion and contains an explanatory paragraph relating to the adoption of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and internal control over financial reporting of StemCells, Inc. included in the Annual Report on Form 10-K for the year ended December 31, 2007 which is incorporated by reference in this Registration Statement. We consent to the incorporation by reference in the Registration Statement of the aforementioned reports and to the use of our name as it appears under the caption “Experts.”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2008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bullet"/>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lvl w:ilvl="1">
      <w:lvlJc w:val="left"/>
      <w:lvlText w:val="(%2)"/>
      <w:numFmt w:val="decimal"/>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
    <w:nsid w:val="7644A45C"/>
    <w:multiLevelType w:val="hybridMultilevel"/>
    <w:lvl w:ilvl="0">
      <w:lvlJc w:val="left"/>
      <w:lvlText w:val="%1"/>
      <w:numFmt w:val="lowerLetter"/>
      <w:start w:val="1"/>
    </w:lvl>
    <w:lvl w:ilvl="1">
      <w:lvlJc w:val="left"/>
      <w:lvlText w:val="(%2)"/>
      <w:numFmt w:val="decimal"/>
      <w:start w:val="2"/>
    </w:lvl>
  </w:abstractNum>
  <w:abstractNum w:abstractNumId="28">
    <w:nsid w:val="32FFF902"/>
    <w:multiLevelType w:val="hybridMultilevel"/>
    <w:lvl w:ilvl="0">
      <w:lvlJc w:val="left"/>
      <w:lvlText w:val="(%1)"/>
      <w:numFmt w:val="lowerLetter"/>
      <w:start w:val="2"/>
    </w:lvl>
    <w:lvl w:ilvl="1">
      <w:lvlJc w:val="left"/>
      <w:lvlText w:val="(%2)"/>
      <w:numFmt w:val="decimal"/>
      <w:start w:val="1"/>
    </w:lvl>
  </w:abstractNum>
  <w:abstractNum w:abstractNumId="29">
    <w:nsid w:val="684A481A"/>
    <w:multiLevelType w:val="hybridMultilevel"/>
    <w:lvl w:ilvl="0">
      <w:lvlJc w:val="left"/>
      <w:lvlText w:val="%1"/>
      <w:numFmt w:val="lowerLetter"/>
      <w:start w:val="1"/>
    </w:lvl>
    <w:lvl w:ilvl="1">
      <w:lvlJc w:val="left"/>
      <w:lvlText w:val="(%2)"/>
      <w:numFmt w:val="lowerLetter"/>
      <w:start w:val="3"/>
    </w:lvl>
  </w:abstractNum>
  <w:abstractNum w:abstractNumId="30">
    <w:nsid w:val="579478FE"/>
    <w:multiLevelType w:val="hybridMultilevel"/>
    <w:lvl w:ilvl="0">
      <w:lvlJc w:val="left"/>
      <w:lvlText w:val="(%1)"/>
      <w:numFmt w:val="lowerLetter"/>
      <w:start w:val="9"/>
    </w:lvl>
    <w:lvl w:ilvl="1">
      <w:lvlJc w:val="left"/>
      <w:lvlText w:val="(%2)"/>
      <w:numFmt w:val="lowerLetter"/>
      <w:start w:val="4"/>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6"/>
    </w:lvl>
  </w:abstractNum>
  <w:abstractNum w:abstractNumId="37">
    <w:nsid w:val="70C6A529"/>
    <w:multiLevelType w:val="hybridMultilevel"/>
    <w:lvl w:ilvl="0">
      <w:lvlJc w:val="left"/>
      <w:lvlText w:val="(%1)"/>
      <w:numFmt w:val="decimal"/>
      <w:start w:val="17"/>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lowerLetter"/>
      <w:start w:val="4"/>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4"/>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decimal"/>
      <w:start w:val="1"/>
    </w:lvl>
    <w:lvl w:ilvl="1">
      <w:lvlJc w:val="left"/>
      <w:lvlText w:val="(%2)"/>
      <w:numFmt w:val="upperLetter"/>
      <w:start w:val="1"/>
    </w:lvl>
  </w:abstractNum>
  <w:abstractNum w:abstractNumId="45">
    <w:nsid w:val="1CF10FD8"/>
    <w:multiLevelType w:val="hybridMultilevel"/>
    <w:lvl w:ilvl="0">
      <w:lvlJc w:val="left"/>
      <w:lvlText w:val="%1"/>
      <w:numFmt w:val="decimal"/>
      <w:start w:val="1"/>
    </w:lvl>
    <w:lvl w:ilvl="1">
      <w:lvlJc w:val="left"/>
      <w:lvlText w:val="(%2)"/>
      <w:numFmt w:val="upperLetter"/>
      <w:start w:val="3"/>
    </w:lvl>
  </w:abstractNum>
  <w:abstractNum w:abstractNumId="46">
    <w:nsid w:val="180115BE"/>
    <w:multiLevelType w:val="hybridMultilevel"/>
    <w:lvl w:ilvl="0">
      <w:lvlJc w:val="left"/>
      <w:lvlText w:val="(%1)"/>
      <w:numFmt w:val="decimal"/>
      <w:start w:val="6"/>
    </w:lvl>
    <w:lvl w:ilvl="1">
      <w:lvlJc w:val="left"/>
      <w:lvlText w:val="%2"/>
      <w:numFmt w:val="upperLetter"/>
      <w:start w:val="1"/>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decimal"/>
      <w:start w:val="4"/>
    </w:lvl>
  </w:abstractNum>
  <w:abstractNum w:abstractNumId="49">
    <w:nsid w:val="354FE9F9"/>
    <w:multiLevelType w:val="hybridMultilevel"/>
    <w:lvl w:ilvl="0">
      <w:lvlJc w:val="left"/>
      <w:lvlText w:val="(%1)"/>
      <w:numFmt w:val="lowerLetter"/>
      <w:start w:val="1"/>
    </w:lvl>
  </w:abstractNum>
  <w:abstractNum w:abstractNumId="50">
    <w:nsid w:val="15B5AF5C"/>
    <w:multiLevelType w:val="hybridMultilevel"/>
    <w:lvl w:ilvl="0">
      <w:lvlJc w:val="left"/>
      <w:lvlText w:val="(%1)"/>
      <w:numFmt w:val="lowerLetter"/>
      <w:start w:val="2"/>
    </w:lvl>
    <w:lvl w:ilvl="1">
      <w:lvlJc w:val="left"/>
      <w:lvlText w:val="(%2)"/>
      <w:numFmt w:val="decimal"/>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lowerRoman"/>
      <w:start w:val="1"/>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lowerLetter"/>
      <w:start w:val="1"/>
    </w:lvl>
    <w:lvl w:ilvl="1">
      <w:lvlJc w:val="left"/>
      <w:lvlText w:val="(%2)"/>
      <w:numFmt w:val="decimal"/>
      <w:start w:val="1"/>
    </w:lvl>
  </w:abstractNum>
  <w:abstractNum w:abstractNumId="57">
    <w:nsid w:val="77AE35EB"/>
    <w:multiLevelType w:val="hybridMultilevel"/>
    <w:lvl w:ilvl="0">
      <w:lvlJc w:val="left"/>
      <w:lvlText w:val="(%1)"/>
      <w:numFmt w:val="lowerLetter"/>
      <w:start w:val="3"/>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2"/>
    </w:lvl>
  </w:abstractNum>
  <w:abstractNum w:abstractNumId="60">
    <w:nsid w:val="5FF87E05"/>
    <w:multiLevelType w:val="hybridMultilevel"/>
    <w:lvl w:ilvl="0">
      <w:lvlJc w:val="left"/>
      <w:lvlText w:val="(%1)"/>
      <w:numFmt w:val="decimal"/>
      <w:start w:val="9"/>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1"/>
    </w:lvl>
    <w:lvl w:ilvl="1">
      <w:lvlJc w:val="left"/>
      <w:lvlText w:val="(%2)"/>
      <w:numFmt w:val="decimal"/>
      <w:start w:val="1"/>
    </w:lvl>
  </w:abstractNum>
  <w:abstractNum w:abstractNumId="63">
    <w:nsid w:val="1DBABF00"/>
    <w:multiLevelType w:val="hybridMultilevel"/>
    <w:lvl w:ilvl="0">
      <w:lvlJc w:val="left"/>
      <w:lvlText w:val="(%1)"/>
      <w:numFmt w:val="decimal"/>
      <w:start w:val="2"/>
    </w:lvl>
    <w:lvl w:ilvl="1">
      <w:lvlJc w:val="left"/>
      <w:lvlText w:val="%2"/>
      <w:numFmt w:val="decimal"/>
      <w:start w:val="1"/>
    </w:lvl>
  </w:abstractNum>
  <w:abstractNum w:abstractNumId="64">
    <w:nsid w:val="4AD084E9"/>
    <w:multiLevelType w:val="hybridMultilevel"/>
    <w:lvl w:ilvl="0">
      <w:lvlJc w:val="left"/>
      <w:lvlText w:val="(%1)"/>
      <w:numFmt w:val="decimal"/>
      <w:start w:val="4"/>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decimal"/>
      <w:start w:val="3"/>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2019-12-11T14:53:23Z</dcterms:created>
  <dcterms:modified xsi:type="dcterms:W3CDTF">2019-12-11T14:53:23Z</dcterms:modified>
</cp:coreProperties>
</file>