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1998</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0-19871</w:t>
      </w:r>
    </w:p>
    <w:p>
      <w:pPr>
        <w:spacing w:after="0" w:line="2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0" w:lineRule="exact"/>
        <w:rPr>
          <w:sz w:val="24"/>
          <w:szCs w:val="24"/>
          <w:color w:val="auto"/>
        </w:rPr>
      </w:pPr>
    </w:p>
    <w:p>
      <w:pPr>
        <w:sectPr>
          <w:pgSz w:w="11900" w:h="16838" w:orient="portrait"/>
          <w:cols w:equalWidth="0" w:num="2">
            <w:col w:w="4880" w:space="720"/>
            <w:col w:w="4619"/>
          </w:cols>
          <w:pgMar w:left="240" w:top="649" w:right="1440" w:bottom="144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94-3078125</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701 GEORGE WASHINGTON HIGHWAY</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LINCOLN, RI 02865</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(401) 288-1000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Yes___X____ No_________</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July 31, 1998, there were 18,277,906 shares of Common Stock, $.01 par value, issued and outstanding. There were no issued and outstanding shares of Preferred Stock.</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16</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320" w:type="dxa"/>
            <w:vAlign w:val="bottom"/>
          </w:tcPr>
          <w:p>
            <w:pPr>
              <w:ind w:left="2200"/>
              <w:spacing w:after="0"/>
              <w:rPr>
                <w:sz w:val="20"/>
                <w:szCs w:val="20"/>
                <w:color w:val="auto"/>
              </w:rPr>
            </w:pPr>
            <w:r>
              <w:rPr>
                <w:rFonts w:ascii="Courier New" w:cs="Courier New" w:eastAsia="Courier New" w:hAnsi="Courier New"/>
                <w:sz w:val="18"/>
                <w:szCs w:val="18"/>
                <w:color w:val="auto"/>
              </w:rPr>
              <w:t>CYTOTHERAPEUTICS, INC.</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320" w:type="dxa"/>
            <w:vAlign w:val="bottom"/>
          </w:tcPr>
          <w:p>
            <w:pPr>
              <w:ind w:left="3160"/>
              <w:spacing w:after="0"/>
              <w:rPr>
                <w:sz w:val="20"/>
                <w:szCs w:val="20"/>
                <w:color w:val="auto"/>
              </w:rPr>
            </w:pPr>
            <w:r>
              <w:rPr>
                <w:rFonts w:ascii="Courier New" w:cs="Courier New" w:eastAsia="Courier New" w:hAnsi="Courier New"/>
                <w:sz w:val="18"/>
                <w:szCs w:val="18"/>
                <w:color w:val="auto"/>
              </w:rPr>
              <w:t>INDEX</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Page Number</w:t>
            </w: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Balance Sheets (unaudited)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June 30, 1998 and December 31, 1997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7"/>
              </w:rPr>
              <w:t>Condensed Consolidated Statements of Operations (unaudited)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Three and six months ended June 30, 1998 and 1997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w w:val="97"/>
              </w:rPr>
              <w:t>Condensed Consolidated Statements of Cash Flows (unaudited)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Six months ended June 30, 1998 and 1997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1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6</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Item 2.  Management's Discussion and Analysis of Financial</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3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w:t>
            </w:r>
          </w:p>
        </w:tc>
        <w:tc>
          <w:tcPr>
            <w:tcW w:w="100" w:type="dxa"/>
            <w:vAlign w:val="bottom"/>
          </w:tcPr>
          <w:p>
            <w:pPr>
              <w:spacing w:after="0"/>
              <w:rPr>
                <w:sz w:val="17"/>
                <w:szCs w:val="17"/>
                <w:color w:val="auto"/>
              </w:rPr>
            </w:pPr>
          </w:p>
        </w:tc>
      </w:tr>
      <w:tr>
        <w:trPr>
          <w:trHeight w:val="608"/>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PART II.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Submission of Matters to a Vote of Security-Holders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Exhibits and Reports on Form 8-K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100" w:type="dxa"/>
            <w:vAlign w:val="bottom"/>
          </w:tcPr>
          <w:p>
            <w:pPr>
              <w:spacing w:after="0"/>
              <w:rPr>
                <w:sz w:val="24"/>
                <w:szCs w:val="24"/>
                <w:color w:val="auto"/>
              </w:rPr>
            </w:pPr>
          </w:p>
        </w:tc>
      </w:tr>
      <w:tr>
        <w:trPr>
          <w:trHeight w:val="608"/>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100" w:type="dxa"/>
            <w:vAlign w:val="bottom"/>
          </w:tcPr>
          <w:p>
            <w:pPr>
              <w:spacing w:after="0"/>
              <w:rPr>
                <w:sz w:val="24"/>
                <w:szCs w:val="24"/>
                <w:color w:val="auto"/>
              </w:rPr>
            </w:pPr>
          </w:p>
        </w:tc>
      </w:tr>
      <w:tr>
        <w:trPr>
          <w:trHeight w:val="608"/>
        </w:trPr>
        <w:tc>
          <w:tcPr>
            <w:tcW w:w="860" w:type="dxa"/>
            <w:vAlign w:val="bottom"/>
          </w:tcPr>
          <w:p>
            <w:pPr>
              <w:spacing w:after="0"/>
              <w:rPr>
                <w:sz w:val="24"/>
                <w:szCs w:val="24"/>
                <w:color w:val="auto"/>
              </w:rPr>
            </w:pPr>
          </w:p>
        </w:tc>
        <w:tc>
          <w:tcPr>
            <w:tcW w:w="632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Page 2 of 16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June 30, 1998</w:t>
            </w:r>
          </w:p>
        </w:tc>
        <w:tc>
          <w:tcPr>
            <w:tcW w:w="190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6"/>
              </w:rPr>
              <w:t>December 31, 1997</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380" w:type="dxa"/>
            <w:vAlign w:val="bottom"/>
          </w:tcPr>
          <w:p>
            <w:pPr>
              <w:spacing w:after="0"/>
              <w:rPr>
                <w:sz w:val="17"/>
                <w:szCs w:val="17"/>
                <w:color w:val="auto"/>
              </w:rPr>
            </w:pP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(audited)</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12,864,589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15,941,701</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10,430,726</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13,108,497</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Receivables from collaborative agreement</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190,455</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150,880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1,309,589</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978,314</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24,795,359</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30,179,392</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6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8,346,898</w:t>
            </w:r>
          </w:p>
        </w:tc>
        <w:tc>
          <w:tcPr>
            <w:tcW w:w="3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7,922,751</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6,492,699</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6,199,323</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1060"/>
              <w:spacing w:after="0"/>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39,634,956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4,066,606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4,109,351</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1,758,648</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16,144</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Current maturities of capitalized lease obligations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354,342</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419,095</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Current maturities of long term debt</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971,737</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658,986</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7,151,333</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5,203,576</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less current maturities</w:t>
            </w:r>
          </w:p>
        </w:tc>
        <w:tc>
          <w:tcPr>
            <w:tcW w:w="26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3,405,000</w:t>
            </w:r>
          </w:p>
        </w:tc>
        <w:tc>
          <w:tcPr>
            <w:tcW w:w="3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3,552,500</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debt, less current maturities</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1,250,000</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555,525</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Redeemable common stock</w:t>
            </w:r>
          </w:p>
        </w:tc>
        <w:tc>
          <w:tcPr>
            <w:tcW w:w="26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5,248,610</w:t>
            </w:r>
          </w:p>
        </w:tc>
        <w:tc>
          <w:tcPr>
            <w:tcW w:w="3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5,583,110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Common stock to be issued</w:t>
            </w:r>
          </w:p>
        </w:tc>
        <w:tc>
          <w:tcPr>
            <w:tcW w:w="260" w:type="dxa"/>
            <w:vAlign w:val="bottom"/>
          </w:tcPr>
          <w:p>
            <w:pPr>
              <w:spacing w:after="0"/>
              <w:rPr>
                <w:sz w:val="24"/>
                <w:szCs w:val="24"/>
                <w:color w:val="auto"/>
              </w:rPr>
            </w:pP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48,375</w:t>
            </w:r>
          </w:p>
        </w:tc>
        <w:tc>
          <w:tcPr>
            <w:tcW w:w="380" w:type="dxa"/>
            <w:vAlign w:val="bottom"/>
          </w:tcPr>
          <w:p>
            <w:pPr>
              <w:spacing w:after="0"/>
              <w:rPr>
                <w:sz w:val="24"/>
                <w:szCs w:val="24"/>
                <w:color w:val="auto"/>
              </w:rPr>
            </w:pP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506,600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stock</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176,905</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175,262</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122,546,371</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121,472,844</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6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(98,603,164)</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(91,036,254)</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26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(1,585,062)</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(1,702,820)</w:t>
            </w:r>
          </w:p>
        </w:tc>
      </w:tr>
      <w:tr>
        <w:trPr>
          <w:trHeight w:val="203"/>
        </w:trPr>
        <w:tc>
          <w:tcPr>
            <w:tcW w:w="61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Unrealized gain (loss) on marketable securities</w:t>
            </w:r>
          </w:p>
        </w:tc>
        <w:tc>
          <w:tcPr>
            <w:tcW w:w="26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(3,412)</w:t>
            </w:r>
          </w:p>
        </w:tc>
        <w:tc>
          <w:tcPr>
            <w:tcW w:w="38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(8,877)</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22,531,638</w:t>
            </w:r>
          </w:p>
        </w:tc>
        <w:tc>
          <w:tcPr>
            <w:tcW w:w="38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28,900,155</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ind w:left="10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39,634,956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1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16</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36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Three Months Ended</w:t>
            </w:r>
          </w:p>
        </w:tc>
        <w:tc>
          <w:tcPr>
            <w:tcW w:w="32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280" w:type="dxa"/>
            <w:vAlign w:val="bottom"/>
          </w:tcPr>
          <w:p>
            <w:pPr>
              <w:spacing w:after="0"/>
              <w:rPr>
                <w:sz w:val="17"/>
                <w:szCs w:val="17"/>
                <w:color w:val="auto"/>
              </w:rPr>
            </w:pPr>
          </w:p>
        </w:tc>
        <w:tc>
          <w:tcPr>
            <w:tcW w:w="204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320" w:type="dxa"/>
            <w:vAlign w:val="bottom"/>
          </w:tcPr>
          <w:p>
            <w:pPr>
              <w:spacing w:after="0"/>
              <w:rPr>
                <w:sz w:val="17"/>
                <w:szCs w:val="17"/>
                <w:color w:val="auto"/>
              </w:rPr>
            </w:pPr>
          </w:p>
        </w:tc>
        <w:tc>
          <w:tcPr>
            <w:tcW w:w="32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 from collaborative arrangements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1,906,588</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5,084,864</w:t>
            </w: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3,749,563</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6,941,486</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4,917,357</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4,449,727</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9,417,019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9,099,227</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1,264,249</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1,684,917</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2,411,255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3,481,347</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6,181,606</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6,134,644</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11,828,274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12,580,574</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Earnings (loss) from operations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(4,275,018)</w:t>
            </w:r>
          </w:p>
        </w:tc>
        <w:tc>
          <w:tcPr>
            <w:tcW w:w="3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(1,049,780)</w:t>
            </w: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(8,078,711)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(5,639,088)</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351,522</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467,769</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745,496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1,116,399</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(124,877)</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(70,583)</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(233,695)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(246,094)</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income (loss)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(15,360)</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(110,780)</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226,645</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381,826</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511,801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759,525</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($ 4,048,373)</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w w:val="83"/>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667,954)</w:t>
            </w: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($ 7,566,910)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($ 4,879,563)</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earnings (loss) per share</w:t>
            </w: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($0.22)</w:t>
            </w:r>
          </w:p>
        </w:tc>
        <w:tc>
          <w:tcPr>
            <w:tcW w:w="3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($0.04)</w:t>
            </w: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($0.42)</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($0.30)</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Shares used in calculation</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18,199,870</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16,498,374</w:t>
            </w: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18,192,212</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16,484,864</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16</w:t>
      </w:r>
    </w:p>
    <w:p>
      <w:pPr>
        <w:sectPr>
          <w:pgSz w:w="11900" w:h="16838" w:orient="portrait"/>
          <w:cols w:equalWidth="0" w:num="1">
            <w:col w:w="10860"/>
          </w:cols>
          <w:pgMar w:left="240" w:top="717" w:right="7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ind w:left="640"/>
              <w:spacing w:after="0"/>
              <w:rPr>
                <w:sz w:val="20"/>
                <w:szCs w:val="20"/>
                <w:color w:val="auto"/>
              </w:rPr>
            </w:pPr>
            <w:r>
              <w:rPr>
                <w:rFonts w:ascii="Courier New" w:cs="Courier New" w:eastAsia="Courier New" w:hAnsi="Courier New"/>
                <w:sz w:val="18"/>
                <w:szCs w:val="18"/>
                <w:color w:val="auto"/>
              </w:rPr>
              <w:t>(unaudited)</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013"/>
        </w:trPr>
        <w:tc>
          <w:tcPr>
            <w:tcW w:w="6480" w:type="dxa"/>
            <w:vAlign w:val="bottom"/>
          </w:tcPr>
          <w:p>
            <w:pPr>
              <w:spacing w:after="0"/>
              <w:rPr>
                <w:sz w:val="24"/>
                <w:szCs w:val="24"/>
                <w:color w:val="auto"/>
              </w:rPr>
            </w:pPr>
          </w:p>
        </w:tc>
        <w:tc>
          <w:tcPr>
            <w:tcW w:w="322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480" w:type="dxa"/>
            <w:vAlign w:val="bottom"/>
          </w:tcPr>
          <w:p>
            <w:pPr>
              <w:spacing w:after="0"/>
              <w:rPr>
                <w:sz w:val="17"/>
                <w:szCs w:val="17"/>
                <w:color w:val="auto"/>
              </w:rPr>
            </w:pPr>
          </w:p>
        </w:tc>
        <w:tc>
          <w:tcPr>
            <w:tcW w:w="32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($ 7,566,910)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($ 4,879,563)</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Adjustments to reconcile net earnings (loss) to</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1,039,208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967,350</w:t>
            </w:r>
          </w:p>
        </w:tc>
      </w:tr>
      <w:tr>
        <w:trPr>
          <w:trHeight w:val="203"/>
        </w:trPr>
        <w:tc>
          <w:tcPr>
            <w:tcW w:w="6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Compensation expense relating to the grant</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4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117,758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27,413</w:t>
            </w:r>
          </w:p>
        </w:tc>
      </w:tr>
      <w:tr>
        <w:trPr>
          <w:trHeight w:val="203"/>
        </w:trPr>
        <w:tc>
          <w:tcPr>
            <w:tcW w:w="6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Loss on sale of fixed assets</w:t>
            </w:r>
          </w:p>
        </w:tc>
        <w:tc>
          <w:tcPr>
            <w:tcW w:w="1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64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1,377,593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(1,963,479)</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(5,032,351)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(5,847,454)</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13,634,045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9,936,929</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(10,952,827)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(6,104,205)</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of property, plant and equipment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(1,226,809)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(4,504,373)</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the sale of fixed assets</w:t>
            </w:r>
          </w:p>
        </w:tc>
        <w:tc>
          <w:tcPr>
            <w:tcW w:w="1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1,941</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(576,588)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(572,576)</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877,821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(1,242,284)</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the exercise of stock options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282,445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375,825</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financing transactions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1,259,300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Principal payments under capitalized lease obligations</w:t>
            </w:r>
          </w:p>
        </w:tc>
        <w:tc>
          <w:tcPr>
            <w:tcW w:w="17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and mortgage payable</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(464,327)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(538,485)</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1,077,418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(162,660)</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on cash and cash equivalents</w:t>
            </w:r>
          </w:p>
        </w:tc>
        <w:tc>
          <w:tcPr>
            <w:tcW w:w="1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(234,206)</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(3,077,112)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(7,486,604)</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15,941,701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19,921,584</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Cash and cash equivalents, June 30</w:t>
            </w: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$ 12,864,589</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$ 12,434,980</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 of 16</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June 30, 1998 and 1997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1998 are not necessarily indicative of the results that may be expected for the entire fiscal year ended December 31, 1998.</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For further information, refer to the audited financial statements and footnotes thereto as of December 31, 1997 included in the Company's Annual Report to Stockholders and the Annual Report on Form 10-K filed with the Securities and Exchange Commission.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NET LOSS PER SHARE</w:t>
      </w:r>
    </w:p>
    <w:p>
      <w:pPr>
        <w:spacing w:after="0" w:line="207" w:lineRule="exact"/>
        <w:rPr>
          <w:sz w:val="20"/>
          <w:szCs w:val="20"/>
          <w:color w:val="auto"/>
        </w:rPr>
      </w:pPr>
    </w:p>
    <w:p>
      <w:pPr>
        <w:ind w:left="960" w:right="1779"/>
        <w:spacing w:after="0" w:line="279"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as their effect is antidilutive.</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ADOPTION OF NEW ACCOUNTING PRONOUNCEMENT</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and foreign currency translation adjustments, which prior to adoption were reported separately in shareholders' equity to be included in other comprehensive income.</w:t>
      </w:r>
    </w:p>
    <w:p>
      <w:pPr>
        <w:spacing w:after="0" w:line="214" w:lineRule="exact"/>
        <w:rPr>
          <w:sz w:val="20"/>
          <w:szCs w:val="20"/>
          <w:color w:val="auto"/>
        </w:rPr>
      </w:pPr>
    </w:p>
    <w:p>
      <w:pPr>
        <w:ind w:left="960" w:right="2619"/>
        <w:spacing w:after="0" w:line="237" w:lineRule="auto"/>
        <w:rPr>
          <w:sz w:val="20"/>
          <w:szCs w:val="20"/>
          <w:color w:val="auto"/>
        </w:rPr>
      </w:pPr>
      <w:r>
        <w:rPr>
          <w:rFonts w:ascii="Courier New" w:cs="Courier New" w:eastAsia="Courier New" w:hAnsi="Courier New"/>
          <w:sz w:val="18"/>
          <w:szCs w:val="18"/>
          <w:color w:val="auto"/>
        </w:rPr>
        <w:t>For the three months end June 30, 1998 and 1997, total comprehensive loss amounted to $4,047,000 and $655,000. For the first six months of 1998 and 1997, total comprehensive loss amounted to $7,561,000 and $4,962,000.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of the financial condition and results of operations of the Company for the three and six months ended June 30, 1998 and 1997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report may contain certain forward-looking statements regarding, among other things, the Company's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upon revenues from collaborative research arrangements with corporate sponsors to finance its operations. The Company's results of operations have varied significantly from year to year and from quarter to quarter, and may vary significantly in the future due to the occurrence of material, nonrecurring events, including without limitation, the receipt of one-time, nonrecurring licensing and milestone payments.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Three months ended June 30, 1998 and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quarter ended June 30, 1998 and 1997, revenues from collaborative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16</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73" w:lineRule="auto"/>
        <w:rPr>
          <w:sz w:val="20"/>
          <w:szCs w:val="20"/>
          <w:color w:val="auto"/>
        </w:rPr>
      </w:pPr>
      <w:r>
        <w:rPr>
          <w:rFonts w:ascii="Courier New" w:cs="Courier New" w:eastAsia="Courier New" w:hAnsi="Courier New"/>
          <w:sz w:val="16"/>
          <w:szCs w:val="16"/>
          <w:color w:val="auto"/>
        </w:rPr>
        <w:t>agreements totaled $1,907,000 and $5,085,000, respectively. The revenues were earned primarily from a Development, Marketing and License Agreement with Astra AB, which was signed in March 1995. Included in the 1997 revenues is a $3,000,000 milestone payment from Astra related to the Phase II clinical trial program for the Company's cell-containing, pain-control implant.</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Research and development expenses totaled $4,917,000 for the three months ended June 30, 1998, compared with $4,450,000 for the same period in 1997.</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General and administrative expenses were $1,264,000 for the three months ended June 30, 1998, compared with $1,685,000 for the same period in 1997. The decrease of $421,000, or 25%, from 1997 to 1998 was primarily attributable to a reduction in legal expenses, as well as a reduction in employee expenses.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income for the three months ended June 30, 1998 and 1997 was $352,000 and $468,000, respectively. The decrease in interest income in 1998 is attributable to the lower average investment balances, $23,669,00 vs. $34,672,000 in the second quarter of 1998 and 1997, respectively.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expense was $125,000 for the three months ended June 30, 1998, compared with $71,000 for the same period in 1997. The increase from 1997 to 1998 is attributable to the capitalization of interest for the new facility in 1997 in the amount of $99,000.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loss for the three months ended June 30, 1998 was $4,048,000, or $0.22 per share, as compared to net loss of $668,000, or $0.04 per share, for the comparable period in 1997. The consolidated results for the second quarter of 1998 include a $502,000 net loss attributable to StemCells, Inc., the Company's wholly owned subsidiary, compared to the consolidated results for the second quarter of 1997 which include a $544,000 net loss attributable to Modex Therapeutiques SA, the Company's formerly 50% owned Swiss subsidiary.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Six months ended June 30, 1998 and 1997</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 the six months ended June 30, 1998 and 1997, revenues from collaborative agreements totaled $3,750,000 and $6,941,000. The revenues were earned primarily from a Development, Marketing and License Agreement with Astra AB.</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Research and development expenses totaled $9,417,000 for the six months ended June 30, 1998, compared with $9,099,000 for the same period in 1997.</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General and administrative expenses were $2,411,000 for the six months ended June 30, 1998, compared with $3,481,000 for the same period in 1997. The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16</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decrease of $1,070,000 or 31%, from 1997 to 1998 was primarily attributable to a reduction in legal fees, as well as a reduction in employee expenses.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Interest income for the six months ended June 30, 1998 and 1997 was $745,000 and $1,116,000, respectively. The average investment balances were $25,329,000 and $37,555,000 for the first six months of 1998 and 1997, respectively.</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Interest expense was $234,000 for the six months ended June 30, 1998, compared with $246,000 for the same period in 1997.</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Net loss for the six months ended June 30, 1998 was $7,567,000, or $0.42 per share, as compared to a net loss of $4,880,000, or $0.30 per share, for the comparable period in 1997.</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had unrestricted cash, cash equivalents and marketable securities totaling $23,295,000 at June 30, 1998. Cash equivalents and marketable securities are invested in agencies of the U.S. government, investment grade corporate bonds and money market funds.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the Company secured an equipment loan facility with a bank in the amount of $2,000,000. The Company has borrowed $2,000,000 under this agreement as of June 30, 1998. The loan required interest payments only for the first two years; principal payments are payable over a three-year period beginning in August 1998. The loan is secured by equipment purchased with the proceeds of the credit facility.</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October 1997, the Company completed a series of transactions which resulted in the establishment of its previously 50%-owned Swiss subsidiary, Modex Therapeutiques, SA,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In April 1998, Modex completed a financing, in which the Company elected not to participate, which resulted in a reduction of its ownership interest to approximately 20%.</w:t>
      </w: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16</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38" w:lineRule="auto"/>
        <w:rPr>
          <w:sz w:val="20"/>
          <w:szCs w:val="20"/>
          <w:color w:val="auto"/>
        </w:rPr>
      </w:pPr>
      <w:r>
        <w:rPr>
          <w:rFonts w:ascii="Courier New" w:cs="Courier New" w:eastAsia="Courier New" w:hAnsi="Courier New"/>
          <w:sz w:val="18"/>
          <w:szCs w:val="18"/>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upon by the Company and Modex; (ii) eliminate the Company's requirement to make future milestone payments to Modex of up to 300,000 shares of CytoTherapeutics'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to have manufactured, such products on payment of a higher royalty. The Cross License Agreement continues to provide for the payment of royalties from Modex to the Company on the sale of any licensed products. The revised agreement also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 In addition to the purchase of Modex's Common Stock from the Company, investors participating in the transaction also invested $1.6 million directly in Modex.</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September 1997, a merger of a wholly-owned subsidiary of the Company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 was completed in the form of a purchase. Through the merger,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acquired StemCells for a purchase price totaling approximately</w:t>
      </w:r>
    </w:p>
    <w:p>
      <w:pPr>
        <w:spacing w:after="0" w:line="238" w:lineRule="auto"/>
        <w:rPr>
          <w:sz w:val="20"/>
          <w:szCs w:val="20"/>
          <w:color w:val="auto"/>
        </w:rPr>
      </w:pPr>
      <w:r>
        <w:rPr>
          <w:rFonts w:ascii="Courier New" w:cs="Courier New" w:eastAsia="Courier New" w:hAnsi="Courier New"/>
          <w:sz w:val="18"/>
          <w:szCs w:val="18"/>
          <w:color w:val="auto"/>
        </w:rPr>
        <w:t>$9,475,000, consisting of 1,320,691 shares of the Company's Common Stock and</w:t>
      </w:r>
    </w:p>
    <w:p>
      <w:pPr>
        <w:spacing w:after="0"/>
        <w:rPr>
          <w:sz w:val="20"/>
          <w:szCs w:val="20"/>
          <w:color w:val="auto"/>
        </w:rPr>
      </w:pPr>
      <w:r>
        <w:rPr>
          <w:rFonts w:ascii="Courier New" w:cs="Courier New" w:eastAsia="Courier New" w:hAnsi="Courier New"/>
          <w:sz w:val="18"/>
          <w:szCs w:val="18"/>
          <w:color w:val="auto"/>
        </w:rPr>
        <w:t>options and warrants for the purchase of 259,296 of CytoTherapeutics' Common</w:t>
      </w:r>
    </w:p>
    <w:p>
      <w:pPr>
        <w:spacing w:after="0" w:line="237" w:lineRule="auto"/>
        <w:rPr>
          <w:sz w:val="20"/>
          <w:szCs w:val="20"/>
          <w:color w:val="auto"/>
        </w:rPr>
      </w:pPr>
      <w:r>
        <w:rPr>
          <w:rFonts w:ascii="Courier New" w:cs="Courier New" w:eastAsia="Courier New" w:hAnsi="Courier New"/>
          <w:sz w:val="18"/>
          <w:szCs w:val="18"/>
          <w:color w:val="auto"/>
        </w:rPr>
        <w:t>Shares at nominal consideration, valued at $7,900,000 in the aggregate,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assumption of certain liabilities of $934,000 and transaction costs of $641,000.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purchase price was allocated, through a valuation, to license agreements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valued at $1,131,000, to be amortized over three years, and to acquired research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development of $8,344,000 which has been expensed. As part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StemCells, Richard M. Rose, MD, became President, Chief Executive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a director of the Company and Dr. Irving Weissman became a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principal shareholders of StemCells to repurchase approximately 500,000 of the Company's shares of Common Stock exchanged for StemCells shares, upon the occurrence of certain events as defined.</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16</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69" w:lineRule="auto"/>
        <w:rPr>
          <w:sz w:val="20"/>
          <w:szCs w:val="20"/>
          <w:color w:val="auto"/>
        </w:rPr>
      </w:pPr>
      <w:r>
        <w:rPr>
          <w:rFonts w:ascii="Courier New" w:cs="Courier New" w:eastAsia="Courier New" w:hAnsi="Courier New"/>
          <w:sz w:val="16"/>
          <w:szCs w:val="16"/>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approximately 100,000 of these options are exercisable immediately, 1,031,000 of these options vest and become exercisable only upon the achievement of specified milestones related to the Company's stem cell development program. The remaining 469,000 options vest over eight years. In connection with the 469,000 options issued to a non-employee, Dr. Anderson, the Company has recorded deferred compensation of $1,750,000, the fair value of such options at the date of grant, which will be amortized over an eight-year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cells program.</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Stem cells research will be conducted pursuant to the provisions of an agreement between the Company and Drs. Weissman and Gage providing for a two-year research plan. If the goals of the research plan are accomplished, the Company has agreed to fund continuing stems cells research. Increases in stem cells research funding of not more than 25% per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performance-based stock options, and (ii)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April 1997, CytoTherapeutics entered into an agreement with NeuroSpheres Ltd. replacing all previous agreements and resolving its dispute with NeuroSpheres. The pending action in the United State District Court and its counterpart actions in Calgary, Alberta, Canada, as well as all arbitration proceedings, have been discontinued. Under the terms of the settlement, the Company has an exclusive royalty-bearing license to growth-factor responsive stem cells for transplantation. NeuroSpheres had an option to acquire co-exclusive rights, but failed to exercise the option by the April 1998 deadline. Accordingly, the NeuroSpheres' option to acquire co-</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16</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90" w:lineRule="auto"/>
        <w:rPr>
          <w:sz w:val="20"/>
          <w:szCs w:val="20"/>
          <w:color w:val="auto"/>
        </w:rPr>
      </w:pPr>
      <w:r>
        <w:rPr>
          <w:rFonts w:ascii="Courier New" w:cs="Courier New" w:eastAsia="Courier New" w:hAnsi="Courier New"/>
          <w:sz w:val="16"/>
          <w:szCs w:val="16"/>
          <w:color w:val="auto"/>
        </w:rPr>
        <w:t>exclusive rights has lapsed and CytoTherapeutics retains exclusive rights for transplantation. The parties have no further research obligations to each other.</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The Company and Cognetix have also entered into an option agreement giving CytoTherapeutics the right to option up to three of Cognetix's compounds for use in treating eye diseases. CytoTherapeutics has exercised its right as to one protein. The Company and Cognetix are presently discussing proposed revisions to their relationship under the agreements.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terms of the agreement for Parkinson's disease, Genentech</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purchased 829,171 shares of common stock for $8,300,000 to fund development of products to treat Parkinson's disease. Additional equity purchases and other funding by Genentech is available for future clinical development as determined by the parties. Genentech has the right, in its discretion, to terminate the Parkinson's program at specified milestones in the program.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On May 21, 1998, Genentech exercised its right to terminate the collaboration and negotiations are currently underway to determine the balance of Redeemable Common Stock to be redeemed in accordance with the agreement.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also licensed certain growth factors for the treatment of Huntington's disease and amyotrophic lateral sclerosis ("ALS"). Under the terms of the agreements, the Company is responsible for conducting and funding all preclinical and clinical development, subject to specified rights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16</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71" w:lineRule="auto"/>
        <w:rPr>
          <w:sz w:val="20"/>
          <w:szCs w:val="20"/>
          <w:color w:val="auto"/>
        </w:rPr>
      </w:pPr>
      <w:r>
        <w:rPr>
          <w:rFonts w:ascii="Courier New" w:cs="Courier New" w:eastAsia="Courier New" w:hAnsi="Courier New"/>
          <w:sz w:val="16"/>
          <w:szCs w:val="16"/>
          <w:color w:val="auto"/>
        </w:rPr>
        <w:t>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 upon royalty based upon sales. These agreements supersede the Development Collaboration and License Agreement between the Company and Genentech entered into in March 1994.</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March 1995, the Company signed a collaborative research and development agreement with Astra AB for the development and marketing of certain encapsulated-cell products to treat pain. Astra made an initial, nonrefundable payment of $5,000,000, a milestone payment of $3,000,000 in the first quarter of 1997 which was recognized as revenue in the second quarter of 1997 and may make up to $13,000,000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$5 million to $7 million.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such products. Astra has the right to terminate the original agreement beginning April 1, 1998. In May 1998, Astra AB agreed to increase the annual research and development payments from $7 million to $8.5 million for the calendar year 1998. This increase in funding will be recognized as revenue in the 3rd and 4th quarters of 1998.</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intends to pursue opportunities to obtain additional financing in the future through equity and debt financings, lease agreements related to capital equipment, grants and collaborative research arrangements. The source, timing</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16</w:t>
      </w:r>
    </w:p>
    <w:p>
      <w:pPr>
        <w:sectPr>
          <w:pgSz w:w="11900" w:h="16838" w:orient="portrait"/>
          <w:cols w:equalWidth="0" w:num="1">
            <w:col w:w="10219"/>
          </w:cols>
          <w:pgMar w:left="240" w:top="723" w:right="1440" w:bottom="1440" w:gutter="0" w:footer="0" w:header="0"/>
        </w:sectPr>
      </w:pPr>
    </w:p>
    <w:bookmarkStart w:id="13" w:name="page14"/>
    <w:bookmarkEnd w:id="13"/>
    <w:p>
      <w:pPr>
        <w:ind w:right="2199"/>
        <w:spacing w:after="0" w:line="237" w:lineRule="auto"/>
        <w:rPr>
          <w:sz w:val="20"/>
          <w:szCs w:val="20"/>
          <w:color w:val="auto"/>
        </w:rPr>
      </w:pPr>
      <w:r>
        <w:rPr>
          <w:rFonts w:ascii="Courier New" w:cs="Courier New" w:eastAsia="Courier New" w:hAnsi="Courier New"/>
          <w:sz w:val="18"/>
          <w:szCs w:val="18"/>
          <w:color w:val="auto"/>
        </w:rPr>
        <w:t>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 expects that its existing capital resources, revenues from collaborative agreements and income earned on invested capital will be sufficient to fund its operations through 1999. The Company's cash requirements may vary, however, depending on numerous factors. Lack of necessary funds may require the Company to: delay, scale back or eliminate some or all of its research and product development programs; and/or reduce its capital expenditures; and/or license its potential products or technologies to third parties.</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16</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PART II -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4</w:t>
      </w:r>
    </w:p>
    <w:p>
      <w:pPr>
        <w:spacing w:after="0" w:line="238" w:lineRule="auto"/>
        <w:rPr>
          <w:sz w:val="20"/>
          <w:szCs w:val="20"/>
          <w:color w:val="auto"/>
        </w:rPr>
      </w:pPr>
      <w:r>
        <w:rPr>
          <w:rFonts w:ascii="Courier New" w:cs="Courier New" w:eastAsia="Courier New" w:hAnsi="Courier New"/>
          <w:sz w:val="18"/>
          <w:szCs w:val="18"/>
          <w:color w:val="auto"/>
        </w:rPr>
        <w:t>SUBMISSION OF MATTERS TO A VOTE OF SECURITY-HOLDERS</w:t>
      </w:r>
    </w:p>
    <w:p>
      <w:pPr>
        <w:spacing w:after="0" w:line="207" w:lineRule="exact"/>
        <w:rPr>
          <w:sz w:val="20"/>
          <w:szCs w:val="20"/>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5, 1998 the 1998 Annual Meeting of Stockholders was held in Lincoln, Rhode Island.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brief description of each matter voted upon at the meeting and a breakdown of the votes cast for, against or withheld, as well as the number of abstentions voted for each proposal.</w:t>
      </w:r>
    </w:p>
    <w:p>
      <w:pPr>
        <w:spacing w:after="0" w:line="208" w:lineRule="exact"/>
        <w:rPr>
          <w:rFonts w:ascii="Courier New" w:cs="Courier New" w:eastAsia="Courier New" w:hAnsi="Courier New"/>
          <w:sz w:val="18"/>
          <w:szCs w:val="18"/>
          <w:color w:val="auto"/>
        </w:rPr>
      </w:pPr>
    </w:p>
    <w:p>
      <w:pPr>
        <w:ind w:left="960" w:right="2619" w:hanging="4"/>
        <w:spacing w:after="0" w:line="235" w:lineRule="auto"/>
        <w:tabs>
          <w:tab w:leader="none" w:pos="1276"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elect the following nominees as Directors of the Company: Mark J. Levin, Irving L. Weissman, M.D.</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Mr.</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Levin -</w:t>
            </w:r>
          </w:p>
        </w:tc>
        <w:tc>
          <w:tcPr>
            <w:tcW w:w="2000" w:type="dxa"/>
            <w:vAlign w:val="bottom"/>
            <w:gridSpan w:val="2"/>
          </w:tcPr>
          <w:p>
            <w:pPr>
              <w:ind w:left="900"/>
              <w:spacing w:after="0"/>
              <w:rPr>
                <w:sz w:val="20"/>
                <w:szCs w:val="20"/>
                <w:color w:val="auto"/>
              </w:rPr>
            </w:pPr>
            <w:r>
              <w:rPr>
                <w:rFonts w:ascii="Courier New" w:cs="Courier New" w:eastAsia="Courier New" w:hAnsi="Courier New"/>
                <w:sz w:val="18"/>
                <w:szCs w:val="18"/>
                <w:color w:val="auto"/>
                <w:w w:val="99"/>
              </w:rPr>
              <w:t>13,727,774</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votes in favor</w:t>
            </w:r>
          </w:p>
        </w:tc>
      </w:tr>
      <w:tr>
        <w:trPr>
          <w:trHeight w:val="203"/>
        </w:trPr>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107,272</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votes withheld</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Dr.</w:t>
            </w:r>
          </w:p>
        </w:tc>
        <w:tc>
          <w:tcPr>
            <w:tcW w:w="2060" w:type="dxa"/>
            <w:vAlign w:val="bottom"/>
          </w:tcPr>
          <w:p>
            <w:pPr>
              <w:ind w:left="120"/>
              <w:spacing w:after="0"/>
              <w:rPr>
                <w:sz w:val="20"/>
                <w:szCs w:val="20"/>
                <w:color w:val="auto"/>
              </w:rPr>
            </w:pPr>
            <w:r>
              <w:rPr>
                <w:rFonts w:ascii="Courier New" w:cs="Courier New" w:eastAsia="Courier New" w:hAnsi="Courier New"/>
                <w:sz w:val="18"/>
                <w:szCs w:val="18"/>
                <w:color w:val="auto"/>
              </w:rPr>
              <w:t>Weissman -</w:t>
            </w:r>
          </w:p>
        </w:tc>
        <w:tc>
          <w:tcPr>
            <w:tcW w:w="2000" w:type="dxa"/>
            <w:vAlign w:val="bottom"/>
            <w:gridSpan w:val="2"/>
          </w:tcPr>
          <w:p>
            <w:pPr>
              <w:ind w:left="900"/>
              <w:spacing w:after="0"/>
              <w:rPr>
                <w:sz w:val="20"/>
                <w:szCs w:val="20"/>
                <w:color w:val="auto"/>
              </w:rPr>
            </w:pPr>
            <w:r>
              <w:rPr>
                <w:rFonts w:ascii="Courier New" w:cs="Courier New" w:eastAsia="Courier New" w:hAnsi="Courier New"/>
                <w:sz w:val="18"/>
                <w:szCs w:val="18"/>
                <w:color w:val="auto"/>
                <w:w w:val="99"/>
              </w:rPr>
              <w:t>13,727,423</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votes in favor</w:t>
            </w:r>
          </w:p>
        </w:tc>
      </w:tr>
      <w:tr>
        <w:trPr>
          <w:trHeight w:val="203"/>
        </w:trPr>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107,623</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votes withheld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99 - Cautionary Factors Relevant to Forward-Looking-Information.</w:t>
      </w:r>
    </w:p>
    <w:p>
      <w:pPr>
        <w:spacing w:after="0" w:line="206"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15 of 16</w:t>
      </w:r>
    </w:p>
    <w:p>
      <w:pPr>
        <w:sectPr>
          <w:pgSz w:w="11900" w:h="16838" w:orient="portrait"/>
          <w:cols w:equalWidth="0" w:num="1">
            <w:col w:w="10219"/>
          </w:cols>
          <w:pgMar w:left="240" w:top="717" w:right="1440" w:bottom="1440" w:gutter="0" w:footer="0" w:header="0"/>
        </w:sectPr>
      </w:pPr>
    </w:p>
    <w:bookmarkStart w:id="15" w:name="page16"/>
    <w:bookmarkEnd w:id="1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CYTOTHERAPEUTICS, INC.</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 McBride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officer and</w:t>
      </w: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16 of 16</w:t>
      </w:r>
    </w:p>
    <w:p>
      <w:pPr>
        <w:sectPr>
          <w:pgSz w:w="11900" w:h="16838" w:orient="portrait"/>
          <w:cols w:equalWidth="0" w:num="1">
            <w:col w:w="10219"/>
          </w:cols>
          <w:pgMar w:left="240" w:top="717" w:right="1440" w:bottom="1440" w:gutter="0" w:footer="0" w:header="0"/>
          <w:type w:val="continuous"/>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0"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w:t>
      </w:r>
    </w:p>
    <w:p>
      <w:pPr>
        <w:sectPr>
          <w:pgSz w:w="11900" w:h="16838" w:orient="portrait"/>
          <w:cols w:equalWidth="0" w:num="1">
            <w:col w:w="10219"/>
          </w:cols>
          <w:pgMar w:left="240" w:top="541" w:right="1440" w:bottom="1440" w:gutter="0" w:footer="0" w:header="0"/>
        </w:sectPr>
      </w:pPr>
    </w:p>
    <w:bookmarkStart w:id="17" w:name="page18"/>
    <w:bookmarkEnd w:id="17"/>
    <w:p>
      <w:pPr>
        <w:ind w:right="2099"/>
        <w:spacing w:after="0" w:line="238" w:lineRule="auto"/>
        <w:rPr>
          <w:sz w:val="20"/>
          <w:szCs w:val="20"/>
          <w:color w:val="auto"/>
        </w:rPr>
      </w:pPr>
      <w:r>
        <w:rPr>
          <w:rFonts w:ascii="Courier New" w:cs="Courier New" w:eastAsia="Courier New" w:hAnsi="Courier New"/>
          <w:sz w:val="18"/>
          <w:szCs w:val="18"/>
          <w:color w:val="auto"/>
        </w:rPr>
        <w:t>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is continuing a program of developing stronger implants. In addition, the viability of implanted 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There has been increasing regulatory concern about the risks of cell 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proposed guidelines which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See "Government Regulation."</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 Moreover, the Company is particularly dependent on its pain program partner, Astra AB, because changes in the development of this particular program may significantly affect the Company's stock price. In addition, because of the Company's obligation to repurchase certain of the stock it sold to Genentech in connection with certain termination's of the Parkinson's Agreement, any such termination could have an adverse effect on the Company's liquidity.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Third Party Patents and Proprietary Rights; Need to Obtain Licenses</w:t>
      </w:r>
    </w:p>
    <w:p>
      <w:pPr>
        <w:spacing w:after="0" w:line="21" w:lineRule="exact"/>
        <w:rPr>
          <w:sz w:val="20"/>
          <w:szCs w:val="20"/>
          <w:color w:val="auto"/>
        </w:rPr>
      </w:pPr>
    </w:p>
    <w:p>
      <w:pPr>
        <w:ind w:right="177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w:t>
      </w:r>
    </w:p>
    <w:p>
      <w:pPr>
        <w:sectPr>
          <w:pgSz w:w="11900" w:h="16838" w:orient="portrait"/>
          <w:cols w:equalWidth="0" w:num="1">
            <w:col w:w="10219"/>
          </w:cols>
          <w:pgMar w:left="240" w:top="723" w:right="1440" w:bottom="1440" w:gutter="0" w:footer="0" w:header="0"/>
        </w:sectPr>
      </w:pPr>
    </w:p>
    <w:bookmarkStart w:id="18" w:name="page19"/>
    <w:bookmarkEnd w:id="18"/>
    <w:p>
      <w:pPr>
        <w:ind w:right="2099"/>
        <w:spacing w:after="0" w:line="238" w:lineRule="auto"/>
        <w:rPr>
          <w:sz w:val="20"/>
          <w:szCs w:val="20"/>
          <w:color w:val="auto"/>
        </w:rPr>
      </w:pPr>
      <w:r>
        <w:rPr>
          <w:rFonts w:ascii="Courier New" w:cs="Courier New" w:eastAsia="Courier New" w:hAnsi="Courier New"/>
          <w:sz w:val="18"/>
          <w:szCs w:val="18"/>
          <w:color w:val="auto"/>
        </w:rPr>
        <w:t>the claims which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DEC-31-1998</w:t>
      </w:r>
    </w:p>
    <w:p>
      <w:pPr>
        <w:ind w:left="3160"/>
        <w:spacing w:after="0"/>
        <w:rPr>
          <w:sz w:val="20"/>
          <w:szCs w:val="20"/>
          <w:color w:val="auto"/>
        </w:rPr>
      </w:pPr>
      <w:r>
        <w:rPr>
          <w:rFonts w:ascii="Courier New" w:cs="Courier New" w:eastAsia="Courier New" w:hAnsi="Courier New"/>
          <w:sz w:val="18"/>
          <w:szCs w:val="18"/>
          <w:color w:val="auto"/>
        </w:rPr>
        <w:t>JUN-30-1998</w:t>
      </w:r>
    </w:p>
    <w:p>
      <w:pPr>
        <w:ind w:left="3900"/>
        <w:spacing w:after="0" w:line="237" w:lineRule="auto"/>
        <w:rPr>
          <w:sz w:val="20"/>
          <w:szCs w:val="20"/>
          <w:color w:val="auto"/>
        </w:rPr>
      </w:pPr>
      <w:r>
        <w:rPr>
          <w:rFonts w:ascii="Courier New" w:cs="Courier New" w:eastAsia="Courier New" w:hAnsi="Courier New"/>
          <w:sz w:val="18"/>
          <w:szCs w:val="18"/>
          <w:color w:val="auto"/>
        </w:rPr>
        <w:t>12,864,589</w:t>
      </w:r>
    </w:p>
    <w:p>
      <w:pPr>
        <w:ind w:left="3260"/>
        <w:spacing w:after="0" w:line="238" w:lineRule="auto"/>
        <w:rPr>
          <w:sz w:val="20"/>
          <w:szCs w:val="20"/>
          <w:color w:val="auto"/>
        </w:rPr>
      </w:pPr>
      <w:r>
        <w:rPr>
          <w:rFonts w:ascii="Courier New" w:cs="Courier New" w:eastAsia="Courier New" w:hAnsi="Courier New"/>
          <w:sz w:val="18"/>
          <w:szCs w:val="18"/>
          <w:color w:val="auto"/>
        </w:rPr>
        <w:t>10,430,726</w:t>
      </w:r>
    </w:p>
    <w:p>
      <w:pPr>
        <w:ind w:left="4100"/>
        <w:spacing w:after="0"/>
        <w:rPr>
          <w:sz w:val="20"/>
          <w:szCs w:val="20"/>
          <w:color w:val="auto"/>
        </w:rPr>
      </w:pPr>
      <w:r>
        <w:rPr>
          <w:rFonts w:ascii="Courier New" w:cs="Courier New" w:eastAsia="Courier New" w:hAnsi="Courier New"/>
          <w:sz w:val="18"/>
          <w:szCs w:val="18"/>
          <w:color w:val="auto"/>
        </w:rPr>
        <w:t>0</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2840"/>
        <w:spacing w:after="0" w:line="237" w:lineRule="auto"/>
        <w:rPr>
          <w:sz w:val="20"/>
          <w:szCs w:val="20"/>
          <w:color w:val="auto"/>
        </w:rPr>
      </w:pPr>
      <w:r>
        <w:rPr>
          <w:rFonts w:ascii="Courier New" w:cs="Courier New" w:eastAsia="Courier New" w:hAnsi="Courier New"/>
          <w:sz w:val="18"/>
          <w:szCs w:val="18"/>
          <w:color w:val="auto"/>
        </w:rPr>
        <w:t>24,795,359</w:t>
      </w:r>
    </w:p>
    <w:p>
      <w:pPr>
        <w:ind w:left="3900"/>
        <w:spacing w:after="0"/>
        <w:rPr>
          <w:sz w:val="20"/>
          <w:szCs w:val="20"/>
          <w:color w:val="auto"/>
        </w:rPr>
      </w:pPr>
      <w:r>
        <w:rPr>
          <w:rFonts w:ascii="Courier New" w:cs="Courier New" w:eastAsia="Courier New" w:hAnsi="Courier New"/>
          <w:sz w:val="18"/>
          <w:szCs w:val="18"/>
          <w:color w:val="auto"/>
        </w:rPr>
        <w:t>15,495,443</w:t>
      </w:r>
    </w:p>
    <w:p>
      <w:pPr>
        <w:ind w:left="3160"/>
        <w:spacing w:after="0" w:line="237" w:lineRule="auto"/>
        <w:rPr>
          <w:sz w:val="20"/>
          <w:szCs w:val="20"/>
          <w:color w:val="auto"/>
        </w:rPr>
      </w:pPr>
      <w:r>
        <w:rPr>
          <w:rFonts w:ascii="Courier New" w:cs="Courier New" w:eastAsia="Courier New" w:hAnsi="Courier New"/>
          <w:sz w:val="18"/>
          <w:szCs w:val="18"/>
          <w:color w:val="auto"/>
        </w:rPr>
        <w:t>7,148,545</w:t>
      </w:r>
    </w:p>
    <w:p>
      <w:pPr>
        <w:ind w:left="3040"/>
        <w:spacing w:after="0" w:line="238" w:lineRule="auto"/>
        <w:rPr>
          <w:sz w:val="20"/>
          <w:szCs w:val="20"/>
          <w:color w:val="auto"/>
        </w:rPr>
      </w:pPr>
      <w:r>
        <w:rPr>
          <w:rFonts w:ascii="Courier New" w:cs="Courier New" w:eastAsia="Courier New" w:hAnsi="Courier New"/>
          <w:sz w:val="18"/>
          <w:szCs w:val="18"/>
          <w:color w:val="auto"/>
        </w:rPr>
        <w:t>39,634,956</w:t>
      </w:r>
    </w:p>
    <w:p>
      <w:pPr>
        <w:ind w:left="2420"/>
        <w:spacing w:after="0"/>
        <w:rPr>
          <w:sz w:val="20"/>
          <w:szCs w:val="20"/>
          <w:color w:val="auto"/>
        </w:rPr>
      </w:pPr>
      <w:r>
        <w:rPr>
          <w:rFonts w:ascii="Courier New" w:cs="Courier New" w:eastAsia="Courier New" w:hAnsi="Courier New"/>
          <w:sz w:val="18"/>
          <w:szCs w:val="18"/>
          <w:color w:val="auto"/>
        </w:rPr>
        <w:t>7,151,333</w:t>
      </w:r>
    </w:p>
    <w:p>
      <w:pPr>
        <w:ind w:left="3900"/>
        <w:spacing w:after="0" w:line="237" w:lineRule="auto"/>
        <w:rPr>
          <w:sz w:val="20"/>
          <w:szCs w:val="20"/>
          <w:color w:val="auto"/>
        </w:rPr>
      </w:pPr>
      <w:r>
        <w:rPr>
          <w:rFonts w:ascii="Courier New" w:cs="Courier New" w:eastAsia="Courier New" w:hAnsi="Courier New"/>
          <w:sz w:val="18"/>
          <w:szCs w:val="18"/>
          <w:color w:val="auto"/>
        </w:rPr>
        <w:t>4,655,000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176,905</w:t>
      </w:r>
    </w:p>
    <w:p>
      <w:pPr>
        <w:ind w:left="3460"/>
        <w:spacing w:after="0" w:line="237" w:lineRule="auto"/>
        <w:rPr>
          <w:sz w:val="20"/>
          <w:szCs w:val="20"/>
          <w:color w:val="auto"/>
        </w:rPr>
      </w:pPr>
      <w:r>
        <w:rPr>
          <w:rFonts w:ascii="Courier New" w:cs="Courier New" w:eastAsia="Courier New" w:hAnsi="Courier New"/>
          <w:sz w:val="18"/>
          <w:szCs w:val="18"/>
          <w:color w:val="auto"/>
        </w:rPr>
        <w:t>22,354,733</w:t>
      </w:r>
    </w:p>
    <w:p>
      <w:pPr>
        <w:ind w:left="1580"/>
        <w:spacing w:after="0" w:line="238" w:lineRule="auto"/>
        <w:rPr>
          <w:sz w:val="20"/>
          <w:szCs w:val="20"/>
          <w:color w:val="auto"/>
        </w:rPr>
      </w:pPr>
      <w:r>
        <w:rPr>
          <w:rFonts w:ascii="Courier New" w:cs="Courier New" w:eastAsia="Courier New" w:hAnsi="Courier New"/>
          <w:sz w:val="18"/>
          <w:szCs w:val="18"/>
          <w:color w:val="auto"/>
        </w:rPr>
        <w:t>39,634,956</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3,749,563</w:t>
      </w:r>
    </w:p>
    <w:p>
      <w:pPr>
        <w:spacing w:after="0" w:line="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0</w:t>
      </w:r>
    </w:p>
    <w:p>
      <w:pPr>
        <w:jc w:val="right"/>
        <w:ind w:right="6199"/>
        <w:spacing w:after="0" w:line="238" w:lineRule="auto"/>
        <w:rPr>
          <w:sz w:val="20"/>
          <w:szCs w:val="20"/>
          <w:color w:val="auto"/>
        </w:rPr>
      </w:pPr>
      <w:r>
        <w:rPr>
          <w:rFonts w:ascii="Courier New" w:cs="Courier New" w:eastAsia="Courier New" w:hAnsi="Courier New"/>
          <w:sz w:val="18"/>
          <w:szCs w:val="18"/>
          <w:color w:val="auto"/>
        </w:rPr>
        <w:t>11,828,274</w:t>
      </w:r>
    </w:p>
    <w:p>
      <w:pPr>
        <w:jc w:val="right"/>
        <w:ind w:right="6199"/>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233,695</w:t>
      </w:r>
    </w:p>
    <w:p>
      <w:pPr>
        <w:ind w:left="2840"/>
        <w:spacing w:after="0" w:line="238" w:lineRule="auto"/>
        <w:rPr>
          <w:sz w:val="20"/>
          <w:szCs w:val="20"/>
          <w:color w:val="auto"/>
        </w:rPr>
      </w:pPr>
      <w:r>
        <w:rPr>
          <w:rFonts w:ascii="Courier New" w:cs="Courier New" w:eastAsia="Courier New" w:hAnsi="Courier New"/>
          <w:sz w:val="18"/>
          <w:szCs w:val="18"/>
          <w:color w:val="auto"/>
        </w:rPr>
        <w:t>(7,566,910)</w:t>
      </w:r>
    </w:p>
    <w:p>
      <w:pPr>
        <w:ind w:left="4200"/>
        <w:spacing w:after="0"/>
        <w:rPr>
          <w:sz w:val="20"/>
          <w:szCs w:val="20"/>
          <w:color w:val="auto"/>
        </w:rPr>
      </w:pPr>
      <w:r>
        <w:rPr>
          <w:rFonts w:ascii="Courier New" w:cs="Courier New" w:eastAsia="Courier New" w:hAnsi="Courier New"/>
          <w:sz w:val="18"/>
          <w:szCs w:val="18"/>
          <w:color w:val="auto"/>
        </w:rPr>
        <w:t>0</w:t>
      </w:r>
    </w:p>
    <w:p>
      <w:pPr>
        <w:ind w:left="2420"/>
        <w:spacing w:after="0" w:line="237" w:lineRule="auto"/>
        <w:rPr>
          <w:sz w:val="20"/>
          <w:szCs w:val="20"/>
          <w:color w:val="auto"/>
        </w:rPr>
      </w:pPr>
      <w:r>
        <w:rPr>
          <w:rFonts w:ascii="Courier New" w:cs="Courier New" w:eastAsia="Courier New" w:hAnsi="Courier New"/>
          <w:sz w:val="18"/>
          <w:szCs w:val="18"/>
          <w:color w:val="auto"/>
        </w:rPr>
        <w:t>(7,566,910)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160"/>
        <w:spacing w:after="0" w:line="237" w:lineRule="auto"/>
        <w:rPr>
          <w:sz w:val="20"/>
          <w:szCs w:val="20"/>
          <w:color w:val="auto"/>
        </w:rPr>
      </w:pPr>
      <w:r>
        <w:rPr>
          <w:rFonts w:ascii="Courier New" w:cs="Courier New" w:eastAsia="Courier New" w:hAnsi="Courier New"/>
          <w:sz w:val="18"/>
          <w:szCs w:val="18"/>
          <w:color w:val="auto"/>
        </w:rPr>
        <w:t>(7,566,910)</w:t>
      </w:r>
    </w:p>
    <w:p>
      <w:pPr>
        <w:ind w:left="3680"/>
        <w:spacing w:after="0" w:line="238" w:lineRule="auto"/>
        <w:rPr>
          <w:sz w:val="20"/>
          <w:szCs w:val="20"/>
          <w:color w:val="auto"/>
        </w:rPr>
      </w:pPr>
      <w:r>
        <w:rPr>
          <w:rFonts w:ascii="Courier New" w:cs="Courier New" w:eastAsia="Courier New" w:hAnsi="Courier New"/>
          <w:sz w:val="18"/>
          <w:szCs w:val="18"/>
          <w:color w:val="auto"/>
        </w:rPr>
        <w:t>(.42)</w:t>
      </w:r>
    </w:p>
    <w:p>
      <w:pPr>
        <w:ind w:left="3680"/>
        <w:spacing w:after="0"/>
        <w:rPr>
          <w:sz w:val="20"/>
          <w:szCs w:val="20"/>
          <w:color w:val="auto"/>
        </w:rPr>
      </w:pPr>
      <w:r>
        <w:rPr>
          <w:rFonts w:ascii="Courier New" w:cs="Courier New" w:eastAsia="Courier New" w:hAnsi="Courier New"/>
          <w:sz w:val="18"/>
          <w:szCs w:val="18"/>
          <w:color w:val="auto"/>
        </w:rPr>
        <w:t>(.42)</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lvl w:ilvl="1">
      <w:lvlJc w:val="left"/>
      <w:lvlText w:val="%2."/>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2019-12-13T21:01:27Z</dcterms:created>
  <dcterms:modified xsi:type="dcterms:W3CDTF">2019-12-13T21:01:27Z</dcterms:modified>
</cp:coreProperties>
</file>