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Filed Pursuant to Rule 424 (b)(3)</w:t>
      </w:r>
    </w:p>
    <w:p>
      <w:pPr>
        <w:jc w:val="right"/>
        <w:ind w:right="3239"/>
        <w:spacing w:after="0" w:line="237" w:lineRule="auto"/>
        <w:rPr>
          <w:sz w:val="20"/>
          <w:szCs w:val="20"/>
          <w:color w:val="auto"/>
        </w:rPr>
      </w:pPr>
      <w:r>
        <w:rPr>
          <w:rFonts w:ascii="Courier New" w:cs="Courier New" w:eastAsia="Courier New" w:hAnsi="Courier New"/>
          <w:sz w:val="15"/>
          <w:szCs w:val="15"/>
          <w:color w:val="auto"/>
        </w:rPr>
        <w:t>Registration No. 333-54208</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SUPPLEMENT NO. 1 DATED MAY 8, 2001</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PROSPECTUS DATED FEBRUARY 2, 2001</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73" w:lineRule="exact"/>
        <w:rPr>
          <w:sz w:val="24"/>
          <w:szCs w:val="24"/>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This Supplement No. 1 to the Prospectus dated February 2, 2001 (the "Prospectus") is filed pursuant to Rule 424(b)(3) to reflect facts and events that constitute a substantive change from or addition to the information set forth in the Prospectus. The information contained in this Supplement reflects disclosures contained in our Annual Report on Form 10-K/A, filed April 30, 2001, and our report on Form 8-K, filed May 8, 2001.</w:t>
      </w:r>
    </w:p>
    <w:p>
      <w:pPr>
        <w:spacing w:after="0" w:line="33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237" w:lineRule="auto"/>
        <w:rPr>
          <w:sz w:val="20"/>
          <w:szCs w:val="20"/>
          <w:color w:val="auto"/>
        </w:rPr>
      </w:pPr>
      <w:r>
        <w:rPr>
          <w:rFonts w:ascii="Courier New" w:cs="Courier New" w:eastAsia="Courier New" w:hAnsi="Courier New"/>
          <w:sz w:val="15"/>
          <w:szCs w:val="15"/>
          <w:color w:val="auto"/>
        </w:rPr>
        <w:t>OVERVIEW</w:t>
      </w:r>
    </w:p>
    <w:p>
      <w:pPr>
        <w:spacing w:after="0" w:line="173" w:lineRule="exact"/>
        <w:rPr>
          <w:sz w:val="24"/>
          <w:szCs w:val="24"/>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4"/>
          <w:szCs w:val="24"/>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4"/>
          <w:szCs w:val="24"/>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63" w:lineRule="exact"/>
        <w:rPr>
          <w:sz w:val="24"/>
          <w:szCs w:val="24"/>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ectPr>
          <w:pgSz w:w="11900" w:h="16838" w:orient="portrait"/>
          <w:cols w:equalWidth="0" w:num="1">
            <w:col w:w="10239"/>
          </w:cols>
          <w:pgMar w:left="220" w:top="729"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5"/>
          <w:szCs w:val="15"/>
          <w:color w:val="auto"/>
        </w:rPr>
        <w:t>CELL THERAPY BACKGROUND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 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3"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68" w:lineRule="exact"/>
        <w:rPr>
          <w:sz w:val="20"/>
          <w:szCs w:val="20"/>
          <w:color w:val="auto"/>
        </w:rPr>
      </w:pPr>
    </w:p>
    <w:p>
      <w:pPr>
        <w:ind w:left="880" w:hanging="258"/>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2" w:lineRule="exact"/>
        <w:rPr>
          <w:rFonts w:ascii="Courier New" w:cs="Courier New" w:eastAsia="Courier New" w:hAnsi="Courier New"/>
          <w:sz w:val="15"/>
          <w:szCs w:val="15"/>
          <w:color w:val="auto"/>
        </w:rPr>
      </w:pPr>
    </w:p>
    <w:p>
      <w:pPr>
        <w:ind w:left="620" w:right="3499" w:firstLine="2"/>
        <w:spacing w:after="0" w:line="261" w:lineRule="auto"/>
        <w:tabs>
          <w:tab w:leader="none" w:pos="8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techniques and processes that can be used to expand these rare cells in sufficient quantities for effective transplants; and</w:t>
      </w:r>
    </w:p>
    <w:p>
      <w:pPr>
        <w:spacing w:after="0" w:line="159" w:lineRule="exact"/>
        <w:rPr>
          <w:rFonts w:ascii="Courier New" w:cs="Courier New" w:eastAsia="Courier New" w:hAnsi="Courier New"/>
          <w:sz w:val="14"/>
          <w:szCs w:val="14"/>
          <w:color w:val="auto"/>
        </w:rPr>
      </w:pPr>
    </w:p>
    <w:p>
      <w:pPr>
        <w:ind w:left="620" w:right="3319" w:firstLine="2"/>
        <w:spacing w:after="0" w:line="235" w:lineRule="auto"/>
        <w:tabs>
          <w:tab w:leader="none" w:pos="8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65" w:lineRule="exact"/>
        <w:rPr>
          <w:sz w:val="20"/>
          <w:szCs w:val="20"/>
          <w:color w:val="auto"/>
        </w:rPr>
      </w:pPr>
    </w:p>
    <w:p>
      <w:pPr>
        <w:ind w:right="3399" w:firstLine="612"/>
        <w:spacing w:after="0" w:line="256" w:lineRule="auto"/>
        <w:rPr>
          <w:sz w:val="20"/>
          <w:szCs w:val="20"/>
          <w:color w:val="auto"/>
        </w:rPr>
      </w:pPr>
      <w:r>
        <w:rPr>
          <w:rFonts w:ascii="Courier New" w:cs="Courier New" w:eastAsia="Courier New" w:hAnsi="Courier New"/>
          <w:sz w:val="14"/>
          <w:szCs w:val="14"/>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ectPr>
          <w:pgSz w:w="11900" w:h="16838" w:orient="portrait"/>
          <w:cols w:equalWidth="0" w:num="1">
            <w:col w:w="10239"/>
          </w:cols>
          <w:pgMar w:left="220" w:top="785" w:right="1440" w:bottom="1440" w:gutter="0" w:footer="0" w:header="0"/>
        </w:sectPr>
      </w:pPr>
    </w:p>
    <w:bookmarkStart w:id="2" w:name="page3"/>
    <w:bookmarkEnd w:id="2"/>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66" w:lineRule="exact"/>
        <w:rPr>
          <w:rFonts w:ascii="Courier New" w:cs="Courier New" w:eastAsia="Courier New" w:hAnsi="Courier New"/>
          <w:sz w:val="15"/>
          <w:szCs w:val="15"/>
          <w:color w:val="auto"/>
        </w:rPr>
      </w:pPr>
    </w:p>
    <w:p>
      <w:pPr>
        <w:ind w:left="1060" w:hanging="438"/>
        <w:spacing w:after="0"/>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3" w:lineRule="exact"/>
        <w:rPr>
          <w:sz w:val="20"/>
          <w:szCs w:val="20"/>
          <w:color w:val="auto"/>
        </w:rPr>
      </w:pPr>
    </w:p>
    <w:p>
      <w:pPr>
        <w:ind w:left="1060" w:right="3239" w:hanging="438"/>
        <w:spacing w:after="0" w:line="234"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3" w:lineRule="exact"/>
        <w:rPr>
          <w:rFonts w:ascii="Courier New" w:cs="Courier New" w:eastAsia="Courier New" w:hAnsi="Courier New"/>
          <w:sz w:val="15"/>
          <w:szCs w:val="15"/>
          <w:color w:val="auto"/>
        </w:rPr>
      </w:pPr>
    </w:p>
    <w:p>
      <w:pPr>
        <w:ind w:left="1060" w:right="3499" w:hanging="438"/>
        <w:spacing w:after="0" w:line="235"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8"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w:t>
      </w:r>
    </w:p>
    <w:p>
      <w:pPr>
        <w:sectPr>
          <w:pgSz w:w="11900" w:h="16838" w:orient="portrait"/>
          <w:cols w:equalWidth="0" w:num="1">
            <w:col w:w="10239"/>
          </w:cols>
          <w:pgMar w:left="220" w:top="785" w:right="1440" w:bottom="1440" w:gutter="0" w:footer="0" w:header="0"/>
        </w:sectPr>
      </w:pPr>
    </w:p>
    <w:bookmarkStart w:id="3" w:name="page4"/>
    <w:bookmarkEnd w:id="3"/>
    <w:p>
      <w:pPr>
        <w:ind w:right="3679"/>
        <w:spacing w:after="0" w:line="236" w:lineRule="auto"/>
        <w:rPr>
          <w:sz w:val="20"/>
          <w:szCs w:val="20"/>
          <w:color w:val="auto"/>
        </w:rPr>
      </w:pPr>
      <w:r>
        <w:rPr>
          <w:rFonts w:ascii="Courier New" w:cs="Courier New" w:eastAsia="Courier New" w:hAnsi="Courier New"/>
          <w:sz w:val="15"/>
          <w:szCs w:val="15"/>
          <w:color w:val="auto"/>
        </w:rPr>
        <w:t>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 defective. Liver stem cells may be useful in the treatment of diseases such as hepatitis, cirrhosis of the liver and liver cancer.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ectPr>
          <w:pgSz w:w="11900" w:h="16838" w:orient="portrait"/>
          <w:cols w:equalWidth="0" w:num="1">
            <w:col w:w="10239"/>
          </w:cols>
          <w:pgMar w:left="220" w:top="79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5520" w:type="dxa"/>
            <w:vAlign w:val="bottom"/>
          </w:tcPr>
          <w:p>
            <w:pPr>
              <w:ind w:left="1760"/>
              <w:spacing w:after="0"/>
              <w:rPr>
                <w:sz w:val="20"/>
                <w:szCs w:val="20"/>
                <w:color w:val="auto"/>
              </w:rPr>
            </w:pPr>
            <w:r>
              <w:rPr>
                <w:rFonts w:ascii="Courier New" w:cs="Courier New" w:eastAsia="Courier New" w:hAnsi="Courier New"/>
                <w:sz w:val="15"/>
                <w:szCs w:val="15"/>
                <w:color w:val="auto"/>
              </w:rPr>
              <w:t>RESEARCH AND PRODUCT DEVELOPMENT PROGRAMS</w:t>
            </w:r>
          </w:p>
        </w:tc>
        <w:tc>
          <w:tcPr>
            <w:tcW w:w="520" w:type="dxa"/>
            <w:vAlign w:val="bottom"/>
          </w:tcPr>
          <w:p>
            <w:pPr>
              <w:spacing w:after="0"/>
              <w:rPr>
                <w:sz w:val="14"/>
                <w:szCs w:val="14"/>
                <w:color w:val="auto"/>
              </w:rPr>
            </w:pPr>
          </w:p>
        </w:tc>
        <w:tc>
          <w:tcPr>
            <w:tcW w:w="5420" w:type="dxa"/>
            <w:vAlign w:val="bottom"/>
          </w:tcPr>
          <w:p>
            <w:pPr>
              <w:spacing w:after="0"/>
              <w:rPr>
                <w:sz w:val="14"/>
                <w:szCs w:val="14"/>
                <w:color w:val="auto"/>
              </w:rPr>
            </w:pPr>
          </w:p>
        </w:tc>
      </w:tr>
      <w:tr>
        <w:trPr>
          <w:trHeight w:val="673"/>
        </w:trPr>
        <w:tc>
          <w:tcPr>
            <w:tcW w:w="5520" w:type="dxa"/>
            <w:vAlign w:val="bottom"/>
          </w:tcPr>
          <w:p>
            <w:pPr>
              <w:jc w:val="center"/>
              <w:spacing w:after="0"/>
              <w:rPr>
                <w:sz w:val="20"/>
                <w:szCs w:val="20"/>
                <w:color w:val="auto"/>
              </w:rPr>
            </w:pPr>
            <w:r>
              <w:rPr>
                <w:rFonts w:ascii="Courier New" w:cs="Courier New" w:eastAsia="Courier New" w:hAnsi="Courier New"/>
                <w:sz w:val="15"/>
                <w:szCs w:val="15"/>
                <w:color w:val="auto"/>
                <w:w w:val="96"/>
              </w:rPr>
              <w:t>PROGRAM DESCRIPTION AND OBJECTIVE</w:t>
            </w:r>
          </w:p>
        </w:tc>
        <w:tc>
          <w:tcPr>
            <w:tcW w:w="520" w:type="dxa"/>
            <w:vAlign w:val="bottom"/>
          </w:tcPr>
          <w:p>
            <w:pPr>
              <w:spacing w:after="0"/>
              <w:rPr>
                <w:sz w:val="24"/>
                <w:szCs w:val="24"/>
                <w:color w:val="auto"/>
              </w:rPr>
            </w:pPr>
          </w:p>
        </w:tc>
        <w:tc>
          <w:tcPr>
            <w:tcW w:w="5420" w:type="dxa"/>
            <w:vAlign w:val="bottom"/>
          </w:tcPr>
          <w:p>
            <w:pPr>
              <w:ind w:left="1500"/>
              <w:spacing w:after="0"/>
              <w:rPr>
                <w:sz w:val="20"/>
                <w:szCs w:val="20"/>
                <w:color w:val="auto"/>
              </w:rPr>
            </w:pPr>
            <w:r>
              <w:rPr>
                <w:rFonts w:ascii="Courier New" w:cs="Courier New" w:eastAsia="Courier New" w:hAnsi="Courier New"/>
                <w:sz w:val="15"/>
                <w:szCs w:val="15"/>
                <w:color w:val="auto"/>
              </w:rPr>
              <w:t>STAGE/STATUS(1)</w:t>
            </w:r>
          </w:p>
        </w:tc>
      </w:tr>
      <w:tr>
        <w:trPr>
          <w:trHeight w:val="168"/>
        </w:trPr>
        <w:tc>
          <w:tcPr>
            <w:tcW w:w="5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spacing w:after="0"/>
              <w:rPr>
                <w:sz w:val="14"/>
                <w:szCs w:val="14"/>
                <w:color w:val="auto"/>
              </w:rPr>
            </w:pPr>
          </w:p>
        </w:tc>
        <w:tc>
          <w:tcPr>
            <w:tcW w:w="54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ind w:left="1840"/>
              <w:spacing w:after="0"/>
              <w:rPr>
                <w:sz w:val="20"/>
                <w:szCs w:val="20"/>
                <w:color w:val="auto"/>
              </w:rPr>
            </w:pPr>
            <w:r>
              <w:rPr>
                <w:rFonts w:ascii="Courier New" w:cs="Courier New" w:eastAsia="Courier New" w:hAnsi="Courier New"/>
                <w:sz w:val="15"/>
                <w:szCs w:val="15"/>
                <w:color w:val="auto"/>
              </w:rPr>
              <w:t>HUMAN NEURAL STEM CELL</w:t>
            </w:r>
          </w:p>
        </w:tc>
        <w:tc>
          <w:tcPr>
            <w:tcW w:w="520" w:type="dxa"/>
            <w:vAlign w:val="bottom"/>
          </w:tcPr>
          <w:p>
            <w:pPr>
              <w:spacing w:after="0"/>
              <w:rPr>
                <w:sz w:val="24"/>
                <w:szCs w:val="24"/>
                <w:color w:val="auto"/>
              </w:rPr>
            </w:pPr>
          </w:p>
        </w:tc>
        <w:tc>
          <w:tcPr>
            <w:tcW w:w="5420" w:type="dxa"/>
            <w:vAlign w:val="bottom"/>
          </w:tcPr>
          <w:p>
            <w:pPr>
              <w:ind w:left="2280"/>
              <w:spacing w:after="0"/>
              <w:rPr>
                <w:sz w:val="20"/>
                <w:szCs w:val="20"/>
                <w:color w:val="auto"/>
              </w:rPr>
            </w:pPr>
            <w:r>
              <w:rPr>
                <w:rFonts w:ascii="Courier New" w:cs="Courier New" w:eastAsia="Courier New" w:hAnsi="Courier New"/>
                <w:sz w:val="15"/>
                <w:szCs w:val="15"/>
                <w:color w:val="auto"/>
              </w:rPr>
              <w:t>PRECLINICAL</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 or replace damaged central nervous system tissue</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Demonstrated IN VITRO the ability to initiate and expand</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spinal cord, degenerated retinas and tissue</w:t>
            </w: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stem (including spinal cord, degenerated retinas and tissue</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affected by certain genetic disorders)</w:t>
            </w: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cell-containing human neural cultures and specialization</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into affected by certain genetic disorders) three types of</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central nervous system cells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Demonstrated the ability of neurosphere-initiating stem</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cells from human brain</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Demonstrated in rodent studies that transplanted human</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brain-derived stem cells are accepted and properly</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specialized into the three major cell types of the central</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nervous system</w:t>
            </w:r>
          </w:p>
        </w:tc>
      </w:tr>
      <w:tr>
        <w:trPr>
          <w:trHeight w:val="336"/>
        </w:trPr>
        <w:tc>
          <w:tcPr>
            <w:tcW w:w="5520" w:type="dxa"/>
            <w:vAlign w:val="bottom"/>
          </w:tcPr>
          <w:p>
            <w:pPr>
              <w:ind w:left="1760"/>
              <w:spacing w:after="0"/>
              <w:rPr>
                <w:sz w:val="20"/>
                <w:szCs w:val="20"/>
                <w:color w:val="auto"/>
              </w:rPr>
            </w:pPr>
            <w:r>
              <w:rPr>
                <w:rFonts w:ascii="Courier New" w:cs="Courier New" w:eastAsia="Courier New" w:hAnsi="Courier New"/>
                <w:sz w:val="15"/>
                <w:szCs w:val="15"/>
                <w:color w:val="auto"/>
              </w:rPr>
              <w:t>PANCREAS ISLET STEM CELL</w:t>
            </w:r>
          </w:p>
        </w:tc>
        <w:tc>
          <w:tcPr>
            <w:tcW w:w="520" w:type="dxa"/>
            <w:vAlign w:val="bottom"/>
          </w:tcPr>
          <w:p>
            <w:pPr>
              <w:spacing w:after="0"/>
              <w:rPr>
                <w:sz w:val="24"/>
                <w:szCs w:val="24"/>
                <w:color w:val="auto"/>
              </w:rPr>
            </w:pPr>
          </w:p>
        </w:tc>
        <w:tc>
          <w:tcPr>
            <w:tcW w:w="5420" w:type="dxa"/>
            <w:vAlign w:val="bottom"/>
          </w:tcPr>
          <w:p>
            <w:pPr>
              <w:ind w:left="2360"/>
              <w:spacing w:after="0"/>
              <w:rPr>
                <w:sz w:val="20"/>
                <w:szCs w:val="20"/>
                <w:color w:val="auto"/>
              </w:rPr>
            </w:pPr>
            <w:r>
              <w:rPr>
                <w:rFonts w:ascii="Courier New" w:cs="Courier New" w:eastAsia="Courier New" w:hAnsi="Courier New"/>
                <w:sz w:val="15"/>
                <w:szCs w:val="15"/>
                <w:color w:val="auto"/>
              </w:rPr>
              <w:t>RESEARCH</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 or replace damaged pancreas islet tissue</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Identified markers on the surface of cells to identify,</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isolate and culture islet stem cells of the pancreas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Commenced small animal testing</w:t>
            </w:r>
          </w:p>
        </w:tc>
      </w:tr>
      <w:tr>
        <w:trPr>
          <w:trHeight w:val="336"/>
        </w:trPr>
        <w:tc>
          <w:tcPr>
            <w:tcW w:w="5520" w:type="dxa"/>
            <w:vAlign w:val="bottom"/>
          </w:tcPr>
          <w:p>
            <w:pPr>
              <w:jc w:val="center"/>
              <w:spacing w:after="0"/>
              <w:rPr>
                <w:sz w:val="20"/>
                <w:szCs w:val="20"/>
                <w:color w:val="auto"/>
              </w:rPr>
            </w:pPr>
            <w:r>
              <w:rPr>
                <w:rFonts w:ascii="Courier New" w:cs="Courier New" w:eastAsia="Courier New" w:hAnsi="Courier New"/>
                <w:sz w:val="15"/>
                <w:szCs w:val="15"/>
                <w:color w:val="auto"/>
                <w:w w:val="97"/>
              </w:rPr>
              <w:t>LIVER STEM CELL</w:t>
            </w:r>
          </w:p>
        </w:tc>
        <w:tc>
          <w:tcPr>
            <w:tcW w:w="520" w:type="dxa"/>
            <w:vAlign w:val="bottom"/>
          </w:tcPr>
          <w:p>
            <w:pPr>
              <w:spacing w:after="0"/>
              <w:rPr>
                <w:sz w:val="24"/>
                <w:szCs w:val="24"/>
                <w:color w:val="auto"/>
              </w:rPr>
            </w:pPr>
          </w:p>
        </w:tc>
        <w:tc>
          <w:tcPr>
            <w:tcW w:w="5420" w:type="dxa"/>
            <w:vAlign w:val="bottom"/>
          </w:tcPr>
          <w:p>
            <w:pPr>
              <w:ind w:left="2360"/>
              <w:spacing w:after="0"/>
              <w:rPr>
                <w:sz w:val="20"/>
                <w:szCs w:val="20"/>
                <w:color w:val="auto"/>
              </w:rPr>
            </w:pPr>
            <w:r>
              <w:rPr>
                <w:rFonts w:ascii="Courier New" w:cs="Courier New" w:eastAsia="Courier New" w:hAnsi="Courier New"/>
                <w:sz w:val="15"/>
                <w:szCs w:val="15"/>
                <w:color w:val="auto"/>
              </w:rPr>
              <w:t>RESEARCH</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Repair or replace damaged liver tissue including tissue</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Demonstrated the production of hepatocytes from purified</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resulting from certain metabolic genetic diseases</w:t>
            </w: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mouse resulting from certain metabolic genetic diseases</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hematopoietic stem cells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Identified IN VITRO culture assay for growth of human</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bipotent liver progenitor cells that can produce both bile</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duct and hepatocytes</w:t>
            </w:r>
          </w:p>
        </w:tc>
      </w:tr>
      <w:tr>
        <w:trPr>
          <w:trHeight w:val="336"/>
        </w:trPr>
        <w:tc>
          <w:tcPr>
            <w:tcW w:w="552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Showed that the in vitro culture of human bipotent liver</w:t>
            </w:r>
          </w:p>
        </w:tc>
      </w:tr>
      <w:tr>
        <w:trPr>
          <w:trHeight w:val="168"/>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cells can also grow human hepatitis virus</w:t>
            </w: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173" w:lineRule="exact"/>
        <w:rPr>
          <w:sz w:val="20"/>
          <w:szCs w:val="20"/>
          <w:color w:val="auto"/>
        </w:rPr>
      </w:pPr>
    </w:p>
    <w:p>
      <w:pPr>
        <w:ind w:left="620" w:right="4720" w:hanging="610"/>
        <w:spacing w:after="0" w:line="236"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3" w:lineRule="exact"/>
        <w:rPr>
          <w:sz w:val="20"/>
          <w:szCs w:val="20"/>
          <w:color w:val="auto"/>
        </w:rPr>
      </w:pPr>
    </w:p>
    <w:p>
      <w:pPr>
        <w:ind w:right="4460" w:firstLine="612"/>
        <w:spacing w:after="0" w:line="236"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3" w:lineRule="exact"/>
        <w:rPr>
          <w:sz w:val="20"/>
          <w:szCs w:val="20"/>
          <w:color w:val="auto"/>
        </w:rPr>
      </w:pPr>
    </w:p>
    <w:p>
      <w:pPr>
        <w:ind w:right="4620" w:firstLine="612"/>
        <w:spacing w:after="0" w:line="236"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76" w:lineRule="exact"/>
        <w:rPr>
          <w:sz w:val="20"/>
          <w:szCs w:val="20"/>
          <w:color w:val="auto"/>
        </w:rPr>
      </w:pPr>
    </w:p>
    <w:p>
      <w:pPr>
        <w:jc w:val="both"/>
        <w:ind w:right="4460" w:firstLine="612"/>
        <w:spacing w:after="0" w:line="235"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w:t>
      </w:r>
    </w:p>
    <w:p>
      <w:pPr>
        <w:sectPr>
          <w:pgSz w:w="11900" w:h="16838" w:orient="portrait"/>
          <w:cols w:equalWidth="0" w:num="1">
            <w:col w:w="11460"/>
          </w:cols>
          <w:pgMar w:left="220" w:top="785" w:right="219" w:bottom="1440" w:gutter="0" w:footer="0" w:header="0"/>
        </w:sectPr>
      </w:pPr>
    </w:p>
    <w:bookmarkStart w:id="5" w:name="page6"/>
    <w:bookmarkEnd w:id="5"/>
    <w:p>
      <w:pPr>
        <w:ind w:right="3319"/>
        <w:spacing w:after="0" w:line="255" w:lineRule="auto"/>
        <w:rPr>
          <w:sz w:val="20"/>
          <w:szCs w:val="20"/>
          <w:color w:val="auto"/>
        </w:rPr>
      </w:pPr>
      <w:r>
        <w:rPr>
          <w:rFonts w:ascii="Courier New" w:cs="Courier New" w:eastAsia="Courier New" w:hAnsi="Courier New"/>
          <w:sz w:val="14"/>
          <w:szCs w:val="14"/>
          <w:color w:val="auto"/>
        </w:rPr>
        <w:t>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6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A U.S. patent on those methods has since been allowed. We are expanding our preclinical efforts toward the goal of selecting the proper indications to pursue.</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6"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In January 2000, we reported what we regard as an even more important result: In long term animal studies, our researchers were able to take these purified and expanded stem cells and transplant them into the normal brains of immunodeficient mouse hosts, where they take hold and grow into neurons and glial cells.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7"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 5 million people in the United States and there are no effective long-term therapies currently available. We believe the ability to purify human brain stem cells directly from fresh tissue is important because:</w:t>
      </w:r>
    </w:p>
    <w:p>
      <w:pPr>
        <w:sectPr>
          <w:pgSz w:w="11900" w:h="16838" w:orient="portrait"/>
          <w:cols w:equalWidth="0" w:num="1">
            <w:col w:w="10239"/>
          </w:cols>
          <w:pgMar w:left="220" w:top="792" w:right="1440" w:bottom="1440" w:gutter="0" w:footer="0" w:header="0"/>
        </w:sectPr>
      </w:pPr>
    </w:p>
    <w:bookmarkStart w:id="6" w:name="page7"/>
    <w:bookmarkEnd w:id="6"/>
    <w:p>
      <w:pPr>
        <w:ind w:left="1060" w:right="3399" w:hanging="438"/>
        <w:spacing w:after="0" w:line="235"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5" w:lineRule="exact"/>
        <w:rPr>
          <w:rFonts w:ascii="Courier New" w:cs="Courier New" w:eastAsia="Courier New" w:hAnsi="Courier New"/>
          <w:sz w:val="15"/>
          <w:szCs w:val="15"/>
          <w:color w:val="auto"/>
        </w:rPr>
      </w:pPr>
    </w:p>
    <w:p>
      <w:pPr>
        <w:ind w:left="1060" w:right="3239" w:hanging="438"/>
        <w:spacing w:after="0" w:line="236"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 derived stem cell cultures might be genetically modified to produce those proteins. The modified brain stem cells could be transplanted into patients with these genetic diseases;</w:t>
      </w:r>
    </w:p>
    <w:p>
      <w:pPr>
        <w:spacing w:after="0" w:line="177" w:lineRule="exact"/>
        <w:rPr>
          <w:rFonts w:ascii="Courier New" w:cs="Courier New" w:eastAsia="Courier New" w:hAnsi="Courier New"/>
          <w:sz w:val="15"/>
          <w:szCs w:val="15"/>
          <w:color w:val="auto"/>
        </w:rPr>
      </w:pPr>
    </w:p>
    <w:p>
      <w:pPr>
        <w:ind w:left="1060" w:right="3319" w:hanging="438"/>
        <w:spacing w:after="0" w:line="236"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has, to the present, been conducted by Nora Sarvetnick, Ph.D., of The Scripps Research Institute, in collaboration with some of our senior researchers. It is our intention to bring the research on stem and progenitor cells of the pancreas in house We expect that Dr. Sarvetnick will continue to consult with us.</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5"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8"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6" w:lineRule="exact"/>
        <w:rPr>
          <w:sz w:val="20"/>
          <w:szCs w:val="20"/>
          <w:color w:val="auto"/>
        </w:rPr>
      </w:pPr>
    </w:p>
    <w:p>
      <w:pPr>
        <w:ind w:right="3399" w:firstLine="612"/>
        <w:spacing w:after="0" w:line="235" w:lineRule="auto"/>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w:t>
      </w:r>
    </w:p>
    <w:p>
      <w:pPr>
        <w:sectPr>
          <w:pgSz w:w="11900" w:h="16838" w:orient="portrait"/>
          <w:cols w:equalWidth="0" w:num="1">
            <w:col w:w="10239"/>
          </w:cols>
          <w:pgMar w:left="220" w:top="792" w:right="1440" w:bottom="1440" w:gutter="0" w:footer="0" w:header="0"/>
        </w:sectPr>
      </w:pPr>
    </w:p>
    <w:bookmarkStart w:id="7" w:name="page8"/>
    <w:bookmarkEnd w:id="7"/>
    <w:p>
      <w:pPr>
        <w:ind w:right="3319"/>
        <w:spacing w:after="0" w:line="235" w:lineRule="auto"/>
        <w:rPr>
          <w:sz w:val="20"/>
          <w:szCs w:val="20"/>
          <w:color w:val="auto"/>
        </w:rPr>
      </w:pPr>
      <w:r>
        <w:rPr>
          <w:rFonts w:ascii="Courier New" w:cs="Courier New" w:eastAsia="Courier New" w:hAnsi="Courier New"/>
          <w:sz w:val="15"/>
          <w:szCs w:val="15"/>
          <w:color w:val="auto"/>
        </w:rPr>
        <w:t>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6" w:lineRule="exact"/>
        <w:rPr>
          <w:sz w:val="20"/>
          <w:szCs w:val="20"/>
          <w:color w:val="auto"/>
        </w:rPr>
      </w:pPr>
    </w:p>
    <w:p>
      <w:pPr>
        <w:ind w:right="3399" w:firstLine="612"/>
        <w:spacing w:after="0" w:line="255" w:lineRule="auto"/>
        <w:rPr>
          <w:sz w:val="20"/>
          <w:szCs w:val="20"/>
          <w:color w:val="auto"/>
        </w:rPr>
      </w:pPr>
      <w:r>
        <w:rPr>
          <w:rFonts w:ascii="Courier New" w:cs="Courier New" w:eastAsia="Courier New" w:hAnsi="Courier New"/>
          <w:sz w:val="14"/>
          <w:szCs w:val="14"/>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6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6"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w:t>
      </w:r>
    </w:p>
    <w:p>
      <w:pPr>
        <w:sectPr>
          <w:pgSz w:w="11900" w:h="16838" w:orient="portrait"/>
          <w:cols w:equalWidth="0" w:num="1">
            <w:col w:w="10239"/>
          </w:cols>
          <w:pgMar w:left="220" w:top="792" w:right="1440" w:bottom="1440" w:gutter="0" w:footer="0" w:header="0"/>
        </w:sectPr>
      </w:pPr>
    </w:p>
    <w:bookmarkStart w:id="8" w:name="page9"/>
    <w:bookmarkEnd w:id="8"/>
    <w:p>
      <w:pPr>
        <w:ind w:right="3319"/>
        <w:spacing w:after="0" w:line="235" w:lineRule="auto"/>
        <w:rPr>
          <w:sz w:val="20"/>
          <w:szCs w:val="20"/>
          <w:color w:val="auto"/>
        </w:rPr>
      </w:pPr>
      <w:r>
        <w:rPr>
          <w:rFonts w:ascii="Courier New" w:cs="Courier New" w:eastAsia="Courier New" w:hAnsi="Courier New"/>
          <w:sz w:val="15"/>
          <w:szCs w:val="15"/>
          <w:color w:val="auto"/>
        </w:rPr>
        <w:t>of our board of directors. We, as the sole stockholder of our subsidiary, voted on February 23, 2000, to amend its Certificate of Incorporation to change its name to StemCells California,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 $112.76 per share, for total proceeds of approximately $2,550,000. On April 30, 2001, we sold the remaining 103,577 Modex shares for a net price of 87.30 Swiss Francs per share, which converts to approximately $50.30, for total proceeds of approximately $5,200,000.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66"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Our research agreement with Scripps expired on November 14, 2000. It is our intention to bring the research on stem and progenitor cells of the pancreas in house. Dr. Nora Sarvetnick, who led the 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ectPr>
          <w:pgSz w:w="11900" w:h="16838" w:orient="portrait"/>
          <w:cols w:equalWidth="0" w:num="1">
            <w:col w:w="10239"/>
          </w:cols>
          <w:pgMar w:left="220" w:top="79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LICENSE AGREEMENTS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NEUROSPHERES, LTD.</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ectPr>
          <w:pgSz w:w="11900" w:h="16838" w:orient="portrait"/>
          <w:cols w:equalWidth="0" w:num="1">
            <w:col w:w="10239"/>
          </w:cols>
          <w:pgMar w:left="220" w:top="7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6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twenty-two issued U.S. patents, seven of which issued in 2000. An additional twenty-seven patent applications are pending, five of which have been allowed.</w:t>
      </w:r>
    </w:p>
    <w:p>
      <w:pPr>
        <w:spacing w:after="0" w:line="177"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and Application Number WO 00/36091 (An animal model for identifying a common stem/progenitor to liver cells and pancreatic cells); Application Number WO98/50526 (Generation, characterization, and isolation of neuroepithelial stem cells and lineage restricted intermediate precursor); Application Number WO 00/50572 (Use of collagenase in the preparation of neural stem cell cultures); and Application Number WO 00/47762 (Enriched neural stem cell populations and methods of identifying, isolating, and enriching neural stem cells).</w:t>
      </w:r>
    </w:p>
    <w:p>
      <w:pPr>
        <w:spacing w:after="0" w:line="16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346"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University of California, San Diego: U.S. Patent Number 5,776,948 (Method of production of neuroblasts); U.S. Patent Number 6,013,521 (Method of production of neuroblasts); U.S. Patent Number 6,020,197 (Method of production of neuroblasts); and Application Number WO 94/16059 (Method of production of neuroblasts).</w:t>
      </w:r>
    </w:p>
    <w:p>
      <w:pPr>
        <w:spacing w:after="0" w:line="175"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5,935,811 (Neuron restrictive silencer factor proteins); Application Number WO 96/27665 (Neuron restrictive silencer factor proteins); U.S. Patent</w:t>
      </w:r>
    </w:p>
    <w:p>
      <w:pPr>
        <w:sectPr>
          <w:pgSz w:w="11900" w:h="16838" w:orient="portrait"/>
          <w:cols w:equalWidth="0" w:num="1">
            <w:col w:w="10239"/>
          </w:cols>
          <w:pgMar w:left="220" w:top="785" w:right="1440" w:bottom="1440" w:gutter="0" w:footer="0" w:header="0"/>
        </w:sectPr>
      </w:pPr>
    </w:p>
    <w:bookmarkStart w:id="11" w:name="page12"/>
    <w:bookmarkEnd w:id="11"/>
    <w:p>
      <w:pPr>
        <w:ind w:right="3239"/>
        <w:spacing w:after="0" w:line="255" w:lineRule="auto"/>
        <w:rPr>
          <w:sz w:val="20"/>
          <w:szCs w:val="20"/>
          <w:color w:val="auto"/>
        </w:rPr>
      </w:pPr>
      <w:r>
        <w:rPr>
          <w:rFonts w:ascii="Courier New" w:cs="Courier New" w:eastAsia="Courier New" w:hAnsi="Courier New"/>
          <w:sz w:val="14"/>
          <w:szCs w:val="14"/>
          <w:color w:val="auto"/>
        </w:rPr>
        <w:t>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 VITRO neural crest stem cell assay); U.S. Patent 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164" w:lineRule="exact"/>
        <w:rPr>
          <w:sz w:val="20"/>
          <w:szCs w:val="20"/>
          <w:color w:val="auto"/>
        </w:rPr>
      </w:pPr>
    </w:p>
    <w:p>
      <w:pPr>
        <w:ind w:right="3759" w:firstLine="612"/>
        <w:spacing w:after="0" w:line="235"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9"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8"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177"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the Company's expected products. The Company cannot predict which, if any, of such applications will issue as patents or the claims that might be allowed. The Company is aware that a number of companies have filed applications relating to stem cells. The Company is also aware of a number of patent applications and patents claiming use of genetically modified cells to treat disease, disorder or injury. The Company is aware of two patents issued to a competitor claiming certain methods for treating defective, diseased or damaged cells in the mammalian CNS by grafting genetically modified donor cells from the same mammalian species.</w:t>
      </w:r>
    </w:p>
    <w:p>
      <w:pPr>
        <w:sectPr>
          <w:pgSz w:w="11900" w:h="16838" w:orient="portrait"/>
          <w:cols w:equalWidth="0" w:num="1">
            <w:col w:w="10239"/>
          </w:cols>
          <w:pgMar w:left="220" w:top="792" w:right="1440" w:bottom="1440" w:gutter="0" w:footer="0" w:header="0"/>
        </w:sectPr>
      </w:pPr>
    </w:p>
    <w:bookmarkStart w:id="12" w:name="page13"/>
    <w:bookmarkEnd w:id="12"/>
    <w:p>
      <w:pPr>
        <w:ind w:right="3239" w:firstLine="612"/>
        <w:spacing w:after="0" w:line="237" w:lineRule="auto"/>
        <w:rPr>
          <w:sz w:val="20"/>
          <w:szCs w:val="20"/>
          <w:color w:val="auto"/>
        </w:rPr>
      </w:pPr>
      <w:r>
        <w:rPr>
          <w:rFonts w:ascii="Courier New" w:cs="Courier New" w:eastAsia="Courier New" w:hAnsi="Courier New"/>
          <w:sz w:val="15"/>
          <w:szCs w:val="15"/>
          <w:color w:val="auto"/>
        </w:rPr>
        <w:t>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 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 The Company's licenses may be canceled or converted to non-exclusive licenses if the Company fails to use the relevant technology or the Company breaches its agreements. Loss of such licenses could expose the Company to the risks of third party patents and/or technology. There can be no assurance that any of these licenses will provide effective protection against the Company's competitors.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6"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w:t>
      </w:r>
    </w:p>
    <w:p>
      <w:pPr>
        <w:sectPr>
          <w:pgSz w:w="11900" w:h="16838" w:orient="portrait"/>
          <w:cols w:equalWidth="0" w:num="1">
            <w:col w:w="10239"/>
          </w:cols>
          <w:pgMar w:left="220" w:top="792" w:right="1440" w:bottom="1440" w:gutter="0" w:footer="0" w:header="0"/>
        </w:sectPr>
      </w:pPr>
    </w:p>
    <w:bookmarkStart w:id="13" w:name="page14"/>
    <w:bookmarkEnd w:id="13"/>
    <w:p>
      <w:pPr>
        <w:ind w:right="4800"/>
        <w:spacing w:after="0" w:line="235" w:lineRule="auto"/>
        <w:rPr>
          <w:sz w:val="20"/>
          <w:szCs w:val="20"/>
          <w:color w:val="auto"/>
        </w:rPr>
      </w:pPr>
      <w:r>
        <w:rPr>
          <w:rFonts w:ascii="Courier New" w:cs="Courier New" w:eastAsia="Courier New" w:hAnsi="Courier New"/>
          <w:sz w:val="15"/>
          <w:szCs w:val="15"/>
          <w:color w:val="auto"/>
        </w:rPr>
        <w:t>regulatory approvals, other factors include, in certain instances, obtaining marketing exclusivity under the Orphan Drug Act, availability of supply, marketing and sales capability, reimbursement coverage, price, and patent and technology position.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4620" w:firstLine="612"/>
        <w:spacing w:after="0" w:line="235"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5"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FDA APPROVAL</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steps required before our potential products may be marketed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include:</w:t>
      </w:r>
    </w:p>
    <w:p>
      <w:pPr>
        <w:sectPr>
          <w:pgSz w:w="11900" w:h="16838" w:orient="portrait"/>
          <w:cols w:equalWidth="0" w:num="1">
            <w:col w:w="11540"/>
          </w:cols>
          <w:pgMar w:left="220" w:top="792" w:right="1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STEPS</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Preclinical laboratory and animal tests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4"/>
        <w:spacing w:after="0" w:line="235" w:lineRule="auto"/>
        <w:rPr>
          <w:sz w:val="20"/>
          <w:szCs w:val="20"/>
          <w:color w:val="auto"/>
        </w:rPr>
      </w:pPr>
      <w:r>
        <w:rPr>
          <w:rFonts w:ascii="Courier New" w:cs="Courier New" w:eastAsia="Courier New" w:hAnsi="Courier New"/>
          <w:sz w:val="15"/>
          <w:szCs w:val="15"/>
          <w:color w:val="auto"/>
        </w:rPr>
        <w:t>2.Submission to the FDA of an application for an Investigational New Drug Exemption, or IND, which must become effective before U.S. human clinical trials may commence</w:t>
      </w:r>
    </w:p>
    <w:p>
      <w:pPr>
        <w:spacing w:after="0" w:line="175" w:lineRule="exact"/>
        <w:rPr>
          <w:sz w:val="20"/>
          <w:szCs w:val="20"/>
          <w:color w:val="auto"/>
        </w:rPr>
      </w:pPr>
    </w:p>
    <w:p>
      <w:pPr>
        <w:ind w:left="180" w:hanging="170"/>
        <w:spacing w:after="0" w:line="234" w:lineRule="auto"/>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CONSIDERATIONS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240"/>
        <w:spacing w:after="0" w:line="256" w:lineRule="auto"/>
        <w:rPr>
          <w:sz w:val="20"/>
          <w:szCs w:val="20"/>
          <w:color w:val="auto"/>
        </w:rPr>
      </w:pPr>
      <w:r>
        <w:rPr>
          <w:rFonts w:ascii="Courier New" w:cs="Courier New" w:eastAsia="Courier New" w:hAnsi="Courier New"/>
          <w:sz w:val="14"/>
          <w:szCs w:val="14"/>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6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7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 Clinical development is traditionally conducted in three sequential phases, which may overlap:</w:t>
      </w:r>
    </w:p>
    <w:p>
      <w:pPr>
        <w:spacing w:after="0" w:line="331" w:lineRule="exact"/>
        <w:rPr>
          <w:sz w:val="20"/>
          <w:szCs w:val="20"/>
          <w:color w:val="auto"/>
        </w:rPr>
      </w:pPr>
    </w:p>
    <w:p>
      <w:pPr>
        <w:ind w:left="780" w:right="160" w:hanging="430"/>
        <w:spacing w:after="0" w:line="261"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 into selected patient populations to</w:t>
      </w:r>
    </w:p>
    <w:p>
      <w:pPr>
        <w:sectPr>
          <w:pgSz w:w="11900" w:h="16838" w:orient="portrait"/>
          <w:cols w:equalWidth="0" w:num="2">
            <w:col w:w="4900" w:space="620"/>
            <w:col w:w="6020"/>
          </w:cols>
          <w:pgMar w:left="220" w:top="792" w:right="1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right="520" w:hanging="170"/>
        <w:spacing w:after="0" w:line="234" w:lineRule="auto"/>
        <w:tabs>
          <w:tab w:leader="none" w:pos="2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341" w:lineRule="exact"/>
        <w:rPr>
          <w:sz w:val="20"/>
          <w:szCs w:val="20"/>
          <w:color w:val="auto"/>
        </w:rPr>
      </w:pPr>
    </w:p>
    <w:p>
      <w:pPr>
        <w:ind w:left="180" w:hanging="174"/>
        <w:spacing w:after="0" w:line="236" w:lineRule="auto"/>
        <w:rPr>
          <w:sz w:val="20"/>
          <w:szCs w:val="20"/>
          <w:color w:val="auto"/>
        </w:rPr>
      </w:pPr>
      <w:r>
        <w:rPr>
          <w:rFonts w:ascii="Courier New" w:cs="Courier New" w:eastAsia="Courier New" w:hAnsi="Courier New"/>
          <w:sz w:val="15"/>
          <w:szCs w:val="15"/>
          <w:color w:val="auto"/>
        </w:rPr>
        <w:t>5.FDA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left="860"/>
        <w:spacing w:after="0" w:line="235" w:lineRule="auto"/>
        <w:rPr>
          <w:sz w:val="20"/>
          <w:szCs w:val="20"/>
          <w:color w:val="auto"/>
        </w:rPr>
      </w:pPr>
      <w:r>
        <w:rPr>
          <w:rFonts w:ascii="Courier New" w:cs="Courier New" w:eastAsia="Courier New" w:hAnsi="Courier New"/>
          <w:sz w:val="15"/>
          <w:szCs w:val="15"/>
          <w:color w:val="auto"/>
        </w:rPr>
        <w:t>test for adverse reactions, dosage tolerance, absorption and distribution, metabolism, excretion and clinical pharmacology.</w:t>
      </w:r>
    </w:p>
    <w:p>
      <w:pPr>
        <w:spacing w:after="0" w:line="174" w:lineRule="exact"/>
        <w:rPr>
          <w:sz w:val="20"/>
          <w:szCs w:val="20"/>
          <w:color w:val="auto"/>
        </w:rPr>
      </w:pPr>
    </w:p>
    <w:p>
      <w:pPr>
        <w:ind w:left="860" w:hanging="430"/>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w:t>
      </w:r>
    </w:p>
    <w:p>
      <w:pPr>
        <w:spacing w:after="0" w:line="9" w:lineRule="exact"/>
        <w:rPr>
          <w:rFonts w:ascii="Courier New" w:cs="Courier New" w:eastAsia="Courier New" w:hAnsi="Courier New"/>
          <w:sz w:val="14"/>
          <w:szCs w:val="14"/>
          <w:color w:val="auto"/>
        </w:rPr>
      </w:pPr>
    </w:p>
    <w:p>
      <w:pPr>
        <w:ind w:left="860" w:firstLine="7"/>
        <w:spacing w:after="0" w:line="236" w:lineRule="auto"/>
        <w:tabs>
          <w:tab w:leader="none" w:pos="12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5" w:lineRule="exact"/>
        <w:rPr>
          <w:rFonts w:ascii="Courier New" w:cs="Courier New" w:eastAsia="Courier New" w:hAnsi="Courier New"/>
          <w:sz w:val="15"/>
          <w:szCs w:val="15"/>
          <w:color w:val="auto"/>
        </w:rPr>
      </w:pPr>
    </w:p>
    <w:p>
      <w:pPr>
        <w:ind w:left="860" w:right="80" w:hanging="430"/>
        <w:spacing w:after="0" w:line="235" w:lineRule="auto"/>
        <w:tabs>
          <w:tab w:leader="none" w:pos="8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III trials are undertaken to conclusively demonstrate clinical efficacy and to test further for safety within an expanded patient population, generally at multiple study sites.</w:t>
      </w:r>
    </w:p>
    <w:p>
      <w:pPr>
        <w:spacing w:after="0" w:line="175" w:lineRule="exact"/>
        <w:rPr>
          <w:sz w:val="20"/>
          <w:szCs w:val="20"/>
          <w:color w:val="auto"/>
        </w:rPr>
      </w:pPr>
    </w:p>
    <w:p>
      <w:pPr>
        <w:ind w:left="80" w:right="80"/>
        <w:spacing w:after="0" w:line="235"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4" w:lineRule="exact"/>
        <w:rPr>
          <w:sz w:val="20"/>
          <w:szCs w:val="20"/>
          <w:color w:val="auto"/>
        </w:rPr>
      </w:pPr>
    </w:p>
    <w:p>
      <w:pPr>
        <w:ind w:left="80" w:right="80"/>
        <w:spacing w:after="0" w:line="235"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4"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5000" w:space="440"/>
            <w:col w:w="6100"/>
          </w:cols>
          <w:pgMar w:left="220" w:top="960" w:right="139" w:bottom="1440" w:gutter="0" w:footer="0" w:header="0"/>
        </w:sectPr>
      </w:pPr>
    </w:p>
    <w:p>
      <w:pPr>
        <w:spacing w:after="0" w:line="144"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FDA MANUFACTURING REQUIREMENTS</w:t>
      </w:r>
    </w:p>
    <w:p>
      <w:pPr>
        <w:spacing w:after="0" w:line="173"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ORPHAN DRUG ACT</w:t>
      </w:r>
    </w:p>
    <w:p>
      <w:pPr>
        <w:spacing w:after="0" w:line="173" w:lineRule="exact"/>
        <w:rPr>
          <w:sz w:val="20"/>
          <w:szCs w:val="20"/>
          <w:color w:val="auto"/>
        </w:rPr>
      </w:pPr>
    </w:p>
    <w:p>
      <w:pPr>
        <w:ind w:right="4540" w:firstLine="612"/>
        <w:spacing w:after="0" w:line="236"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w:t>
      </w:r>
    </w:p>
    <w:p>
      <w:pPr>
        <w:sectPr>
          <w:pgSz w:w="11900" w:h="16838" w:orient="portrait"/>
          <w:cols w:equalWidth="0" w:num="1">
            <w:col w:w="11540"/>
          </w:cols>
          <w:pgMar w:left="220" w:top="960" w:right="139" w:bottom="1440" w:gutter="0" w:footer="0" w:header="0"/>
          <w:type w:val="continuous"/>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FDA REGULATIONS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REGULATIONS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As of December 31, 2000, we had twenty-six full-time employees, of whom six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ectPr>
          <w:pgSz w:w="11900" w:h="16838" w:orient="portrait"/>
          <w:cols w:equalWidth="0" w:num="1">
            <w:col w:w="10239"/>
          </w:cols>
          <w:pgMar w:left="220" w:top="79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74" w:lineRule="exact"/>
        <w:rPr>
          <w:sz w:val="20"/>
          <w:szCs w:val="20"/>
          <w:color w:val="auto"/>
        </w:rPr>
      </w:pPr>
    </w:p>
    <w:p>
      <w:pPr>
        <w:ind w:left="1060" w:right="3239" w:hanging="438"/>
        <w:spacing w:after="0" w:line="236"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5" w:lineRule="exact"/>
        <w:rPr>
          <w:rFonts w:ascii="Courier New" w:cs="Courier New" w:eastAsia="Courier New" w:hAnsi="Courier New"/>
          <w:sz w:val="15"/>
          <w:szCs w:val="15"/>
          <w:color w:val="auto"/>
        </w:rPr>
      </w:pPr>
    </w:p>
    <w:p>
      <w:pPr>
        <w:ind w:left="1060" w:right="3679" w:hanging="438"/>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3" w:lineRule="exact"/>
        <w:rPr>
          <w:rFonts w:ascii="Courier New" w:cs="Courier New" w:eastAsia="Courier New" w:hAnsi="Courier New"/>
          <w:sz w:val="15"/>
          <w:szCs w:val="15"/>
          <w:color w:val="auto"/>
        </w:rPr>
      </w:pPr>
    </w:p>
    <w:p>
      <w:pPr>
        <w:ind w:left="1060" w:right="3319" w:hanging="438"/>
        <w:spacing w:after="0" w:line="235"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jc w:val="both"/>
        <w:ind w:right="3319" w:firstLine="612"/>
        <w:spacing w:after="0" w:line="254" w:lineRule="auto"/>
        <w:rPr>
          <w:sz w:val="20"/>
          <w:szCs w:val="20"/>
          <w:color w:val="auto"/>
        </w:rPr>
      </w:pPr>
      <w:r>
        <w:rPr>
          <w:rFonts w:ascii="Courier New" w:cs="Courier New" w:eastAsia="Courier New" w:hAnsi="Courier New"/>
          <w:sz w:val="14"/>
          <w:szCs w:val="14"/>
          <w:color w:val="auto"/>
        </w:rPr>
        <w:t>Our current research laboratories and administrative offices are located in a leased 7,950 square-foot multipurpose building housing wet labs, specialty research areas and administrative offices located in Sunnyvale, California. The facilities are leased pursuant to lease agreements expiring August 31, 2001.</w:t>
      </w:r>
    </w:p>
    <w:p>
      <w:pPr>
        <w:spacing w:after="0" w:line="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These facilities were sufficient to accommodate our needs through the end of 2000, but our expanding endeavors require more space for both research and development in the future.</w:t>
      </w:r>
    </w:p>
    <w:p>
      <w:pPr>
        <w:spacing w:after="0" w:line="174"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have therefore entered a 5-year lease, as of February 1, 2001, for a 40,000 square foot facility, located in the Stanford Research Park in Palo Alto, California, which includes vivarium space as well as laboratories, offices, and a GMP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expect to vacate our current premises and be moved into the new facility by May, 2001.</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fifteen-year lease agreement, as well as a 21,000 square-foot pilot manufacturing facility and a 3,000 square-foot cell processing facility financed by bonds issued by the Rhode Island Industrial Facilities Corporation. In February, 2001, we subleased the 3,000 square foot facility and approximately one-third of the 65,000 square foot facility. We are actively seeking to sublease, assign or sell our remaining interests in these properties.</w:t>
      </w:r>
    </w:p>
    <w:p>
      <w:pPr>
        <w:sectPr>
          <w:pgSz w:w="11900" w:h="16838" w:orient="portrait"/>
          <w:cols w:equalWidth="0" w:num="1">
            <w:col w:w="10239"/>
          </w:cols>
          <w:pgMar w:left="220" w:top="78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MARKET FOR REGISTRANT'S COMMON EQUITY AND RELATED STOCKHOLDERS MATTERS</w:t>
      </w:r>
    </w:p>
    <w:p>
      <w:pPr>
        <w:spacing w:after="0" w:line="173" w:lineRule="exact"/>
        <w:rPr>
          <w:sz w:val="20"/>
          <w:szCs w:val="20"/>
          <w:color w:val="auto"/>
        </w:rPr>
      </w:pPr>
    </w:p>
    <w:p>
      <w:pPr>
        <w:jc w:val="both"/>
        <w:ind w:right="4540" w:firstLine="612"/>
        <w:spacing w:after="0" w:line="235" w:lineRule="auto"/>
        <w:rPr>
          <w:sz w:val="20"/>
          <w:szCs w:val="20"/>
          <w:color w:val="auto"/>
        </w:rPr>
      </w:pPr>
      <w:r>
        <w:rPr>
          <w:rFonts w:ascii="Courier New" w:cs="Courier New" w:eastAsia="Courier New" w:hAnsi="Courier New"/>
          <w:sz w:val="15"/>
          <w:szCs w:val="15"/>
          <w:color w:val="auto"/>
        </w:rPr>
        <w:t>The common stock of StemCells is traded on the National Market System of NASDAQ under the Symbol STEM (Previously traded under the Symbol CTII until May 2000). The quarterly ranges of high and low sales prices for the last two fiscal years are shown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15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LOW</w:t>
            </w:r>
          </w:p>
        </w:tc>
        <w:tc>
          <w:tcPr>
            <w:tcW w:w="104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6"/>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w w:val="81"/>
              </w:rPr>
              <w:t>First Quarter...........................................................................</w:t>
            </w:r>
          </w:p>
        </w:tc>
        <w:tc>
          <w:tcPr>
            <w:tcW w:w="132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w:t>
            </w:r>
          </w:p>
        </w:tc>
        <w:tc>
          <w:tcPr>
            <w:tcW w:w="15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 3/8</w:t>
            </w:r>
          </w:p>
        </w:tc>
        <w:tc>
          <w:tcPr>
            <w:tcW w:w="1040" w:type="dxa"/>
            <w:vAlign w:val="bottom"/>
          </w:tcPr>
          <w:p>
            <w:pPr>
              <w:spacing w:after="0"/>
              <w:rPr>
                <w:sz w:val="24"/>
                <w:szCs w:val="2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Second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 5/8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Third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 41/61</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1"/>
              </w:rPr>
              <w:t>$ 11/16</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1"/>
              </w:rPr>
              <w:t>Fourth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 1/8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 1/4</w:t>
            </w:r>
          </w:p>
        </w:tc>
        <w:tc>
          <w:tcPr>
            <w:tcW w:w="1040" w:type="dxa"/>
            <w:vAlign w:val="bottom"/>
          </w:tcPr>
          <w:p>
            <w:pPr>
              <w:spacing w:after="0"/>
              <w:rPr>
                <w:sz w:val="14"/>
                <w:szCs w:val="14"/>
                <w:color w:val="auto"/>
              </w:rPr>
            </w:pPr>
          </w:p>
        </w:tc>
      </w:tr>
      <w:tr>
        <w:trPr>
          <w:trHeight w:val="841"/>
        </w:trPr>
        <w:tc>
          <w:tcPr>
            <w:tcW w:w="55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HIGH</w:t>
            </w:r>
          </w:p>
        </w:tc>
        <w:tc>
          <w:tcPr>
            <w:tcW w:w="15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LOW</w:t>
            </w: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6"/>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w w:val="80"/>
              </w:rPr>
              <w:t>First Quarter............................................................................</w:t>
            </w:r>
          </w:p>
        </w:tc>
        <w:tc>
          <w:tcPr>
            <w:tcW w:w="132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 25/32</w:t>
            </w:r>
          </w:p>
        </w:tc>
        <w:tc>
          <w:tcPr>
            <w:tcW w:w="156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1"/>
              </w:rPr>
              <w:t>$1 5/32</w:t>
            </w:r>
          </w:p>
        </w:tc>
        <w:tc>
          <w:tcPr>
            <w:tcW w:w="1040" w:type="dxa"/>
            <w:vAlign w:val="bottom"/>
          </w:tcPr>
          <w:p>
            <w:pPr>
              <w:spacing w:after="0"/>
              <w:rPr>
                <w:sz w:val="24"/>
                <w:szCs w:val="2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Second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 3/8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1"/>
              </w:rPr>
              <w:t>$ 17/32</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Third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 3/8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1"/>
              </w:rPr>
              <w:t>$ 11/16</w:t>
            </w:r>
          </w:p>
        </w:tc>
        <w:tc>
          <w:tcPr>
            <w:tcW w:w="1040" w:type="dxa"/>
            <w:vAlign w:val="bottom"/>
          </w:tcPr>
          <w:p>
            <w:pPr>
              <w:spacing w:after="0"/>
              <w:rPr>
                <w:sz w:val="14"/>
                <w:szCs w:val="14"/>
                <w:color w:val="auto"/>
              </w:rPr>
            </w:pP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0"/>
              </w:rPr>
              <w:t>Fourth Quarter...........................................................................</w:t>
            </w:r>
          </w:p>
        </w:tc>
        <w:tc>
          <w:tcPr>
            <w:tcW w:w="132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 5/8</w:t>
            </w:r>
          </w:p>
        </w:tc>
        <w:tc>
          <w:tcPr>
            <w:tcW w:w="15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spacing w:after="0"/>
              <w:rPr>
                <w:sz w:val="14"/>
                <w:szCs w:val="14"/>
                <w:color w:val="auto"/>
              </w:rPr>
            </w:pPr>
          </w:p>
        </w:tc>
      </w:tr>
      <w:tr>
        <w:trPr>
          <w:trHeight w:val="505"/>
        </w:trPr>
        <w:tc>
          <w:tcPr>
            <w:tcW w:w="77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No cash dividends have been declared on the Company common stock since</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Company's inception.</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7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As of March 20th, 2001, there were approximately 278 holders of record of</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common stock.</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73"/>
        </w:trPr>
        <w:tc>
          <w:tcPr>
            <w:tcW w:w="5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60" w:type="dxa"/>
            <w:vAlign w:val="bottom"/>
            <w:gridSpan w:val="3"/>
          </w:tcPr>
          <w:p>
            <w:pPr>
              <w:jc w:val="right"/>
              <w:ind w:right="1147"/>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24"/>
                <w:szCs w:val="24"/>
                <w:color w:val="auto"/>
              </w:rPr>
            </w:pPr>
          </w:p>
        </w:tc>
      </w:tr>
      <w:tr>
        <w:trPr>
          <w:trHeight w:val="168"/>
        </w:trPr>
        <w:tc>
          <w:tcPr>
            <w:tcW w:w="5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(IN THOUSANDS, EXCEPT PER SHARE AMOUNTS)</w:t>
            </w:r>
          </w:p>
        </w:tc>
        <w:tc>
          <w:tcPr>
            <w:tcW w:w="104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collaborative &amp; licensing agreements(1)....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$8,803</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$7,104</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9,984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17,659</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17,130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research and development.......................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8,344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ECT wind-down and corporate relocation expenses.........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$(11,125)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$(15,709)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$(12,628)</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$(18,114)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$(13,759)</w:t>
            </w: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available to common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before cumulative effect of an accounting</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loss per share applicable to common shareholders....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20,067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18,291</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15,430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3 in the consolidated financial statements</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2 in the consolidated financial statements</w:t>
      </w:r>
    </w:p>
    <w:p>
      <w:pPr>
        <w:sectPr>
          <w:pgSz w:w="11900" w:h="16838" w:orient="portrait"/>
          <w:cols w:equalWidth="0" w:num="1">
            <w:col w:w="11540"/>
          </w:cols>
          <w:pgMar w:left="220" w:top="785" w:right="1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31,</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4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9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1999</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cash equivalents and marketable securities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$ 6,069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$ 4,760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$17,386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$29,050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$42,607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Restricted investments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16,356</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29,795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15,781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32,866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44,301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58,397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debt, including capitalized leases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Redeemable common stock ...............................</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5,249</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8,159</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22,982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28,900</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34,747</w:t>
            </w:r>
          </w:p>
        </w:tc>
      </w:tr>
    </w:tbl>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jc w:val="both"/>
        <w:ind w:right="3839" w:firstLine="612"/>
        <w:spacing w:after="0" w:line="235"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should be read in conjunction with the accompanying financial statements and the related footnotes thereto.</w:t>
      </w:r>
    </w:p>
    <w:p>
      <w:pPr>
        <w:spacing w:after="0" w:line="174"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The statements contained in this report, other than statements of historical fact, constitute forward-looking statements. Such statements include, without limitation, all statements as to expectation or belief and statements as to our future results of operations, the progress of our research and product development programs, the need for, and timing of, additional capital and capital expenditures, partnering prospects,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65" w:lineRule="exact"/>
        <w:rPr>
          <w:sz w:val="20"/>
          <w:szCs w:val="20"/>
          <w:color w:val="auto"/>
        </w:rPr>
      </w:pPr>
    </w:p>
    <w:p>
      <w:pPr>
        <w:ind w:right="3679" w:firstLine="612"/>
        <w:spacing w:after="0" w:line="234"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ectPr>
          <w:pgSz w:w="11900" w:h="16838" w:orient="portrait"/>
          <w:cols w:equalWidth="0" w:num="1">
            <w:col w:w="10239"/>
          </w:cols>
          <w:pgMar w:left="220" w:top="1122" w:right="1440" w:bottom="1440" w:gutter="0" w:footer="0" w:header="0"/>
        </w:sectPr>
      </w:pPr>
    </w:p>
    <w:bookmarkStart w:id="19" w:name="page20"/>
    <w:bookmarkEnd w:id="19"/>
    <w:p>
      <w:pPr>
        <w:ind w:right="3239" w:firstLine="612"/>
        <w:spacing w:after="0" w:line="236"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"Astra Agreement"). The decrease in revenues from 1998 to 1999 to 2000 resulted primarily from the June 1999 termination of the Astra Agreement.</w:t>
      </w:r>
    </w:p>
    <w:p>
      <w:pPr>
        <w:spacing w:after="0" w:line="16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5"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 Due to the wind-down of our encapsulated cell technology and relocation of our headquarters in October, the 1999 expenses are less than they would have been had these events not occurred.</w:t>
      </w:r>
    </w:p>
    <w:p>
      <w:pPr>
        <w:spacing w:after="0" w:line="17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totaled $3,327,000 and $6,048,000 for 2000 and 1999, respectively. No such expenses were incurred in 1998. 1999 expenses included accruals of approximately $1.6 million for employee severance costs, $1.9 million in losses and reserves for the write-down of related patents and fixed assets, $1.2 million for our costs of settlement of a 1989 funding agreement with RIPSAT, $700,000 of estimated additional carrying costs through June 30, 2000, and other related expenses totaling $760,000.</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have created a reserve of $1,780,000 related to the carrying costs for the Rhode Island facilities through 2001. On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5"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 and $21,795,000 in 2000, 1999 and 1998, respectively. The decrease in interest income from 1998 to 1999 to 2000 was attributable to lower average balances.</w:t>
      </w:r>
    </w:p>
    <w:p>
      <w:pPr>
        <w:spacing w:after="0" w:line="174" w:lineRule="exact"/>
        <w:rPr>
          <w:sz w:val="20"/>
          <w:szCs w:val="20"/>
          <w:color w:val="auto"/>
        </w:rPr>
      </w:pPr>
    </w:p>
    <w:p>
      <w:pPr>
        <w:ind w:right="3319" w:firstLine="612"/>
        <w:spacing w:after="0" w:line="235"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4" w:lineRule="exact"/>
        <w:rPr>
          <w:sz w:val="20"/>
          <w:szCs w:val="20"/>
          <w:color w:val="auto"/>
        </w:rPr>
      </w:pPr>
    </w:p>
    <w:p>
      <w:pPr>
        <w:ind w:right="4099" w:firstLine="612"/>
        <w:spacing w:after="0" w:line="234"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w:t>
      </w:r>
    </w:p>
    <w:p>
      <w:pPr>
        <w:sectPr>
          <w:pgSz w:w="11900" w:h="16838" w:orient="portrait"/>
          <w:cols w:equalWidth="0" w:num="1">
            <w:col w:w="10239"/>
          </w:cols>
          <w:pgMar w:left="220" w:top="792" w:right="1440" w:bottom="1440" w:gutter="0" w:footer="0" w:header="0"/>
        </w:sectPr>
      </w:pPr>
    </w:p>
    <w:bookmarkStart w:id="20" w:name="page21"/>
    <w:bookmarkEnd w:id="20"/>
    <w:p>
      <w:pPr>
        <w:ind w:right="3579"/>
        <w:spacing w:after="0" w:line="235" w:lineRule="auto"/>
        <w:rPr>
          <w:sz w:val="20"/>
          <w:szCs w:val="20"/>
          <w:color w:val="auto"/>
        </w:rPr>
      </w:pPr>
      <w:r>
        <w:rPr>
          <w:rFonts w:ascii="Courier New" w:cs="Courier New" w:eastAsia="Courier New" w:hAnsi="Courier New"/>
          <w:sz w:val="15"/>
          <w:szCs w:val="15"/>
          <w:color w:val="auto"/>
        </w:rPr>
        <w:t>investment in Modex. Modex Therapeutics Ltd ("Modex"), a Swiss biotechnology company that completed an initial public offering on June 23, 2000, and is publicly traded on the Swiss Neue Market exchange.</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wind-down of our encapsulated cell technology research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 June</w:t>
      </w:r>
    </w:p>
    <w:p>
      <w:pPr>
        <w:spacing w:after="0" w:line="237" w:lineRule="auto"/>
        <w:rPr>
          <w:sz w:val="20"/>
          <w:szCs w:val="20"/>
          <w:color w:val="auto"/>
        </w:rPr>
      </w:pPr>
      <w:r>
        <w:rPr>
          <w:rFonts w:ascii="Courier New" w:cs="Courier New" w:eastAsia="Courier New" w:hAnsi="Courier New"/>
          <w:sz w:val="15"/>
          <w:szCs w:val="15"/>
          <w:color w:val="auto"/>
        </w:rPr>
        <w:t>1999, as well as expenses related to the wind-down of our encapsulated cell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research and our other Rhode Island operations, the transfer of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 to Sunnyvale, California and an accrual for the our</w:t>
      </w:r>
    </w:p>
    <w:p>
      <w:pPr>
        <w:spacing w:after="0" w:line="237" w:lineRule="auto"/>
        <w:rPr>
          <w:sz w:val="20"/>
          <w:szCs w:val="20"/>
          <w:color w:val="auto"/>
        </w:rPr>
      </w:pPr>
      <w:r>
        <w:rPr>
          <w:rFonts w:ascii="Courier New" w:cs="Courier New" w:eastAsia="Courier New" w:hAnsi="Courier New"/>
          <w:sz w:val="15"/>
          <w:szCs w:val="15"/>
          <w:color w:val="auto"/>
        </w:rPr>
        <w:t>estimate of the costs of settlement of a funding agreement with RIPSAT.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had cash and cash equivalents totaling $6,069,000 at December 31, 2000. Cash equivalents are invested in money market funds. We also held shares of Modex Therapeutics Ltd ("Modex"), a Swiss biotechnology company that completed an initial public offering on June 23, 2000, and is publicly traded on the Swiss Neue Market exchange. During the second quarter 2000 we realized a $1,427,000 gain in connection with the sale of a portion of our investment in Modex. On January 9, 2001, we sold 22,616 Modex shares for a net price of 182.00 Swiss francs per share, which converts to $112.76 per share, for total proceeds of $2,550,000. On April 30, 2001, we sold the remaining 103,577 Modex shares for a net price of 87.30 Swiss Francs per share, which converts to approximately $50.30, for total proceeds of approximately $5,200,000.</w:t>
      </w:r>
    </w:p>
    <w:p>
      <w:pPr>
        <w:spacing w:after="0" w:line="165"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5"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our ECT and to focus our resources on the research and development of our platform of proprietary stem cell technologies. We terminated approximately 68 full time employees and, in October 1999, relocated our corporate headquarters to Sunnyvale, California.</w:t>
      </w:r>
    </w:p>
    <w:p>
      <w:pPr>
        <w:spacing w:after="0" w:line="17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were used to fund our continuing operations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On December 30, 1999 we sold our ECT and assigned our intellectual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assets in it to Neurotech S.A. for a payment of $3,000,000, royalties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future product sales, and a portion of certain Neurotech revenues from third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 In addition, we retained certain non-exclusive rights to use ECT in</w:t>
      </w:r>
    </w:p>
    <w:p>
      <w:pPr>
        <w:spacing w:after="0" w:line="237" w:lineRule="auto"/>
        <w:rPr>
          <w:sz w:val="20"/>
          <w:szCs w:val="20"/>
          <w:color w:val="auto"/>
        </w:rPr>
      </w:pPr>
      <w:r>
        <w:rPr>
          <w:rFonts w:ascii="Courier New" w:cs="Courier New" w:eastAsia="Courier New" w:hAnsi="Courier New"/>
          <w:sz w:val="15"/>
          <w:szCs w:val="15"/>
          <w:color w:val="auto"/>
        </w:rPr>
        <w:t>combination with our proprietary stem cell technologies and in the field of</w:t>
      </w:r>
    </w:p>
    <w:p>
      <w:pPr>
        <w:spacing w:after="0" w:line="238" w:lineRule="auto"/>
        <w:rPr>
          <w:sz w:val="20"/>
          <w:szCs w:val="20"/>
          <w:color w:val="auto"/>
        </w:rPr>
      </w:pPr>
      <w:r>
        <w:rPr>
          <w:rFonts w:ascii="Courier New" w:cs="Courier New" w:eastAsia="Courier New" w:hAnsi="Courier New"/>
          <w:sz w:val="15"/>
          <w:szCs w:val="15"/>
          <w:color w:val="auto"/>
        </w:rPr>
        <w:t>vaccines for prevention and treatment of infectious diseases. We received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$2,800,000 of the initial payment on January 3, 2000 with a remaining balance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 placed in escrow, to be released to us upon demonstration satisfactory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Neurotech that certain intellectual property is not subject to other claims.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received the remaining balance of $200,000 on December 04, 2000.</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In July 1999, as a result of our decision to close our Rhode Island facilities, the Rhode Island Partnership for Science and Technology, or RIPSAT, alleged that we were in default under a June, 1989 Funding Agreement, and demanded payment of approximately $2.6 million. While we believe we were not in default under the Funding Agreement, we deemed it best to resolve the dispute without litigation and, on March 3, 2000, entered into a settlement agreement with RIPSAT, the Rhode Island Industrial Recreational Building Authority, or IRBA, and the Rhode Island Industrial Facilities Corporation, or RIIFC. We agreed to pay RIPSAT $1,172,000 in full satisfaction of all of our obligations to them under the Funding Agreement. At the same time, IRBA agreed to return to us the full amount of our debt service reserve, comprising</w:t>
      </w:r>
    </w:p>
    <w:p>
      <w:pPr>
        <w:sectPr>
          <w:pgSz w:w="11900" w:h="16838" w:orient="portrait"/>
          <w:cols w:equalWidth="0" w:num="1">
            <w:col w:w="10239"/>
          </w:cols>
          <w:pgMar w:left="220" w:top="792" w:right="1440" w:bottom="1440" w:gutter="0" w:footer="0" w:header="0"/>
        </w:sectPr>
      </w:pPr>
    </w:p>
    <w:bookmarkStart w:id="21" w:name="page22"/>
    <w:bookmarkEnd w:id="21"/>
    <w:p>
      <w:pPr>
        <w:jc w:val="both"/>
        <w:ind w:right="3319"/>
        <w:spacing w:after="0" w:line="235" w:lineRule="auto"/>
        <w:rPr>
          <w:sz w:val="20"/>
          <w:szCs w:val="20"/>
          <w:color w:val="auto"/>
        </w:rPr>
      </w:pPr>
      <w:r>
        <w:rPr>
          <w:rFonts w:ascii="Courier New" w:cs="Courier New" w:eastAsia="Courier New" w:hAnsi="Courier New"/>
          <w:sz w:val="15"/>
          <w:szCs w:val="15"/>
          <w:color w:val="auto"/>
        </w:rPr>
        <w:t>approximately $610,000 of principal and interest, relating to the bonds we had with IRBA and RIIFC. The $610,000 debt service reserve was transferred directly to RIPSAT, leaving the remainder of approximately $562,000 to be paid by us. We made this payment in March of 2000.</w:t>
      </w:r>
    </w:p>
    <w:p>
      <w:pPr>
        <w:spacing w:after="0" w:line="17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34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34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 addition, the Fund has the option for twelve months to purchase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million of additional common stock. On August 23, 2000 the Fund 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 of its option to purchase additional common stock at $5.53 per share.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Fund paid $750,000 of the purchase price in connection with the closing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2000, and paid the remaining $250,000 upon effectiveness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covering the shares owned by the Fund. At the closing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w:t>
      </w:r>
    </w:p>
    <w:p>
      <w:pPr>
        <w:sectPr>
          <w:pgSz w:w="11900" w:h="16838" w:orient="portrait"/>
          <w:cols w:equalWidth="0" w:num="1">
            <w:col w:w="10239"/>
          </w:cols>
          <w:pgMar w:left="220" w:top="792" w:right="1440" w:bottom="1440" w:gutter="0" w:footer="0" w:header="0"/>
        </w:sectPr>
      </w:pPr>
    </w:p>
    <w:bookmarkStart w:id="22" w:name="page23"/>
    <w:bookmarkEnd w:id="22"/>
    <w:p>
      <w:pPr>
        <w:ind w:right="3239"/>
        <w:spacing w:after="0" w:line="236" w:lineRule="auto"/>
        <w:rPr>
          <w:sz w:val="20"/>
          <w:szCs w:val="20"/>
          <w:color w:val="auto"/>
        </w:rPr>
      </w:pPr>
      <w:r>
        <w:rPr>
          <w:rFonts w:ascii="Courier New" w:cs="Courier New" w:eastAsia="Courier New" w:hAnsi="Courier New"/>
          <w:sz w:val="15"/>
          <w:szCs w:val="15"/>
          <w:color w:val="auto"/>
        </w:rPr>
        <w:t>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74"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6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We are required to adopt SFAS 133 effective January 1, 2001. Because we do not hold any derivative instruments and do not engage in hedging activities, management does not believe the adoption of SFAS 133 will have an impact on our financial position or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QUANTITIVE AND QUALITATIVE DISCLOSURES ABOUT MARKET RISK</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On December 31, 2000, we had an investment in common stock of Modex Therapeutics Ltd. (Modex), a Swiss Biotherapeutics company. On January 9, 2001, we sold 22,616 Modex shares for a net price of 182.00 Swiss francs per share, which converts to $112.76 per share, for total proceeds of $2,550,230. On April 30, 2001, we sold the remaining 103,577 Modex shares for a net price of 87.30 Swiss Francs per share, which converts to approximately $50.30, for total proceeds of approximately $5,200,000.</w:t>
      </w:r>
    </w:p>
    <w:p>
      <w:pPr>
        <w:sectPr>
          <w:pgSz w:w="11900" w:h="16838" w:orient="portrait"/>
          <w:cols w:equalWidth="0" w:num="1">
            <w:col w:w="10239"/>
          </w:cols>
          <w:pgMar w:left="220" w:top="79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FINANCIAL STATEMENTS AND SUPPLEMENTARY DATA</w:t>
      </w:r>
    </w:p>
    <w:p>
      <w:pPr>
        <w:sectPr>
          <w:pgSz w:w="11900" w:h="16838" w:orient="portrait"/>
          <w:cols w:equalWidth="0" w:num="1">
            <w:col w:w="10239"/>
          </w:cols>
          <w:pgMar w:left="220" w:top="792" w:right="1440" w:bottom="1440" w:gutter="0" w:footer="0" w:header="0"/>
        </w:sectPr>
      </w:pPr>
    </w:p>
    <w:bookmarkStart w:id="24" w:name="page25"/>
    <w:bookmarkEnd w:id="24"/>
    <w:p>
      <w:pPr>
        <w:ind w:left="140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37" w:lineRule="auto"/>
        <w:rPr>
          <w:sz w:val="20"/>
          <w:szCs w:val="20"/>
          <w:color w:val="auto"/>
        </w:rPr>
      </w:pPr>
      <w:r>
        <w:rPr>
          <w:rFonts w:ascii="Courier New" w:cs="Courier New" w:eastAsia="Courier New" w:hAnsi="Courier New"/>
          <w:sz w:val="15"/>
          <w:szCs w:val="15"/>
          <w:color w:val="auto"/>
        </w:rPr>
        <w:t>StemCells,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5" w:lineRule="exact"/>
        <w:rPr>
          <w:sz w:val="20"/>
          <w:szCs w:val="20"/>
          <w:color w:val="auto"/>
        </w:rPr>
      </w:pPr>
    </w:p>
    <w:p>
      <w:pPr>
        <w:ind w:right="3679" w:firstLine="612"/>
        <w:spacing w:after="0" w:line="235"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ERNST &amp; YOUNG LLP</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37" w:lineRule="auto"/>
        <w:rPr>
          <w:sz w:val="20"/>
          <w:szCs w:val="20"/>
          <w:color w:val="auto"/>
        </w:rPr>
      </w:pPr>
      <w:r>
        <w:rPr>
          <w:rFonts w:ascii="Courier New" w:cs="Courier New" w:eastAsia="Courier New" w:hAnsi="Courier New"/>
          <w:sz w:val="15"/>
          <w:szCs w:val="15"/>
          <w:color w:val="auto"/>
        </w:rPr>
        <w:t>February 23, 2001</w:t>
      </w:r>
    </w:p>
    <w:p>
      <w:pPr>
        <w:sectPr>
          <w:pgSz w:w="11900" w:h="16838" w:orient="portrait"/>
          <w:cols w:equalWidth="0" w:num="1">
            <w:col w:w="10239"/>
          </w:cols>
          <w:pgMar w:left="220" w:top="785"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7760" w:type="dxa"/>
            <w:vAlign w:val="bottom"/>
          </w:tcPr>
          <w:p>
            <w:pPr>
              <w:spacing w:after="0"/>
              <w:rPr>
                <w:sz w:val="20"/>
                <w:szCs w:val="20"/>
                <w:color w:val="auto"/>
              </w:rPr>
            </w:pPr>
            <w:r>
              <w:rPr>
                <w:rFonts w:ascii="Courier New" w:cs="Courier New" w:eastAsia="Courier New" w:hAnsi="Courier New"/>
                <w:sz w:val="15"/>
                <w:szCs w:val="15"/>
                <w:color w:val="auto"/>
              </w:rPr>
              <w:t>StemCells, Inc. Consolidated Balance Sheets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6,068,947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4,760,064</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Short-term restricted investments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16,356,334</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interest receivable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16,725</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42,212</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Technology sale receivable ..........................................................</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Debt service fund ...................................................................</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609,905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current assets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524,509</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558,674</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current assets ..................................................................</w:t>
            </w:r>
          </w:p>
        </w:tc>
        <w:tc>
          <w:tcPr>
            <w:tcW w:w="20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22,966,515</w:t>
            </w:r>
          </w:p>
        </w:tc>
        <w:tc>
          <w:tcPr>
            <w:tcW w:w="2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8,970,855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held for sale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3,203,491</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3,203,491</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plant and equipment, net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1,451,061</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1,747,885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 assets, net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2,173,912</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1,858,768</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assets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29,794,979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15,780,999</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Accounts payable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526,191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631,315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expenses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837,358</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970,546</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wind-down costs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1,780,579</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1,634,522</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Current maturities of capital lease obligations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332,083</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324,167</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current liabilities .............................................................</w:t>
            </w:r>
          </w:p>
        </w:tc>
        <w:tc>
          <w:tcPr>
            <w:tcW w:w="20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3,476,211</w:t>
            </w:r>
          </w:p>
        </w:tc>
        <w:tc>
          <w:tcPr>
            <w:tcW w:w="2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3,560,550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Capital lease obligations, less current maturities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2,605,000</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2,937,083</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Deposits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26,000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Deferred rent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705,746</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502,353</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Redeemable common stock, $.01 par value; 524,337 shares issued and outstanding at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December 31, 1999, none at December 31, 2000 ........................................</w:t>
            </w:r>
          </w:p>
        </w:tc>
        <w:tc>
          <w:tcPr>
            <w:tcW w:w="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5,248,610</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Convertible Preferred Stock, $.01 par value; 1,000,000 shares authorized, 2,626</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designated as 6% Cumulative Convertible Preferred Stock 1,500 shares issued and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outstanding at December 31, 2000, none at December 31, 1999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Common stock, $.01 par value; 45,000,000 shares authorized; 20,956,887 and 18,635,565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shares issued and outstanding at December 31, 2000 and 1999, respectively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209,569</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186,355</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Additional paid-in capital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138,150,067</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123,917,758</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Accumulated deficit .................................................................</w:t>
            </w:r>
          </w:p>
        </w:tc>
        <w:tc>
          <w:tcPr>
            <w:tcW w:w="2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(130,498,187)</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(119,372,710)</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Accumulated other comprehensive income ..............................................</w:t>
            </w:r>
          </w:p>
        </w:tc>
        <w:tc>
          <w:tcPr>
            <w:tcW w:w="2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16,356,334</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Deferred compensation ...............................................................</w:t>
            </w:r>
          </w:p>
        </w:tc>
        <w:tc>
          <w:tcPr>
            <w:tcW w:w="2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(2,735,761)</w:t>
            </w:r>
          </w:p>
        </w:tc>
        <w:tc>
          <w:tcPr>
            <w:tcW w:w="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(1,225,000)</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stockholders' equity ............................................................</w:t>
            </w:r>
          </w:p>
        </w:tc>
        <w:tc>
          <w:tcPr>
            <w:tcW w:w="20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22,982,022</w:t>
            </w:r>
          </w:p>
        </w:tc>
        <w:tc>
          <w:tcPr>
            <w:tcW w:w="220" w:type="dxa"/>
            <w:vAlign w:val="bottom"/>
          </w:tcPr>
          <w:p>
            <w:pPr>
              <w:spacing w:after="0"/>
              <w:rPr>
                <w:sz w:val="24"/>
                <w:szCs w:val="2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3,506,403</w:t>
            </w:r>
          </w:p>
        </w:tc>
      </w:tr>
      <w:tr>
        <w:trPr>
          <w:trHeight w:val="336"/>
        </w:trPr>
        <w:tc>
          <w:tcPr>
            <w:tcW w:w="7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Total liabilities and stockholders' equity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29,794,979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15,780,999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600"/>
          </w:cols>
          <w:pgMar w:left="220" w:top="785" w:right="10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20"/>
                <w:szCs w:val="20"/>
                <w:color w:val="auto"/>
              </w:rPr>
            </w:pPr>
            <w:r>
              <w:rPr>
                <w:rFonts w:ascii="Courier New" w:cs="Courier New" w:eastAsia="Courier New" w:hAnsi="Courier New"/>
                <w:sz w:val="15"/>
                <w:szCs w:val="15"/>
                <w:color w:val="auto"/>
              </w:rPr>
              <w:t>StemCells, Inc. Consolidated Statements of Operations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5"/>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5"/>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and licensing agreements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5,021,707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8,803,163</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Research and development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5,979,007</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9,984,027</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17,658,530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3,361,231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4,927,303</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4,602,758</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Encapsulated Cell Therapy wind-down and corporate relocation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3,327,360</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6,047,806</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12,667,598</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20,959,136</w:t>
            </w:r>
          </w:p>
        </w:tc>
        <w:tc>
          <w:tcPr>
            <w:tcW w:w="22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22,261,288</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Loss from operations .................................................</w:t>
            </w:r>
          </w:p>
        </w:tc>
        <w:tc>
          <w:tcPr>
            <w:tcW w:w="2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(12,593,298)</w:t>
            </w:r>
          </w:p>
        </w:tc>
        <w:tc>
          <w:tcPr>
            <w:tcW w:w="2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(15,937,429)</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Interest income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303,746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564,006</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1,253,781</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2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(272,513)</w:t>
            </w:r>
          </w:p>
        </w:tc>
        <w:tc>
          <w:tcPr>
            <w:tcW w:w="2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(335,203)</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(472,400)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Gain on sale of Investment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1,427,686</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Other income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8,902</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48,914</w:t>
            </w:r>
          </w:p>
        </w:tc>
      </w:tr>
      <w:tr>
        <w:trPr>
          <w:trHeight w:val="336"/>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1,467,821</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228,803</w:t>
            </w:r>
          </w:p>
        </w:tc>
        <w:tc>
          <w:tcPr>
            <w:tcW w:w="22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830,295</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loss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(11,125,477)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(12,627,830)</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Deemed dividend to preferred shareholders ............................</w:t>
            </w:r>
          </w:p>
        </w:tc>
        <w:tc>
          <w:tcPr>
            <w:tcW w:w="2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(265,000)</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 cumulative effect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of a change in accounting principle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(11,390,477)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(12,627,830)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 due to deemed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dividend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loss applicable to common shareholders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(11,606,477)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505"/>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Basic and diluted net loss per share applicable to common shareholders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before cumulative effect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Cumulative effect of a change in accounting principle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Basic and diluted net loss per share applicable to common shareholders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6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Shares used in computing basic and diluted net loss per share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20,067,760</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18,705,838</w:t>
            </w:r>
          </w:p>
        </w:tc>
        <w:tc>
          <w:tcPr>
            <w:tcW w:w="2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18,290,548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340"/>
          </w:cols>
          <w:pgMar w:left="220" w:top="785" w:right="1339"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STEMCELLS,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CHANGES IN</w:t>
      </w:r>
    </w:p>
    <w:tbl>
      <w:tblPr>
        <w:tblLayout w:type="fixed"/>
        <w:tblInd w:w="0" w:type="dxa"/>
        <w:tblCellMar>
          <w:top w:w="0" w:type="dxa"/>
          <w:left w:w="0" w:type="dxa"/>
          <w:bottom w:w="0" w:type="dxa"/>
          <w:right w:w="0" w:type="dxa"/>
        </w:tblCellMar>
      </w:tblPr>
      <w:tr>
        <w:trPr>
          <w:trHeight w:val="169"/>
        </w:trPr>
        <w:tc>
          <w:tcPr>
            <w:tcW w:w="5740" w:type="dxa"/>
            <w:vAlign w:val="bottom"/>
            <w:gridSpan w:val="5"/>
          </w:tcPr>
          <w:p>
            <w:pPr>
              <w:ind w:left="1400"/>
              <w:spacing w:after="0" w:line="169" w:lineRule="exact"/>
              <w:rPr>
                <w:sz w:val="20"/>
                <w:szCs w:val="20"/>
                <w:color w:val="auto"/>
              </w:rPr>
            </w:pPr>
            <w:r>
              <w:rPr>
                <w:rFonts w:ascii="Courier New" w:cs="Courier New" w:eastAsia="Courier New" w:hAnsi="Courier New"/>
                <w:sz w:val="15"/>
                <w:szCs w:val="15"/>
                <w:color w:val="auto"/>
                <w:w w:val="99"/>
              </w:rPr>
              <w:t>REDEEMABLE COMMON STOCK AND STOCKHOLDERS' EQUITY</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REDEEMABLE</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COMMON STOCK</w:t>
            </w:r>
          </w:p>
        </w:tc>
        <w:tc>
          <w:tcPr>
            <w:tcW w:w="2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557,754</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$5,583,110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17,526,220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$175,262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$121,472,844</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43,542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83,622</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stock purchase plan.............</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143,025</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Issuance of common stock--</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StemCells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101,320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1,013</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505,587</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Redeemable common stock lapses....</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(33,417)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(334,500)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33,417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334,166</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321,108</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and cancellations...............</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Net loss..........................</w:t>
            </w:r>
          </w:p>
        </w:tc>
        <w:tc>
          <w:tcPr>
            <w:tcW w:w="100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73"/>
              </w:rPr>
              <w:t>Comprehensive loss................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524,337</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5,248,610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17,800,323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178,003</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122,861,606</w:t>
            </w:r>
          </w:p>
        </w:tc>
      </w:tr>
      <w:tr>
        <w:trPr>
          <w:trHeight w:val="505"/>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6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6"/>
              </w:rPr>
              <w:t>ACCUMULATED</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ACCUMULATED</w:t>
            </w:r>
          </w:p>
        </w:tc>
        <w:tc>
          <w:tcPr>
            <w:tcW w:w="23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INCOME (LOSS)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COMPENSATION</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(91,036,254)</w:t>
            </w:r>
          </w:p>
        </w:tc>
        <w:tc>
          <w:tcPr>
            <w:tcW w:w="100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$(8,877)</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$(1,702,820)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$28,900,155</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84,058</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stock purchase plan.............</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143,873</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Issuance of common stock--</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StemCells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506,600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Redeemable common stock lapses....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334,500</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229,901</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551,009</w:t>
            </w:r>
          </w:p>
        </w:tc>
      </w:tr>
      <w:tr>
        <w:trPr>
          <w:trHeight w:val="168"/>
        </w:trPr>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2"/>
              </w:rPr>
              <w:t>and cancellations...............</w:t>
            </w: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3,679</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3,679</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3"/>
              </w:rPr>
              <w:t>Net loss..........................</w:t>
            </w:r>
          </w:p>
        </w:tc>
        <w:tc>
          <w:tcPr>
            <w:tcW w:w="1000" w:type="dxa"/>
            <w:vAlign w:val="bottom"/>
          </w:tcPr>
          <w:p>
            <w:pPr>
              <w:spacing w:after="0"/>
              <w:rPr>
                <w:sz w:val="14"/>
                <w:szCs w:val="14"/>
                <w:color w:val="auto"/>
              </w:rPr>
            </w:pP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(12,627,830)</w:t>
            </w:r>
          </w:p>
        </w:tc>
        <w:tc>
          <w:tcPr>
            <w:tcW w:w="100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(12,627,830)</w:t>
            </w:r>
          </w:p>
        </w:tc>
      </w:tr>
      <w:tr>
        <w:trPr>
          <w:trHeight w:val="33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73"/>
              </w:rPr>
              <w:t>Comprehensive loss................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(12,624,151)</w:t>
            </w:r>
          </w:p>
        </w:tc>
      </w:tr>
      <w:tr>
        <w:trPr>
          <w:trHeight w:val="336"/>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Balances, December 31, 1998.......</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(103,664,084)</w:t>
            </w:r>
          </w:p>
        </w:tc>
        <w:tc>
          <w:tcPr>
            <w:tcW w:w="100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(5,198)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(1,472,919)</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17,897,408</w:t>
            </w:r>
          </w:p>
        </w:tc>
      </w:tr>
    </w:tbl>
    <w:p>
      <w:pPr>
        <w:sectPr>
          <w:pgSz w:w="11900" w:h="16838" w:orient="portrait"/>
          <w:cols w:equalWidth="0" w:num="1">
            <w:col w:w="10239"/>
          </w:cols>
          <w:pgMar w:left="220" w:top="785" w:right="1440" w:bottom="1440" w:gutter="0" w:footer="0" w:header="0"/>
        </w:sectPr>
      </w:pPr>
    </w:p>
    <w:bookmarkStart w:id="28" w:name="page29"/>
    <w:bookmarkEnd w:id="28"/>
    <w:p>
      <w:pPr>
        <w:jc w:val="center"/>
        <w:ind w:right="3139"/>
        <w:spacing w:after="0"/>
        <w:rPr>
          <w:sz w:val="20"/>
          <w:szCs w:val="20"/>
          <w:color w:val="auto"/>
        </w:rPr>
      </w:pPr>
      <w:r>
        <w:rPr>
          <w:rFonts w:ascii="Courier New" w:cs="Courier New" w:eastAsia="Courier New" w:hAnsi="Courier New"/>
          <w:sz w:val="15"/>
          <w:szCs w:val="15"/>
          <w:color w:val="auto"/>
        </w:rPr>
        <w:t>STEMCELLS,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CHANGES IN</w:t>
      </w:r>
    </w:p>
    <w:tbl>
      <w:tblPr>
        <w:tblLayout w:type="fixed"/>
        <w:tblInd w:w="0" w:type="dxa"/>
        <w:tblCellMar>
          <w:top w:w="0" w:type="dxa"/>
          <w:left w:w="0" w:type="dxa"/>
          <w:bottom w:w="0" w:type="dxa"/>
          <w:right w:w="0" w:type="dxa"/>
        </w:tblCellMar>
      </w:tblPr>
      <w:tr>
        <w:trPr>
          <w:trHeight w:val="169"/>
        </w:trPr>
        <w:tc>
          <w:tcPr>
            <w:tcW w:w="7100" w:type="dxa"/>
            <w:vAlign w:val="bottom"/>
            <w:gridSpan w:val="5"/>
          </w:tcPr>
          <w:p>
            <w:pPr>
              <w:ind w:left="880"/>
              <w:spacing w:after="0" w:line="169" w:lineRule="exact"/>
              <w:rPr>
                <w:sz w:val="20"/>
                <w:szCs w:val="20"/>
                <w:color w:val="auto"/>
              </w:rPr>
            </w:pPr>
            <w:r>
              <w:rPr>
                <w:rFonts w:ascii="Courier New" w:cs="Courier New" w:eastAsia="Courier New" w:hAnsi="Courier New"/>
                <w:sz w:val="15"/>
                <w:szCs w:val="15"/>
                <w:color w:val="auto"/>
              </w:rPr>
              <w:t>REDEEMABLE COMMON STOCK AND STOCKHOLDERS' EQUITY (CONTINUED)</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REDEEMABLE</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COMMON STOCK</w:t>
            </w:r>
          </w:p>
        </w:tc>
        <w:tc>
          <w:tcPr>
            <w:tcW w:w="29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29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524,337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$5,248,610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17,800,323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$178,003</w:t>
            </w: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$122,861,606</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196,213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$1,962</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$318,221</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57,398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41,619</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90,798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908</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102,502</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490,833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4,908</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513,534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80,276</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524,337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5,248,610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18,635,565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186,355</w:t>
            </w: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123,917,758</w:t>
            </w:r>
          </w:p>
        </w:tc>
      </w:tr>
      <w:tr>
        <w:trPr>
          <w:trHeight w:val="505"/>
        </w:trPr>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6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6"/>
              </w:rPr>
              <w:t>ACCUMULATED</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OTHER</w:t>
            </w:r>
          </w:p>
        </w:tc>
        <w:tc>
          <w:tcPr>
            <w:tcW w:w="1400" w:type="dxa"/>
            <w:vAlign w:val="bottom"/>
          </w:tcPr>
          <w:p>
            <w:pPr>
              <w:spacing w:after="0"/>
              <w:rPr>
                <w:sz w:val="14"/>
                <w:szCs w:val="14"/>
                <w:color w:val="auto"/>
              </w:rPr>
            </w:pPr>
          </w:p>
        </w:tc>
        <w:tc>
          <w:tcPr>
            <w:tcW w:w="15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ACCUMULATED</w:t>
            </w:r>
          </w:p>
        </w:tc>
        <w:tc>
          <w:tcPr>
            <w:tcW w:w="23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INCOME (LOSS)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COMPENSATION</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2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 (103,664,084)</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$(5,198)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$(1,472,919)</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$17,897,408</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$320,183</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under the</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 purchase plan.............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42,193</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103,410</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518,442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247,919</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328,195</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Change in unrealized losses on</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marketable securities</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5,198</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5,198</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(15,708,626)</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(15,708,626)</w:t>
            </w:r>
          </w:p>
        </w:tc>
      </w:tr>
      <w:tr>
        <w:trPr>
          <w:trHeight w:val="168"/>
        </w:trPr>
        <w:tc>
          <w:tcPr>
            <w:tcW w:w="3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(15,703,428)</w:t>
            </w:r>
          </w:p>
        </w:tc>
      </w:tr>
      <w:tr>
        <w:trPr>
          <w:trHeight w:val="336"/>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2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(119,372,710)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(1,225,000)</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3,506,403</w:t>
            </w:r>
          </w:p>
        </w:tc>
      </w:tr>
    </w:tbl>
    <w:p>
      <w:pPr>
        <w:sectPr>
          <w:pgSz w:w="11900" w:h="16838" w:orient="portrait"/>
          <w:cols w:equalWidth="0" w:num="1">
            <w:col w:w="10239"/>
          </w:cols>
          <w:pgMar w:left="220" w:top="785" w:right="1440" w:bottom="1440" w:gutter="0" w:footer="0" w:header="0"/>
        </w:sectPr>
      </w:pPr>
    </w:p>
    <w:bookmarkStart w:id="29" w:name="page30"/>
    <w:bookmarkEnd w:id="29"/>
    <w:p>
      <w:pPr>
        <w:jc w:val="center"/>
        <w:ind w:right="4280"/>
        <w:spacing w:after="0"/>
        <w:rPr>
          <w:sz w:val="20"/>
          <w:szCs w:val="20"/>
          <w:color w:val="auto"/>
        </w:rPr>
      </w:pPr>
      <w:r>
        <w:rPr>
          <w:rFonts w:ascii="Courier New" w:cs="Courier New" w:eastAsia="Courier New" w:hAnsi="Courier New"/>
          <w:sz w:val="15"/>
          <w:szCs w:val="15"/>
          <w:color w:val="auto"/>
        </w:rPr>
        <w:t>STEMCELLS, INC.</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CONSOLIDATED STATEMENTS OF CHANGES IN</w:t>
      </w:r>
    </w:p>
    <w:tbl>
      <w:tblPr>
        <w:tblLayout w:type="fixed"/>
        <w:tblInd w:w="0" w:type="dxa"/>
        <w:tblCellMar>
          <w:top w:w="0" w:type="dxa"/>
          <w:left w:w="0" w:type="dxa"/>
          <w:bottom w:w="0" w:type="dxa"/>
          <w:right w:w="0" w:type="dxa"/>
        </w:tblCellMar>
      </w:tblPr>
      <w:tr>
        <w:trPr>
          <w:trHeight w:val="169"/>
        </w:trPr>
        <w:tc>
          <w:tcPr>
            <w:tcW w:w="6440" w:type="dxa"/>
            <w:vAlign w:val="bottom"/>
            <w:gridSpan w:val="4"/>
          </w:tcPr>
          <w:p>
            <w:pPr>
              <w:jc w:val="right"/>
              <w:ind w:right="227"/>
              <w:spacing w:after="0" w:line="169" w:lineRule="exact"/>
              <w:rPr>
                <w:sz w:val="20"/>
                <w:szCs w:val="20"/>
                <w:color w:val="auto"/>
              </w:rPr>
            </w:pPr>
            <w:r>
              <w:rPr>
                <w:rFonts w:ascii="Courier New" w:cs="Courier New" w:eastAsia="Courier New" w:hAnsi="Courier New"/>
                <w:sz w:val="15"/>
                <w:szCs w:val="15"/>
                <w:color w:val="auto"/>
              </w:rPr>
              <w:t>REDEEMABLE COMMON STOCK AND STOCKHOLDERS' EQUITY (CONTINUED)</w:t>
            </w: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2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REDEEMABLE</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COMMON STOCK</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PREFERRED STOCK</w:t>
            </w:r>
          </w:p>
        </w:tc>
        <w:tc>
          <w:tcPr>
            <w:tcW w:w="2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COMMON STOCK</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SHARES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524,337</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$5,248,610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18,635,565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$186,355</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Millennium Partners LP,</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of issuance costs</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$598,563.....................</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1,104,435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$11,044</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related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license agreements..............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77,800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 of employee stock options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608,078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$6,081</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 common stock conversion.</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(524,337)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$(5,248,610)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524,337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$5,243</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$1,500,000</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Unrealized gain on short-term</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restricted investments..........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2000.......</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20,956,887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$209,569</w:t>
            </w:r>
          </w:p>
        </w:tc>
      </w:tr>
      <w:tr>
        <w:trPr>
          <w:trHeight w:val="505"/>
        </w:trPr>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ACCUMULATED</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OTHER</w:t>
            </w:r>
          </w:p>
        </w:tc>
        <w:tc>
          <w:tcPr>
            <w:tcW w:w="1520" w:type="dxa"/>
            <w:vAlign w:val="bottom"/>
          </w:tcPr>
          <w:p>
            <w:pPr>
              <w:spacing w:after="0"/>
              <w:rPr>
                <w:sz w:val="14"/>
                <w:szCs w:val="14"/>
                <w:color w:val="auto"/>
              </w:rPr>
            </w:pP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PAID-IN</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w:t>
            </w:r>
          </w:p>
        </w:tc>
        <w:tc>
          <w:tcPr>
            <w:tcW w:w="21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COMPREHENSIVE</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DEFERRED</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DEFICIT</w:t>
            </w:r>
          </w:p>
        </w:tc>
        <w:tc>
          <w:tcPr>
            <w:tcW w:w="560" w:type="dxa"/>
            <w:vAlign w:val="bottom"/>
          </w:tcPr>
          <w:p>
            <w:pPr>
              <w:spacing w:after="0"/>
              <w:rPr>
                <w:sz w:val="14"/>
                <w:szCs w:val="14"/>
                <w:color w:val="auto"/>
              </w:rPr>
            </w:pP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INCOME (LOSS)</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$123,917,758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$(119,372,710)</w:t>
            </w:r>
          </w:p>
        </w:tc>
        <w:tc>
          <w:tcPr>
            <w:tcW w:w="560" w:type="dxa"/>
            <w:vAlign w:val="bottom"/>
          </w:tcPr>
          <w:p>
            <w:pPr>
              <w:spacing w:after="0"/>
              <w:rPr>
                <w:sz w:val="24"/>
                <w:szCs w:val="2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$3,506,403</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Millennium Partners LP,</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net of issuance costs</w:t>
            </w: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$598,563.....................</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$4,390,393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$4,401,437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common stock related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license agreements..............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$364,222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$365,000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 issued pursuant to</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employee benefit plan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$27,112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$27,180</w:t>
            </w: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Exercise of employee stock options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$651,828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$657,909</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 common stock conversion</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$5,243,367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$5,248,610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Deferred compensation--</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cancellations...............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$3,555,387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$(1,510,760)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$2,044,627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Unrealized gain on short-term</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restricted investments..........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$16,356,334</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$16,356,334</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$(11,125,477)</w:t>
            </w:r>
          </w:p>
        </w:tc>
        <w:tc>
          <w:tcPr>
            <w:tcW w:w="56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$(11,125,477)</w:t>
            </w:r>
          </w:p>
        </w:tc>
      </w:tr>
      <w:tr>
        <w:trPr>
          <w:trHeight w:val="336"/>
        </w:trPr>
        <w:tc>
          <w:tcPr>
            <w:tcW w:w="3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$5,230,858</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2000.......</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$138,150,067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$(130,498,187)</w:t>
            </w:r>
          </w:p>
        </w:tc>
        <w:tc>
          <w:tcPr>
            <w:tcW w:w="560" w:type="dxa"/>
            <w:vAlign w:val="bottom"/>
          </w:tcPr>
          <w:p>
            <w:pPr>
              <w:spacing w:after="0"/>
              <w:rPr>
                <w:sz w:val="24"/>
                <w:szCs w:val="2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$16,356,334</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9"/>
              </w:rPr>
              <w:t>$(2,735,761)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$22,982,022</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1380"/>
          </w:cols>
          <w:pgMar w:left="220" w:top="617"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20"/>
                <w:szCs w:val="20"/>
                <w:color w:val="auto"/>
              </w:rPr>
            </w:pPr>
            <w:r>
              <w:rPr>
                <w:rFonts w:ascii="Courier New" w:cs="Courier New" w:eastAsia="Courier New" w:hAnsi="Courier New"/>
                <w:sz w:val="15"/>
                <w:szCs w:val="15"/>
                <w:color w:val="auto"/>
              </w:rPr>
              <w:t>STEMCELLS, INC. CONSOLIDATED STATEMENTS OF CASH FLOWS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0" w:type="dxa"/>
            <w:vAlign w:val="bottom"/>
            <w:gridSpan w:val="4"/>
          </w:tcPr>
          <w:p>
            <w:pPr>
              <w:jc w:val="right"/>
              <w:ind w:right="70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(11,125,477)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(15,708,626)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(12,627,830)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Adjustments to reconcile net loss to net cash used in operating</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4447"/>
              <w:spacing w:after="0" w:line="168" w:lineRule="exact"/>
              <w:rPr>
                <w:sz w:val="20"/>
                <w:szCs w:val="20"/>
                <w:color w:val="auto"/>
              </w:rPr>
            </w:pPr>
            <w:r>
              <w:rPr>
                <w:rFonts w:ascii="Courier New" w:cs="Courier New" w:eastAsia="Courier New" w:hAnsi="Courier New"/>
                <w:sz w:val="15"/>
                <w:szCs w:val="15"/>
                <w:color w:val="auto"/>
              </w:rPr>
              <w:t>activities: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738,593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1,717,975</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2,244,146</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Acquired research and development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551,009</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deferred compensation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2,044,627</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328,195</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Fair market adjustment for property held for sale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non-cash charges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320,183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410,173</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investment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(1,427,686)</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sale of property, plant and equipment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1,117,286</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sale of intangibles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440,486</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1207"/>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interest receivable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25,488</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164,397</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346,577</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Technology receivable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3,000,000</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315,213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283,000</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(265,665)</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(92,255)</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1,344,142</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(2,378,613)</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rent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203,393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279,680</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(2,500,000)</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2,483,856</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cash used in operating activities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(6,318,104)</w:t>
            </w:r>
          </w:p>
        </w:tc>
        <w:tc>
          <w:tcPr>
            <w:tcW w:w="34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(11,913,282)</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sale of Investments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1,427,686</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Purchases of marketable securities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(4,397,676)</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(18,982,387)</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sales of marketable securities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13,923,813</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22,573,625</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Purchases of property, plant and equipment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(151,212)</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(192,747)</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(2,153,525)</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on sale of fixed assets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746,448</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Acquisition of other assets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(886,751)</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(558,311)</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(400,219)</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Disposal of other assets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440,486</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cash provided by investing activities .....................</w:t>
            </w:r>
          </w:p>
        </w:tc>
        <w:tc>
          <w:tcPr>
            <w:tcW w:w="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389,723</w:t>
            </w:r>
          </w:p>
        </w:tc>
        <w:tc>
          <w:tcPr>
            <w:tcW w:w="340" w:type="dxa"/>
            <w:vAlign w:val="bottom"/>
          </w:tcPr>
          <w:p>
            <w:pPr>
              <w:spacing w:after="0"/>
              <w:rPr>
                <w:sz w:val="24"/>
                <w:szCs w:val="24"/>
                <w:color w:val="auto"/>
              </w:rPr>
            </w:pP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9,962,013</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1,037,494</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issuance of common stock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4,401,437</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145,603</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227,931</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the exercise of stock options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685,089</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518,442</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Common stock issued for agreements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365,000</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issuance of preferred stock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1,500,000</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Proceeds from debt financings .................................</w:t>
            </w:r>
          </w:p>
        </w:tc>
        <w:tc>
          <w:tcPr>
            <w:tcW w:w="2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1,259,300</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Change in debt service fund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609,905</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Repayments of debt and lease obligations ......................</w:t>
            </w:r>
          </w:p>
        </w:tc>
        <w:tc>
          <w:tcPr>
            <w:tcW w:w="2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(324,167)</w:t>
            </w:r>
          </w:p>
        </w:tc>
        <w:tc>
          <w:tcPr>
            <w:tcW w:w="3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(1,817,500)</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(1,366,655)</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cash provided by (used in) financing activities ...........</w:t>
            </w:r>
          </w:p>
        </w:tc>
        <w:tc>
          <w:tcPr>
            <w:tcW w:w="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7,237,264</w:t>
            </w:r>
          </w:p>
        </w:tc>
        <w:tc>
          <w:tcPr>
            <w:tcW w:w="34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(1,153,455)</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121,940</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Increase (decrease) in cash and cash equivalents ..............</w:t>
            </w:r>
          </w:p>
        </w:tc>
        <w:tc>
          <w:tcPr>
            <w:tcW w:w="20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1,308,883</w:t>
            </w:r>
          </w:p>
        </w:tc>
        <w:tc>
          <w:tcPr>
            <w:tcW w:w="34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(3,104,724)</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year ................</w:t>
            </w:r>
          </w:p>
        </w:tc>
        <w:tc>
          <w:tcPr>
            <w:tcW w:w="2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4,760,064</w:t>
            </w:r>
          </w:p>
        </w:tc>
        <w:tc>
          <w:tcPr>
            <w:tcW w:w="34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7,864,788</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15,941,701</w:t>
            </w:r>
          </w:p>
        </w:tc>
      </w:tr>
      <w:tr>
        <w:trPr>
          <w:trHeight w:val="336"/>
        </w:trPr>
        <w:tc>
          <w:tcPr>
            <w:tcW w:w="5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at end of the year ..................</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6,068,947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4,760,064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7,864,788</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paid .................................................</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272,513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335,203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444,047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ectPr>
          <w:pgSz w:w="11900" w:h="16838" w:orient="portrait"/>
          <w:cols w:equalWidth="0" w:num="1">
            <w:col w:w="10239"/>
          </w:cols>
          <w:pgMar w:left="220" w:top="78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StemCells, Inc. Notes to Consolidated Financial Statements December 31, 2000</w:t>
      </w:r>
    </w:p>
    <w:p>
      <w:pPr>
        <w:spacing w:after="0" w:line="166" w:lineRule="exact"/>
        <w:rPr>
          <w:sz w:val="20"/>
          <w:szCs w:val="20"/>
          <w:color w:val="auto"/>
        </w:rPr>
      </w:pPr>
    </w:p>
    <w:p>
      <w:pPr>
        <w:ind w:left="360" w:hanging="350"/>
        <w:spacing w:after="0"/>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spacing w:after="0" w:line="237" w:lineRule="auto"/>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spacing w:after="0" w:line="238" w:lineRule="auto"/>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spacing w:after="0" w:line="237" w:lineRule="auto"/>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spacing w:after="0" w:line="238" w:lineRule="auto"/>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spacing w:after="0" w:line="237" w:lineRule="auto"/>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spacing w:after="0" w:line="238" w:lineRule="auto"/>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spacing w:after="0" w:line="237" w:lineRule="auto"/>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There are no such collaborative research arrangements at this time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74"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3" w:lineRule="exact"/>
        <w:rPr>
          <w:sz w:val="20"/>
          <w:szCs w:val="20"/>
          <w:color w:val="auto"/>
        </w:rPr>
      </w:pPr>
    </w:p>
    <w:p>
      <w:pPr>
        <w:ind w:right="6199" w:firstLine="10"/>
        <w:spacing w:after="0" w:line="46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4" w:lineRule="exact"/>
        <w:rPr>
          <w:sz w:val="20"/>
          <w:szCs w:val="20"/>
          <w:color w:val="auto"/>
        </w:rPr>
      </w:pPr>
    </w:p>
    <w:p>
      <w:pPr>
        <w:jc w:val="both"/>
        <w:ind w:right="3239" w:firstLine="612"/>
        <w:spacing w:after="0" w:line="235"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AND INVESTMENTS</w:t>
      </w:r>
    </w:p>
    <w:p>
      <w:pPr>
        <w:spacing w:after="0" w:line="173"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ectPr>
          <w:pgSz w:w="11900" w:h="16838" w:orient="portrait"/>
          <w:cols w:equalWidth="0" w:num="1">
            <w:col w:w="10239"/>
          </w:cols>
          <w:pgMar w:left="220" w:top="785" w:right="1440" w:bottom="1440" w:gutter="0" w:footer="0" w:header="0"/>
        </w:sectPr>
      </w:pPr>
    </w:p>
    <w:bookmarkStart w:id="32" w:name="page33"/>
    <w:bookmarkEnd w:id="32"/>
    <w:p>
      <w:pPr>
        <w:ind w:right="3319" w:firstLine="612"/>
        <w:spacing w:after="0" w:line="236" w:lineRule="auto"/>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(LOSS)</w:t>
      </w:r>
    </w:p>
    <w:p>
      <w:pPr>
        <w:spacing w:after="0" w:line="173" w:lineRule="exact"/>
        <w:rPr>
          <w:sz w:val="20"/>
          <w:szCs w:val="20"/>
          <w:color w:val="auto"/>
        </w:rPr>
      </w:pPr>
    </w:p>
    <w:p>
      <w:pPr>
        <w:jc w:val="both"/>
        <w:ind w:right="3399" w:firstLine="612"/>
        <w:spacing w:after="0" w:line="254" w:lineRule="auto"/>
        <w:rPr>
          <w:sz w:val="20"/>
          <w:szCs w:val="20"/>
          <w:color w:val="auto"/>
        </w:rPr>
      </w:pPr>
      <w:r>
        <w:rPr>
          <w:rFonts w:ascii="Courier New" w:cs="Courier New" w:eastAsia="Courier New" w:hAnsi="Courier New"/>
          <w:sz w:val="14"/>
          <w:szCs w:val="14"/>
          <w:color w:val="auto"/>
        </w:rPr>
        <w:t>Comprehensive income (loss) is comprised of net income (loss) and other comprehensive income (loss). The only component of other comprehensive income (loss) is unrealized gains and losses on our available-for-sale securities.</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Comprehensive income (loss) has been disclosed in the statement of changes in redeemable common stock and stockholders'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5" w:lineRule="exact"/>
        <w:rPr>
          <w:sz w:val="20"/>
          <w:szCs w:val="20"/>
          <w:color w:val="auto"/>
        </w:rPr>
      </w:pPr>
    </w:p>
    <w:p>
      <w:pPr>
        <w:jc w:val="both"/>
        <w:ind w:right="3399" w:firstLine="612"/>
        <w:spacing w:after="0" w:line="235"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gridSpan w:val="2"/>
          </w:tcPr>
          <w:p>
            <w:pPr>
              <w:spacing w:after="0"/>
              <w:rPr>
                <w:sz w:val="20"/>
                <w:szCs w:val="20"/>
                <w:color w:val="auto"/>
              </w:rPr>
            </w:pPr>
            <w:r>
              <w:rPr>
                <w:rFonts w:ascii="Courier New" w:cs="Courier New" w:eastAsia="Courier New" w:hAnsi="Courier New"/>
                <w:sz w:val="15"/>
                <w:szCs w:val="15"/>
                <w:color w:val="auto"/>
                <w:w w:val="98"/>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w:t>
            </w: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equipment................................................................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w:t>
            </w:r>
          </w:p>
        </w:tc>
        <w:tc>
          <w:tcPr>
            <w:tcW w:w="6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fixtures.................................................................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AND LICENSE COSTS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BASED COMPENSATION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w:t>
      </w:r>
    </w:p>
    <w:p>
      <w:pPr>
        <w:sectPr>
          <w:pgSz w:w="11900" w:h="16838" w:orient="portrait"/>
          <w:cols w:equalWidth="0" w:num="1">
            <w:col w:w="10239"/>
          </w:cols>
          <w:pgMar w:left="220" w:top="792" w:right="1440" w:bottom="1440" w:gutter="0" w:footer="0" w:header="0"/>
        </w:sectPr>
      </w:pPr>
    </w:p>
    <w:bookmarkStart w:id="33" w:name="page34"/>
    <w:bookmarkEnd w:id="33"/>
    <w:p>
      <w:pPr>
        <w:ind w:right="3239"/>
        <w:spacing w:after="0" w:line="255" w:lineRule="auto"/>
        <w:rPr>
          <w:sz w:val="20"/>
          <w:szCs w:val="20"/>
          <w:color w:val="auto"/>
        </w:rPr>
      </w:pPr>
      <w:r>
        <w:rPr>
          <w:rFonts w:ascii="Courier New" w:cs="Courier New" w:eastAsia="Courier New" w:hAnsi="Courier New"/>
          <w:sz w:val="14"/>
          <w:szCs w:val="14"/>
          <w:color w:val="auto"/>
        </w:rPr>
        <w:t>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LIVED ASSETS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firstLine="612"/>
        <w:spacing w:after="0" w:line="236"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80"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75"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w:t>
      </w:r>
    </w:p>
    <w:p>
      <w:pPr>
        <w:sectPr>
          <w:pgSz w:w="11900" w:h="16838" w:orient="portrait"/>
          <w:cols w:equalWidth="0" w:num="1">
            <w:col w:w="10239"/>
          </w:cols>
          <w:pgMar w:left="220" w:top="792" w:right="1440" w:bottom="1440" w:gutter="0" w:footer="0" w:header="0"/>
        </w:sectPr>
      </w:pPr>
    </w:p>
    <w:bookmarkStart w:id="34" w:name="page35"/>
    <w:bookmarkEnd w:id="34"/>
    <w:p>
      <w:pPr>
        <w:ind w:right="3319"/>
        <w:spacing w:after="0" w:line="234" w:lineRule="auto"/>
        <w:rPr>
          <w:sz w:val="20"/>
          <w:szCs w:val="20"/>
          <w:color w:val="auto"/>
        </w:rPr>
      </w:pPr>
      <w:r>
        <w:rPr>
          <w:rFonts w:ascii="Courier New" w:cs="Courier New" w:eastAsia="Courier New" w:hAnsi="Courier New"/>
          <w:sz w:val="15"/>
          <w:szCs w:val="15"/>
          <w:color w:val="auto"/>
        </w:rPr>
        <w:t>accounting principle as allowed for in EITF 00-27. Accordingly, the Company has recognized an additional $216,000 of deemed dividend on preferred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5"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WIND-DOWN OF ENCAPSULATED CELL TECHNOLOGY RESEARCH AND DEVELOPMENT PROGRAM</w:t>
      </w:r>
    </w:p>
    <w:p>
      <w:pPr>
        <w:spacing w:after="0" w:line="178"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66" w:lineRule="exact"/>
        <w:rPr>
          <w:sz w:val="20"/>
          <w:szCs w:val="20"/>
          <w:color w:val="auto"/>
        </w:rPr>
      </w:pPr>
    </w:p>
    <w:p>
      <w:pPr>
        <w:ind w:right="3579" w:firstLine="612"/>
        <w:spacing w:after="0" w:line="235"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 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4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 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w:t>
      </w:r>
    </w:p>
    <w:p>
      <w:pPr>
        <w:sectPr>
          <w:pgSz w:w="11900" w:h="16838" w:orient="portrait"/>
          <w:cols w:equalWidth="0" w:num="1">
            <w:col w:w="10239"/>
          </w:cols>
          <w:pgMar w:left="220" w:top="79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At December 31, 2000 the remaining wind-down reserve totaled $1.7 million.</w:t>
      </w:r>
    </w:p>
    <w:p>
      <w:pPr>
        <w:spacing w:after="0" w:line="173"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YEAR ENDED</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3820" w:type="dxa"/>
            <w:vAlign w:val="bottom"/>
          </w:tcPr>
          <w:p>
            <w:pPr>
              <w:spacing w:after="0"/>
              <w:rPr>
                <w:sz w:val="14"/>
                <w:szCs w:val="14"/>
                <w:color w:val="auto"/>
              </w:rPr>
            </w:pPr>
          </w:p>
        </w:tc>
        <w:tc>
          <w:tcPr>
            <w:tcW w:w="1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1999</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2000</w:t>
            </w:r>
          </w:p>
        </w:tc>
      </w:tr>
      <w:tr>
        <w:trPr>
          <w:trHeight w:val="168"/>
        </w:trPr>
        <w:tc>
          <w:tcPr>
            <w:tcW w:w="3820" w:type="dxa"/>
            <w:vAlign w:val="bottom"/>
          </w:tcPr>
          <w:p>
            <w:pPr>
              <w:spacing w:after="0"/>
              <w:rPr>
                <w:sz w:val="14"/>
                <w:szCs w:val="14"/>
                <w:color w:val="auto"/>
              </w:rPr>
            </w:pPr>
          </w:p>
        </w:tc>
        <w:tc>
          <w:tcPr>
            <w:tcW w:w="1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Employee severance costs .................</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$1,554,000</w:t>
            </w:r>
          </w:p>
        </w:tc>
        <w:tc>
          <w:tcPr>
            <w:tcW w:w="162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losses(1):</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Fixed assets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800,000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ECT patents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260,000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1,060,000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Rhode Island facilities carrying costs(2):</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Corporate headquarters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702,000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$3,327,000</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Pilot manufacturing plant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562,000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1,264,000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3,327,000</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Employee outplacement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RIPSAT settlement(3)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1,172,000</w:t>
            </w:r>
          </w:p>
        </w:tc>
        <w:tc>
          <w:tcPr>
            <w:tcW w:w="16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assets(4):</w:t>
            </w:r>
          </w:p>
        </w:tc>
        <w:tc>
          <w:tcPr>
            <w:tcW w:w="1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Fixed assets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318,000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ECT patents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180,000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498,000</w:t>
            </w:r>
          </w:p>
        </w:tc>
        <w:tc>
          <w:tcPr>
            <w:tcW w:w="1620" w:type="dxa"/>
            <w:vAlign w:val="bottom"/>
          </w:tcPr>
          <w:p>
            <w:pPr>
              <w:spacing w:after="0"/>
              <w:rPr>
                <w:sz w:val="14"/>
                <w:szCs w:val="1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Write-down of pilot plant(5) .............</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300,000</w:t>
            </w:r>
          </w:p>
        </w:tc>
        <w:tc>
          <w:tcPr>
            <w:tcW w:w="16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$6,048,000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$3,327,000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3319" w:hanging="610"/>
        <w:spacing w:after="0" w:line="235"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5" w:lineRule="exact"/>
        <w:rPr>
          <w:rFonts w:ascii="Courier New" w:cs="Courier New" w:eastAsia="Courier New" w:hAnsi="Courier New"/>
          <w:sz w:val="15"/>
          <w:szCs w:val="15"/>
          <w:color w:val="auto"/>
        </w:rPr>
      </w:pPr>
    </w:p>
    <w:p>
      <w:pPr>
        <w:ind w:left="620" w:right="3399" w:hanging="610"/>
        <w:spacing w:after="0" w:line="256"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4" w:lineRule="exact"/>
        <w:rPr>
          <w:rFonts w:ascii="Courier New" w:cs="Courier New" w:eastAsia="Courier New" w:hAnsi="Courier New"/>
          <w:sz w:val="14"/>
          <w:szCs w:val="14"/>
          <w:color w:val="auto"/>
        </w:rPr>
      </w:pPr>
    </w:p>
    <w:p>
      <w:pPr>
        <w:ind w:left="620" w:right="3239" w:hanging="610"/>
        <w:spacing w:after="0" w:line="255"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65" w:lineRule="exact"/>
        <w:rPr>
          <w:rFonts w:ascii="Courier New" w:cs="Courier New" w:eastAsia="Courier New" w:hAnsi="Courier New"/>
          <w:sz w:val="14"/>
          <w:szCs w:val="14"/>
          <w:color w:val="auto"/>
        </w:rPr>
      </w:pPr>
    </w:p>
    <w:p>
      <w:pPr>
        <w:ind w:left="620" w:right="3399" w:hanging="610"/>
        <w:spacing w:after="0" w:line="235"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3" w:lineRule="exact"/>
        <w:rPr>
          <w:rFonts w:ascii="Courier New" w:cs="Courier New" w:eastAsia="Courier New" w:hAnsi="Courier New"/>
          <w:sz w:val="15"/>
          <w:szCs w:val="15"/>
          <w:color w:val="auto"/>
        </w:rPr>
      </w:pPr>
    </w:p>
    <w:p>
      <w:pPr>
        <w:ind w:left="620" w:right="3499" w:hanging="610"/>
        <w:spacing w:after="0" w:line="234"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Property held for sale at December 31, 2000 and 1999, consisted of $3.2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w:t>
      </w:r>
    </w:p>
    <w:p>
      <w:pPr>
        <w:sectPr>
          <w:pgSz w:w="11900" w:h="16838" w:orient="portrait"/>
          <w:cols w:equalWidth="0" w:num="1">
            <w:col w:w="10239"/>
          </w:cols>
          <w:pgMar w:left="220" w:top="785" w:right="1440" w:bottom="1440" w:gutter="0" w:footer="0" w:header="0"/>
        </w:sectPr>
      </w:pPr>
    </w:p>
    <w:bookmarkStart w:id="36" w:name="page37"/>
    <w:bookmarkEnd w:id="36"/>
    <w:p>
      <w:pPr>
        <w:ind w:right="3239"/>
        <w:spacing w:after="0" w:line="235" w:lineRule="auto"/>
        <w:rPr>
          <w:sz w:val="20"/>
          <w:szCs w:val="20"/>
          <w:color w:val="auto"/>
        </w:rPr>
      </w:pPr>
      <w:r>
        <w:rPr>
          <w:rFonts w:ascii="Courier New" w:cs="Courier New" w:eastAsia="Courier New" w:hAnsi="Courier New"/>
          <w:sz w:val="15"/>
          <w:szCs w:val="15"/>
          <w:color w:val="auto"/>
        </w:rPr>
        <w:t>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69"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3"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fair value was determined using the Black-Scholes method.</w:t>
      </w:r>
    </w:p>
    <w:p>
      <w:pPr>
        <w:spacing w:after="0" w:line="345"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325"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499" w:firstLine="612"/>
        <w:spacing w:after="0" w:line="235"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4" w:lineRule="exact"/>
        <w:rPr>
          <w:sz w:val="20"/>
          <w:szCs w:val="20"/>
          <w:color w:val="auto"/>
        </w:rPr>
      </w:pPr>
    </w:p>
    <w:p>
      <w:pPr>
        <w:jc w:val="both"/>
        <w:ind w:right="3319" w:firstLine="612"/>
        <w:spacing w:after="0" w:line="235"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5"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At December 31, 2000 the Company owned 126,193 shares of Modex. Modex completed an initial public offering of shares on the Swiss Exchange on 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5" w:lineRule="exact"/>
        <w:rPr>
          <w:sz w:val="20"/>
          <w:szCs w:val="20"/>
          <w:color w:val="auto"/>
        </w:rPr>
      </w:pPr>
    </w:p>
    <w:p>
      <w:pPr>
        <w:jc w:val="both"/>
        <w:ind w:right="3579" w:firstLine="612"/>
        <w:spacing w:after="0" w:line="254" w:lineRule="auto"/>
        <w:rPr>
          <w:sz w:val="20"/>
          <w:szCs w:val="20"/>
          <w:color w:val="auto"/>
        </w:rPr>
      </w:pPr>
      <w:r>
        <w:rPr>
          <w:rFonts w:ascii="Courier New" w:cs="Courier New" w:eastAsia="Courier New" w:hAnsi="Courier New"/>
          <w:sz w:val="14"/>
          <w:szCs w:val="14"/>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w:t>
      </w:r>
    </w:p>
    <w:p>
      <w:pPr>
        <w:spacing w:after="0" w:line="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Under the terms of the sale to Neurotech, the Company will receive a portion of revenues Neurotech receives from Modex under the Cross License Agreement.</w:t>
      </w:r>
    </w:p>
    <w:p>
      <w:pPr>
        <w:sectPr>
          <w:pgSz w:w="11900" w:h="16838" w:orient="portrait"/>
          <w:cols w:equalWidth="0" w:num="1">
            <w:col w:w="10239"/>
          </w:cols>
          <w:pgMar w:left="220" w:top="792" w:right="1440" w:bottom="1440" w:gutter="0" w:footer="0" w:header="0"/>
        </w:sectPr>
      </w:pPr>
    </w:p>
    <w:bookmarkStart w:id="37" w:name="page38"/>
    <w:bookmarkEnd w:id="37"/>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Building and improvements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703,095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665,890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 ......................</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1,766,448</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1,691,136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 .......................</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188,736</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219,260</w:t>
            </w:r>
          </w:p>
        </w:tc>
      </w:tr>
      <w:tr>
        <w:trPr>
          <w:trHeight w:val="168"/>
        </w:trPr>
        <w:tc>
          <w:tcPr>
            <w:tcW w:w="4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2,658,279</w:t>
            </w:r>
          </w:p>
        </w:tc>
        <w:tc>
          <w:tcPr>
            <w:tcW w:w="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2,576,286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4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(1,207,218)</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(828,401)</w:t>
            </w:r>
          </w:p>
        </w:tc>
      </w:tr>
      <w:tr>
        <w:trPr>
          <w:trHeight w:val="168"/>
        </w:trPr>
        <w:tc>
          <w:tcPr>
            <w:tcW w:w="434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1,451,061</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1,747,885</w:t>
            </w:r>
          </w:p>
        </w:tc>
      </w:tr>
    </w:tbl>
    <w:p>
      <w:pPr>
        <w:spacing w:after="0" w:line="341"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6"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 decision to exit ECT and relocate to Sunnyvale, California, this property has been classified as held for sale.</w:t>
      </w:r>
    </w:p>
    <w:p>
      <w:pPr>
        <w:spacing w:after="0" w:line="168"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1"/>
                <w:szCs w:val="11"/>
                <w:color w:val="auto"/>
                <w:w w:val="73"/>
              </w:rPr>
              <w:t>Patents, net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629,203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708,823</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License agreements, net ........</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669,000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282,750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Security deposit--</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building lease</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750,000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750,000</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Deposit--other .................</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16,321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Deferred financing costs, net ..</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109,388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117,195</w:t>
            </w:r>
          </w:p>
        </w:tc>
      </w:tr>
      <w:tr>
        <w:trPr>
          <w:trHeight w:val="168"/>
        </w:trPr>
        <w:tc>
          <w:tcPr>
            <w:tcW w:w="158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2,173,912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1,858,768</w:t>
            </w:r>
          </w:p>
        </w:tc>
      </w:tr>
    </w:tbl>
    <w:p>
      <w:pPr>
        <w:spacing w:after="0" w:line="341"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67"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Accrued expenses are as follows:</w:t>
      </w:r>
    </w:p>
    <w:p>
      <w:pPr>
        <w:sectPr>
          <w:pgSz w:w="11900" w:h="16838" w:orient="portrait"/>
          <w:cols w:equalWidth="0" w:num="1">
            <w:col w:w="10239"/>
          </w:cols>
          <w:pgMar w:left="220" w:top="78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24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2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External services ....</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$219,051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109,007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306,342</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Collaborative research</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222,140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509,300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344,625</w:t>
            </w:r>
          </w:p>
        </w:tc>
      </w:tr>
      <w:tr>
        <w:trPr>
          <w:trHeight w:val="168"/>
        </w:trPr>
        <w:tc>
          <w:tcPr>
            <w:tcW w:w="22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$837,358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$970,546</w:t>
            </w:r>
          </w:p>
        </w:tc>
      </w:tr>
    </w:tbl>
    <w:p>
      <w:pPr>
        <w:spacing w:after="0" w:line="335"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880" w:firstLine="612"/>
        <w:spacing w:after="0" w:line="254"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5" w:lineRule="exact"/>
        <w:rPr>
          <w:sz w:val="20"/>
          <w:szCs w:val="20"/>
          <w:color w:val="auto"/>
        </w:rPr>
      </w:pPr>
    </w:p>
    <w:p>
      <w:pPr>
        <w:ind w:right="960" w:firstLine="612"/>
        <w:spacing w:after="0" w:line="236" w:lineRule="auto"/>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4" w:lineRule="exact"/>
        <w:rPr>
          <w:sz w:val="20"/>
          <w:szCs w:val="20"/>
          <w:color w:val="auto"/>
        </w:rPr>
      </w:pPr>
    </w:p>
    <w:p>
      <w:pPr>
        <w:ind w:right="880" w:firstLine="612"/>
        <w:spacing w:after="0" w:line="236"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5" w:lineRule="exact"/>
        <w:rPr>
          <w:sz w:val="20"/>
          <w:szCs w:val="20"/>
          <w:color w:val="auto"/>
        </w:rPr>
      </w:pPr>
    </w:p>
    <w:p>
      <w:pPr>
        <w:ind w:right="1140" w:firstLine="612"/>
        <w:spacing w:after="0" w:line="261" w:lineRule="auto"/>
        <w:rPr>
          <w:sz w:val="20"/>
          <w:szCs w:val="20"/>
          <w:color w:val="auto"/>
        </w:rPr>
      </w:pPr>
      <w:r>
        <w:rPr>
          <w:rFonts w:ascii="Courier New" w:cs="Courier New" w:eastAsia="Courier New" w:hAnsi="Courier New"/>
          <w:sz w:val="14"/>
          <w:szCs w:val="14"/>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CAPITAL LEASES</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 LEASES</w:t>
            </w:r>
          </w:p>
        </w:tc>
      </w:tr>
      <w:tr>
        <w:trPr>
          <w:trHeight w:val="168"/>
        </w:trPr>
        <w:tc>
          <w:tcPr>
            <w:tcW w:w="490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2001 .................................................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589,217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3,584,061</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519,719</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2,392,988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436,909</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4,568,274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425,713</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4,677,197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412,587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4,789,388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2,311,577</w:t>
            </w:r>
          </w:p>
        </w:tc>
        <w:tc>
          <w:tcPr>
            <w:tcW w:w="6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8,797,417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 .........................</w:t>
            </w: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4,695,722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28,809,325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SUBLEASE INCOME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600" w:hanging="346"/>
        <w:spacing w:after="0"/>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295,854</w:t>
      </w:r>
    </w:p>
    <w:p>
      <w:pPr>
        <w:ind w:lef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400,658</w:t>
      </w:r>
    </w:p>
    <w:p>
      <w:pPr>
        <w:ind w:lef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395,676</w:t>
      </w:r>
    </w:p>
    <w:p>
      <w:pPr>
        <w:ind w:left="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416,507</w:t>
      </w:r>
    </w:p>
    <w:p>
      <w:pPr>
        <w:ind w:left="600"/>
        <w:spacing w:after="0" w:line="238" w:lineRule="auto"/>
        <w:rPr>
          <w:sz w:val="20"/>
          <w:szCs w:val="20"/>
          <w:color w:val="auto"/>
        </w:rPr>
      </w:pPr>
      <w:r>
        <w:rPr>
          <w:rFonts w:ascii="Courier New" w:cs="Courier New" w:eastAsia="Courier New" w:hAnsi="Courier New"/>
          <w:sz w:val="15"/>
          <w:szCs w:val="15"/>
          <w:color w:val="auto"/>
        </w:rPr>
        <w:t>437,338</w:t>
      </w:r>
    </w:p>
    <w:p>
      <w:pPr>
        <w:ind w:left="600"/>
        <w:spacing w:after="0" w:line="237" w:lineRule="auto"/>
        <w:rPr>
          <w:sz w:val="20"/>
          <w:szCs w:val="20"/>
          <w:color w:val="auto"/>
        </w:rPr>
      </w:pPr>
      <w:r>
        <w:rPr>
          <w:rFonts w:ascii="Courier New" w:cs="Courier New" w:eastAsia="Courier New" w:hAnsi="Courier New"/>
          <w:sz w:val="15"/>
          <w:szCs w:val="15"/>
          <w:color w:val="auto"/>
        </w:rPr>
        <w:t>130,761</w:t>
      </w:r>
    </w:p>
    <w:p>
      <w:pPr>
        <w:ind w:left="260"/>
        <w:spacing w:after="0" w:line="238" w:lineRule="auto"/>
        <w:rPr>
          <w:sz w:val="20"/>
          <w:szCs w:val="20"/>
          <w:color w:val="auto"/>
        </w:rPr>
      </w:pPr>
      <w:r>
        <w:rPr>
          <w:rFonts w:ascii="Courier New" w:cs="Courier New" w:eastAsia="Courier New" w:hAnsi="Courier New"/>
          <w:sz w:val="15"/>
          <w:szCs w:val="15"/>
          <w:color w:val="auto"/>
        </w:rPr>
        <w:t>$ 2,076,794</w:t>
      </w:r>
    </w:p>
    <w:p>
      <w:pPr>
        <w:sectPr>
          <w:pgSz w:w="11900" w:h="16838" w:orient="portrait"/>
          <w:cols w:equalWidth="0" w:num="2">
            <w:col w:w="7880" w:space="360"/>
            <w:col w:w="1999"/>
          </w:cols>
          <w:pgMar w:left="220" w:top="1122"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$ 1,758,639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 of minimum lease payments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2,937,083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332,083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 less current maturities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$ 2,605,000</w:t>
            </w:r>
          </w:p>
        </w:tc>
      </w:tr>
    </w:tbl>
    <w:p>
      <w:pPr>
        <w:spacing w:after="0" w:line="341" w:lineRule="exact"/>
        <w:rPr>
          <w:sz w:val="20"/>
          <w:szCs w:val="20"/>
          <w:color w:val="auto"/>
        </w:rPr>
      </w:pPr>
    </w:p>
    <w:p>
      <w:pPr>
        <w:ind w:right="3499" w:firstLine="612"/>
        <w:spacing w:after="0" w:line="234"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3" w:lineRule="exact"/>
        <w:rPr>
          <w:sz w:val="20"/>
          <w:szCs w:val="20"/>
          <w:color w:val="auto"/>
        </w:rPr>
      </w:pPr>
    </w:p>
    <w:p>
      <w:pPr>
        <w:ind w:right="8039" w:firstLine="10"/>
        <w:spacing w:after="0" w:line="509" w:lineRule="auto"/>
        <w:tabs>
          <w:tab w:leader="none" w:pos="43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ind w:right="3239" w:firstLine="612"/>
        <w:spacing w:after="0" w:line="254"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 $3 million of the purchase price at the 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347"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343"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w:t>
      </w:r>
    </w:p>
    <w:p>
      <w:pPr>
        <w:sectPr>
          <w:pgSz w:w="11900" w:h="16838" w:orient="portrait"/>
          <w:cols w:equalWidth="0" w:num="1">
            <w:col w:w="10239"/>
          </w:cols>
          <w:pgMar w:left="220" w:top="1122" w:right="1440" w:bottom="1440" w:gutter="0" w:footer="0" w:header="0"/>
        </w:sectPr>
      </w:pPr>
    </w:p>
    <w:bookmarkStart w:id="40" w:name="page41"/>
    <w:bookmarkEnd w:id="40"/>
    <w:p>
      <w:pPr>
        <w:ind w:right="3499"/>
        <w:spacing w:after="0" w:line="234" w:lineRule="auto"/>
        <w:rPr>
          <w:sz w:val="20"/>
          <w:szCs w:val="20"/>
          <w:color w:val="auto"/>
        </w:rPr>
      </w:pPr>
      <w:r>
        <w:rPr>
          <w:rFonts w:ascii="Courier New" w:cs="Courier New" w:eastAsia="Courier New" w:hAnsi="Courier New"/>
          <w:sz w:val="15"/>
          <w:szCs w:val="15"/>
          <w:color w:val="auto"/>
        </w:rPr>
        <w:t>be beneficially owned by the Fund to 9.99% of the total number of outstanding shares of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COMMON STOCK</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 November 1996, the Company signed certain collaborative development</w:t>
      </w:r>
    </w:p>
    <w:p>
      <w:pPr>
        <w:spacing w:after="0" w:line="237" w:lineRule="auto"/>
        <w:rPr>
          <w:sz w:val="20"/>
          <w:szCs w:val="20"/>
          <w:color w:val="auto"/>
        </w:rPr>
      </w:pPr>
      <w:r>
        <w:rPr>
          <w:rFonts w:ascii="Courier New" w:cs="Courier New" w:eastAsia="Courier New" w:hAnsi="Courier New"/>
          <w:sz w:val="15"/>
          <w:szCs w:val="15"/>
          <w:color w:val="auto"/>
        </w:rPr>
        <w:t>and licensing agreements with Genentech, Inc, including one under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purchased 829,171 shares of redeemable common stock for $8.3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fund development of products to treat Parkinson's disease. The Agreement also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Genentech had the right, at its discretion, to terminate the</w:t>
      </w:r>
    </w:p>
    <w:p>
      <w:pPr>
        <w:spacing w:after="0" w:line="237" w:lineRule="auto"/>
        <w:rPr>
          <w:sz w:val="20"/>
          <w:szCs w:val="20"/>
          <w:color w:val="auto"/>
        </w:rPr>
      </w:pPr>
      <w:r>
        <w:rPr>
          <w:rFonts w:ascii="Courier New" w:cs="Courier New" w:eastAsia="Courier New" w:hAnsi="Courier New"/>
          <w:sz w:val="15"/>
          <w:szCs w:val="15"/>
          <w:color w:val="auto"/>
        </w:rPr>
        <w:t>Parkinson's program at specified milestones in the program, and that if the</w:t>
      </w:r>
    </w:p>
    <w:p>
      <w:pPr>
        <w:spacing w:after="0" w:line="238" w:lineRule="auto"/>
        <w:rPr>
          <w:sz w:val="20"/>
          <w:szCs w:val="20"/>
          <w:color w:val="auto"/>
        </w:rPr>
      </w:pPr>
      <w:r>
        <w:rPr>
          <w:rFonts w:ascii="Courier New" w:cs="Courier New" w:eastAsia="Courier New" w:hAnsi="Courier New"/>
          <w:sz w:val="15"/>
          <w:szCs w:val="15"/>
          <w:color w:val="auto"/>
        </w:rPr>
        <w:t>program were terminated, Genentech had the right to require the Company to</w:t>
      </w:r>
    </w:p>
    <w:p>
      <w:pPr>
        <w:spacing w:after="0" w:line="237" w:lineRule="auto"/>
        <w:rPr>
          <w:sz w:val="20"/>
          <w:szCs w:val="20"/>
          <w:color w:val="auto"/>
        </w:rPr>
      </w:pPr>
      <w:r>
        <w:rPr>
          <w:rFonts w:ascii="Courier New" w:cs="Courier New" w:eastAsia="Courier New" w:hAnsi="Courier New"/>
          <w:sz w:val="15"/>
          <w:szCs w:val="15"/>
          <w:color w:val="auto"/>
        </w:rPr>
        <w:t>repurchase from Genentech the shares of the Company's common stock having a</w:t>
      </w:r>
    </w:p>
    <w:p>
      <w:pPr>
        <w:spacing w:after="0" w:line="238" w:lineRule="auto"/>
        <w:rPr>
          <w:sz w:val="20"/>
          <w:szCs w:val="20"/>
          <w:color w:val="auto"/>
        </w:rPr>
      </w:pPr>
      <w:r>
        <w:rPr>
          <w:rFonts w:ascii="Courier New" w:cs="Courier New" w:eastAsia="Courier New" w:hAnsi="Courier New"/>
          <w:sz w:val="15"/>
          <w:szCs w:val="15"/>
          <w:color w:val="auto"/>
        </w:rPr>
        <w:t>value equal to the amount by which the $8.3 million exceeded the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incurred by the Company in connection with such studies by more than $1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upon the share price paid by Genentech. Accordingly, the common stock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classified as redeemable common stock until such time as the related funds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expended. At December 31, 1998, $3,051,000 had been spent on the collaboration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Genentech and, accordingly, the Company has reclassified those common</w:t>
      </w:r>
    </w:p>
    <w:p>
      <w:pPr>
        <w:spacing w:after="0" w:line="237" w:lineRule="auto"/>
        <w:rPr>
          <w:sz w:val="20"/>
          <w:szCs w:val="20"/>
          <w:color w:val="auto"/>
        </w:rPr>
      </w:pPr>
      <w:r>
        <w:rPr>
          <w:rFonts w:ascii="Courier New" w:cs="Courier New" w:eastAsia="Courier New" w:hAnsi="Courier New"/>
          <w:sz w:val="15"/>
          <w:szCs w:val="15"/>
          <w:color w:val="auto"/>
        </w:rPr>
        <w:t>shares and related value to stockholders' equity. On May 21, 1998, Genentech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its right to terminate the collaboration and negotiations ensued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the amount of redeemable common stock to be redeemed in accordance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agreement and the method of such redemption. In March 2000,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reached a settlement of this matter with Genentech. Under the settlement</w:t>
      </w:r>
    </w:p>
    <w:p>
      <w:pPr>
        <w:spacing w:after="0" w:line="237" w:lineRule="auto"/>
        <w:rPr>
          <w:sz w:val="20"/>
          <w:szCs w:val="20"/>
          <w:color w:val="auto"/>
        </w:rPr>
      </w:pPr>
      <w:r>
        <w:rPr>
          <w:rFonts w:ascii="Courier New" w:cs="Courier New" w:eastAsia="Courier New" w:hAnsi="Courier New"/>
          <w:sz w:val="15"/>
          <w:szCs w:val="15"/>
          <w:color w:val="auto"/>
        </w:rPr>
        <w:t>agreement, Genentech released the Company from any obligation to redeem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the Company's Common Stock held by Genentech. Accordingly,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reclassified the amount currently recorded as Redeemable Common Stock</w:t>
      </w:r>
    </w:p>
    <w:p>
      <w:pPr>
        <w:spacing w:after="0" w:line="237" w:lineRule="auto"/>
        <w:rPr>
          <w:sz w:val="20"/>
          <w:szCs w:val="20"/>
          <w:color w:val="auto"/>
        </w:rPr>
      </w:pPr>
      <w:r>
        <w:rPr>
          <w:rFonts w:ascii="Courier New" w:cs="Courier New" w:eastAsia="Courier New" w:hAnsi="Courier New"/>
          <w:sz w:val="15"/>
          <w:szCs w:val="15"/>
          <w:color w:val="auto"/>
        </w:rPr>
        <w:t>($5,248,000) to Stockholders' Equity in March 2000. The Company and Genentech</w:t>
      </w:r>
    </w:p>
    <w:p>
      <w:pPr>
        <w:spacing w:after="0" w:line="238" w:lineRule="auto"/>
        <w:rPr>
          <w:sz w:val="20"/>
          <w:szCs w:val="20"/>
          <w:color w:val="auto"/>
        </w:rPr>
      </w:pPr>
      <w:r>
        <w:rPr>
          <w:rFonts w:ascii="Courier New" w:cs="Courier New" w:eastAsia="Courier New" w:hAnsi="Courier New"/>
          <w:sz w:val="15"/>
          <w:szCs w:val="15"/>
          <w:color w:val="auto"/>
        </w:rPr>
        <w:t>also agreed that all of the agreements between them were terminated and that</w:t>
      </w:r>
    </w:p>
    <w:p>
      <w:pPr>
        <w:spacing w:after="0" w:line="237" w:lineRule="auto"/>
        <w:rPr>
          <w:sz w:val="20"/>
          <w:szCs w:val="20"/>
          <w:color w:val="auto"/>
        </w:rPr>
      </w:pPr>
      <w:r>
        <w:rPr>
          <w:rFonts w:ascii="Courier New" w:cs="Courier New" w:eastAsia="Courier New" w:hAnsi="Courier New"/>
          <w:sz w:val="15"/>
          <w:szCs w:val="15"/>
          <w:color w:val="auto"/>
        </w:rPr>
        <w:t>neither had any claim to the intellectual property of the other.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3" w:lineRule="exact"/>
        <w:rPr>
          <w:sz w:val="20"/>
          <w:szCs w:val="20"/>
          <w:color w:val="auto"/>
        </w:rPr>
      </w:pPr>
    </w:p>
    <w:p>
      <w:pPr>
        <w:ind w:right="3319" w:firstLine="612"/>
        <w:spacing w:after="0" w:line="255" w:lineRule="auto"/>
        <w:rPr>
          <w:sz w:val="20"/>
          <w:szCs w:val="20"/>
          <w:color w:val="auto"/>
        </w:rPr>
      </w:pPr>
      <w:r>
        <w:rPr>
          <w:rFonts w:ascii="Courier New" w:cs="Courier New" w:eastAsia="Courier New" w:hAnsi="Courier New"/>
          <w:sz w:val="14"/>
          <w:szCs w:val="14"/>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 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in the non-transplant field, or in any products employing NeuroSpheres patents for generating cells of the blood and immune system from neural stem cells.</w:t>
      </w:r>
    </w:p>
    <w:p>
      <w:pPr>
        <w:spacing w:after="0" w:line="165"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ISSUED</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ectPr>
          <w:pgSz w:w="11900" w:h="16838" w:orient="portrait"/>
          <w:cols w:equalWidth="0" w:num="1">
            <w:col w:w="10239"/>
          </w:cols>
          <w:pgMar w:left="220" w:top="79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StemCells, Inc. Notes to Consolidated Financial Statements December 31, 2000</w:t>
      </w:r>
    </w:p>
    <w:p>
      <w:pPr>
        <w:spacing w:after="0" w:line="166"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3" w:lineRule="exact"/>
        <w:rPr>
          <w:sz w:val="20"/>
          <w:szCs w:val="20"/>
          <w:color w:val="auto"/>
        </w:rPr>
      </w:pPr>
    </w:p>
    <w:p>
      <w:pPr>
        <w:ind w:right="1500" w:firstLine="612"/>
        <w:spacing w:after="0" w:line="237" w:lineRule="auto"/>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3" w:lineRule="exact"/>
        <w:rPr>
          <w:sz w:val="20"/>
          <w:szCs w:val="20"/>
          <w:color w:val="auto"/>
        </w:rPr>
      </w:pPr>
    </w:p>
    <w:p>
      <w:pPr>
        <w:ind w:right="1500" w:firstLine="612"/>
        <w:spacing w:after="0" w:line="236"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79" w:lineRule="exact"/>
        <w:rPr>
          <w:sz w:val="20"/>
          <w:szCs w:val="20"/>
          <w:color w:val="auto"/>
        </w:rPr>
      </w:pPr>
    </w:p>
    <w:p>
      <w:pPr>
        <w:ind w:right="1500" w:firstLine="612"/>
        <w:spacing w:after="0" w:line="235"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4"/>
              </w:rPr>
              <w:t>2000</w:t>
            </w:r>
          </w:p>
        </w:tc>
        <w:tc>
          <w:tcPr>
            <w:tcW w:w="1000" w:type="dxa"/>
            <w:vAlign w:val="bottom"/>
          </w:tcPr>
          <w:p>
            <w:pPr>
              <w:spacing w:after="0"/>
              <w:rPr>
                <w:sz w:val="14"/>
                <w:szCs w:val="14"/>
                <w:color w:val="auto"/>
              </w:rPr>
            </w:pPr>
          </w:p>
        </w:tc>
        <w:tc>
          <w:tcPr>
            <w:tcW w:w="15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88"/>
              </w:rPr>
              <w:t>1999</w:t>
            </w:r>
          </w:p>
        </w:tc>
      </w:tr>
      <w:tr>
        <w:trPr>
          <w:trHeight w:val="168"/>
        </w:trPr>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spacing w:after="0"/>
              <w:rPr>
                <w:sz w:val="14"/>
                <w:szCs w:val="14"/>
                <w:color w:val="auto"/>
              </w:rPr>
            </w:pP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WEIGHTED AVERAGE</w:t>
            </w:r>
          </w:p>
        </w:tc>
        <w:tc>
          <w:tcPr>
            <w:tcW w:w="100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WEIGHTED AVERAGE</w:t>
            </w:r>
          </w:p>
        </w:tc>
      </w:tr>
      <w:tr>
        <w:trPr>
          <w:trHeight w:val="168"/>
        </w:trPr>
        <w:tc>
          <w:tcPr>
            <w:tcW w:w="31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OPTIONS</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EXERCISE PRICE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31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939,335</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1,654,126</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2,485,090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4.08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536,078</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(540,927)</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(604,362)</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(166,532)</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4.77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(646,507)</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5.31</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2,716,966</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4.32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939,335</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$2.65</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731,523</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$4.01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594,216</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$3.44</w:t>
            </w:r>
          </w:p>
        </w:tc>
      </w:tr>
    </w:tbl>
    <w:p>
      <w:pPr>
        <w:spacing w:after="0" w:line="341" w:lineRule="exact"/>
        <w:rPr>
          <w:sz w:val="20"/>
          <w:szCs w:val="20"/>
          <w:color w:val="auto"/>
        </w:rPr>
      </w:pPr>
    </w:p>
    <w:p>
      <w:pPr>
        <w:ind w:right="1500" w:firstLine="612"/>
        <w:spacing w:after="0" w:line="254"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1998</w:t>
      </w:r>
    </w:p>
    <w:p>
      <w:pPr>
        <w:ind w:left="9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WEIGHTED AVERAGE</w:t>
      </w:r>
    </w:p>
    <w:p>
      <w:pPr>
        <w:spacing w:after="0" w:line="3"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 PRICE</w:t>
      </w:r>
    </w:p>
    <w:p>
      <w:pPr>
        <w:spacing w:after="0" w:line="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2,446,573</w:t>
      </w:r>
      <w:r>
        <w:rPr>
          <w:sz w:val="20"/>
          <w:szCs w:val="20"/>
          <w:color w:val="auto"/>
        </w:rPr>
        <w:tab/>
      </w:r>
      <w:r>
        <w:rPr>
          <w:rFonts w:ascii="Courier New" w:cs="Courier New" w:eastAsia="Courier New" w:hAnsi="Courier New"/>
          <w:sz w:val="15"/>
          <w:szCs w:val="15"/>
          <w:color w:val="auto"/>
        </w:rPr>
        <w:t>$7.48</w:t>
      </w:r>
    </w:p>
    <w:p>
      <w:pPr>
        <w:ind w:left="100"/>
        <w:spacing w:after="0" w:line="237" w:lineRule="auto"/>
        <w:tabs>
          <w:tab w:leader="none" w:pos="1640" w:val="left"/>
        </w:tabs>
        <w:rPr>
          <w:sz w:val="20"/>
          <w:szCs w:val="20"/>
          <w:color w:val="auto"/>
        </w:rPr>
      </w:pPr>
      <w:r>
        <w:rPr>
          <w:rFonts w:ascii="Courier New" w:cs="Courier New" w:eastAsia="Courier New" w:hAnsi="Courier New"/>
          <w:sz w:val="15"/>
          <w:szCs w:val="15"/>
          <w:color w:val="auto"/>
        </w:rPr>
        <w:t>1,174,118</w:t>
      </w:r>
      <w:r>
        <w:rPr>
          <w:sz w:val="20"/>
          <w:szCs w:val="20"/>
          <w:color w:val="auto"/>
        </w:rPr>
        <w:tab/>
      </w:r>
      <w:r>
        <w:rPr>
          <w:rFonts w:ascii="Courier New" w:cs="Courier New" w:eastAsia="Courier New" w:hAnsi="Courier New"/>
          <w:sz w:val="15"/>
          <w:szCs w:val="15"/>
          <w:color w:val="auto"/>
        </w:rPr>
        <w:t>1.70</w:t>
      </w:r>
    </w:p>
    <w:p>
      <w:pPr>
        <w:ind w:left="260"/>
        <w:spacing w:after="0" w:line="238" w:lineRule="auto"/>
        <w:tabs>
          <w:tab w:leader="none" w:pos="1740" w:val="left"/>
        </w:tabs>
        <w:rPr>
          <w:sz w:val="20"/>
          <w:szCs w:val="20"/>
          <w:color w:val="auto"/>
        </w:rPr>
      </w:pPr>
      <w:r>
        <w:rPr>
          <w:rFonts w:ascii="Courier New" w:cs="Courier New" w:eastAsia="Courier New" w:hAnsi="Courier New"/>
          <w:sz w:val="15"/>
          <w:szCs w:val="15"/>
          <w:color w:val="auto"/>
        </w:rPr>
        <w:t>(11,012)</w:t>
      </w:r>
      <w:r>
        <w:rPr>
          <w:sz w:val="20"/>
          <w:szCs w:val="20"/>
          <w:color w:val="auto"/>
        </w:rPr>
        <w:tab/>
      </w:r>
      <w:r>
        <w:rPr>
          <w:rFonts w:ascii="Courier New" w:cs="Courier New" w:eastAsia="Courier New" w:hAnsi="Courier New"/>
          <w:sz w:val="15"/>
          <w:szCs w:val="15"/>
          <w:color w:val="auto"/>
        </w:rPr>
        <w:t>.12</w:t>
      </w:r>
    </w:p>
    <w:p>
      <w:pPr>
        <w:spacing w:after="0" w:line="237" w:lineRule="auto"/>
        <w:tabs>
          <w:tab w:leader="none" w:pos="1640" w:val="left"/>
        </w:tabs>
        <w:rPr>
          <w:sz w:val="20"/>
          <w:szCs w:val="20"/>
          <w:color w:val="auto"/>
        </w:rPr>
      </w:pPr>
      <w:r>
        <w:rPr>
          <w:rFonts w:ascii="Courier New" w:cs="Courier New" w:eastAsia="Courier New" w:hAnsi="Courier New"/>
          <w:sz w:val="15"/>
          <w:szCs w:val="15"/>
          <w:color w:val="auto"/>
        </w:rPr>
        <w:t>(1,955,553)</w:t>
      </w:r>
      <w:r>
        <w:rPr>
          <w:sz w:val="20"/>
          <w:szCs w:val="20"/>
          <w:color w:val="auto"/>
        </w:rPr>
        <w:tab/>
      </w:r>
      <w:r>
        <w:rPr>
          <w:rFonts w:ascii="Courier New" w:cs="Courier New" w:eastAsia="Courier New" w:hAnsi="Courier New"/>
          <w:sz w:val="15"/>
          <w:szCs w:val="15"/>
          <w:color w:val="auto"/>
        </w:rPr>
        <w:t>7.08</w:t>
      </w:r>
    </w:p>
    <w:p>
      <w:pPr>
        <w:spacing w:after="0" w:line="167"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1,654,126</w:t>
      </w:r>
      <w:r>
        <w:rPr>
          <w:sz w:val="20"/>
          <w:szCs w:val="20"/>
          <w:color w:val="auto"/>
        </w:rPr>
        <w:tab/>
      </w:r>
      <w:r>
        <w:rPr>
          <w:rFonts w:ascii="Courier New" w:cs="Courier New" w:eastAsia="Courier New" w:hAnsi="Courier New"/>
          <w:sz w:val="15"/>
          <w:szCs w:val="15"/>
          <w:color w:val="auto"/>
        </w:rPr>
        <w:t>$3.62</w:t>
      </w:r>
    </w:p>
    <w:p>
      <w:pPr>
        <w:spacing w:after="0" w:line="166"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1,108,936</w:t>
      </w:r>
      <w:r>
        <w:rPr>
          <w:sz w:val="20"/>
          <w:szCs w:val="20"/>
          <w:color w:val="auto"/>
        </w:rPr>
        <w:tab/>
      </w:r>
      <w:r>
        <w:rPr>
          <w:rFonts w:ascii="Courier New" w:cs="Courier New" w:eastAsia="Courier New" w:hAnsi="Courier New"/>
          <w:sz w:val="15"/>
          <w:szCs w:val="15"/>
          <w:color w:val="auto"/>
        </w:rPr>
        <w:t>$4.33</w:t>
      </w:r>
    </w:p>
    <w:p>
      <w:pPr>
        <w:sectPr>
          <w:pgSz w:w="11900" w:h="16838" w:orient="portrait"/>
          <w:cols w:equalWidth="0" w:num="2">
            <w:col w:w="8500" w:space="340"/>
            <w:col w:w="2540"/>
          </w:cols>
          <w:pgMar w:left="220" w:top="785" w:right="299"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FAS 123 DISCLOSURES</w:t>
      </w:r>
    </w:p>
    <w:p>
      <w:pPr>
        <w:spacing w:after="0" w:line="173" w:lineRule="exact"/>
        <w:rPr>
          <w:sz w:val="20"/>
          <w:szCs w:val="20"/>
          <w:color w:val="auto"/>
        </w:rPr>
      </w:pPr>
    </w:p>
    <w:p>
      <w:pPr>
        <w:ind w:right="4280" w:firstLine="612"/>
        <w:spacing w:after="0" w:line="256"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4" w:lineRule="exact"/>
        <w:rPr>
          <w:sz w:val="20"/>
          <w:szCs w:val="20"/>
          <w:color w:val="auto"/>
        </w:rPr>
      </w:pPr>
    </w:p>
    <w:p>
      <w:pPr>
        <w:ind w:right="4280" w:firstLine="612"/>
        <w:spacing w:after="0" w:line="26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ectPr>
          <w:pgSz w:w="11900" w:h="16838" w:orient="portrait"/>
          <w:cols w:equalWidth="0" w:num="1">
            <w:col w:w="11200"/>
          </w:cols>
          <w:pgMar w:left="220" w:top="6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RANGE OF</w:t>
      </w:r>
    </w:p>
    <w:p>
      <w:pPr>
        <w:spacing w:after="0" w:line="237" w:lineRule="auto"/>
        <w:rPr>
          <w:sz w:val="20"/>
          <w:szCs w:val="20"/>
          <w:color w:val="auto"/>
        </w:rPr>
      </w:pPr>
      <w:r>
        <w:rPr>
          <w:rFonts w:ascii="Courier New" w:cs="Courier New" w:eastAsia="Courier New" w:hAnsi="Courier New"/>
          <w:sz w:val="15"/>
          <w:szCs w:val="15"/>
          <w:color w:val="auto"/>
        </w:rPr>
        <w:t>EXERCISE PRICES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OPTIONS OUTSTANDING</w:t>
      </w:r>
    </w:p>
    <w:p>
      <w:pPr>
        <w:ind w:left="700"/>
        <w:spacing w:after="0" w:line="237" w:lineRule="auto"/>
        <w:rPr>
          <w:sz w:val="20"/>
          <w:szCs w:val="20"/>
          <w:color w:val="auto"/>
        </w:rPr>
      </w:pPr>
      <w:r>
        <w:rPr>
          <w:rFonts w:ascii="Courier New" w:cs="Courier New" w:eastAsia="Courier New" w:hAnsi="Courier New"/>
          <w:sz w:val="15"/>
          <w:szCs w:val="15"/>
          <w:color w:val="auto"/>
        </w:rPr>
        <w:t>-------------------</w:t>
      </w:r>
    </w:p>
    <w:p>
      <w:pPr>
        <w:ind w:left="1740"/>
        <w:spacing w:after="0" w:line="238" w:lineRule="auto"/>
        <w:rPr>
          <w:sz w:val="20"/>
          <w:szCs w:val="20"/>
          <w:color w:val="auto"/>
        </w:rPr>
      </w:pPr>
      <w:r>
        <w:rPr>
          <w:rFonts w:ascii="Courier New" w:cs="Courier New" w:eastAsia="Courier New" w:hAnsi="Courier New"/>
          <w:sz w:val="15"/>
          <w:szCs w:val="15"/>
          <w:color w:val="auto"/>
        </w:rPr>
        <w:t>WEIGHTED</w:t>
      </w:r>
    </w:p>
    <w:p>
      <w:pPr>
        <w:ind w:left="1740"/>
        <w:spacing w:after="0" w:line="237" w:lineRule="auto"/>
        <w:rPr>
          <w:sz w:val="20"/>
          <w:szCs w:val="20"/>
          <w:color w:val="auto"/>
        </w:rPr>
      </w:pPr>
      <w:r>
        <w:rPr>
          <w:rFonts w:ascii="Courier New" w:cs="Courier New" w:eastAsia="Courier New" w:hAnsi="Courier New"/>
          <w:sz w:val="15"/>
          <w:szCs w:val="15"/>
          <w:color w:val="auto"/>
        </w:rPr>
        <w:t>AVERAGE</w:t>
      </w:r>
    </w:p>
    <w:p>
      <w:pPr>
        <w:ind w:left="1740"/>
        <w:spacing w:after="0" w:line="238" w:lineRule="auto"/>
        <w:rPr>
          <w:sz w:val="20"/>
          <w:szCs w:val="20"/>
          <w:color w:val="auto"/>
        </w:rPr>
      </w:pPr>
      <w:r>
        <w:rPr>
          <w:rFonts w:ascii="Courier New" w:cs="Courier New" w:eastAsia="Courier New" w:hAnsi="Courier New"/>
          <w:sz w:val="15"/>
          <w:szCs w:val="15"/>
          <w:color w:val="auto"/>
        </w:rPr>
        <w:t>REMAINING</w:t>
      </w:r>
    </w:p>
    <w:p>
      <w:pPr>
        <w:ind w:left="180"/>
        <w:spacing w:after="0" w:line="237" w:lineRule="auto"/>
        <w:tabs>
          <w:tab w:leader="none" w:pos="17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p>
    <w:p>
      <w:pPr>
        <w:spacing w:after="0" w:line="238" w:lineRule="auto"/>
        <w:tabs>
          <w:tab w:leader="none" w:pos="172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LIFE (YRS.)</w:t>
      </w:r>
    </w:p>
    <w:p>
      <w:pPr>
        <w:spacing w:after="0" w:line="5" w:lineRule="exact"/>
        <w:rPr>
          <w:sz w:val="20"/>
          <w:szCs w:val="20"/>
          <w:color w:val="auto"/>
        </w:rPr>
      </w:pPr>
    </w:p>
    <w:p>
      <w:pPr>
        <w:ind w:left="180"/>
        <w:spacing w:after="0"/>
        <w:tabs>
          <w:tab w:leader="none" w:pos="1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spacing w:after="0" w:line="237" w:lineRule="auto"/>
        <w:rPr>
          <w:sz w:val="20"/>
          <w:szCs w:val="20"/>
          <w:color w:val="auto"/>
        </w:rPr>
      </w:pPr>
      <w:r>
        <w:rPr>
          <w:rFonts w:ascii="Courier New" w:cs="Courier New" w:eastAsia="Courier New" w:hAnsi="Courier New"/>
          <w:sz w:val="15"/>
          <w:szCs w:val="15"/>
          <w:color w:val="auto"/>
        </w:rPr>
        <w:t>AVERAGE</w:t>
      </w:r>
    </w:p>
    <w:p>
      <w:pPr>
        <w:spacing w:after="0" w:line="238" w:lineRule="auto"/>
        <w:rPr>
          <w:sz w:val="20"/>
          <w:szCs w:val="20"/>
          <w:color w:val="auto"/>
        </w:rPr>
      </w:pPr>
      <w:r>
        <w:rPr>
          <w:rFonts w:ascii="Courier New" w:cs="Courier New" w:eastAsia="Courier New" w:hAnsi="Courier New"/>
          <w:sz w:val="15"/>
          <w:szCs w:val="15"/>
          <w:color w:val="auto"/>
        </w:rPr>
        <w:t>EXERCISE</w:t>
      </w:r>
    </w:p>
    <w:p>
      <w:pPr>
        <w:ind w:left="10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EXERCISABLE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NUMBER</w:t>
      </w:r>
    </w:p>
    <w:p>
      <w:pPr>
        <w:ind w:left="260"/>
        <w:spacing w:after="0" w:line="237" w:lineRule="auto"/>
        <w:rPr>
          <w:sz w:val="20"/>
          <w:szCs w:val="20"/>
          <w:color w:val="auto"/>
        </w:rPr>
      </w:pPr>
      <w:r>
        <w:rPr>
          <w:rFonts w:ascii="Courier New" w:cs="Courier New" w:eastAsia="Courier New" w:hAnsi="Courier New"/>
          <w:sz w:val="15"/>
          <w:szCs w:val="15"/>
          <w:color w:val="auto"/>
        </w:rPr>
        <w:t>EXERCISABLE</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spacing w:after="0" w:line="237" w:lineRule="auto"/>
        <w:rPr>
          <w:sz w:val="20"/>
          <w:szCs w:val="20"/>
          <w:color w:val="auto"/>
        </w:rPr>
      </w:pPr>
      <w:r>
        <w:rPr>
          <w:rFonts w:ascii="Courier New" w:cs="Courier New" w:eastAsia="Courier New" w:hAnsi="Courier New"/>
          <w:sz w:val="15"/>
          <w:szCs w:val="15"/>
          <w:color w:val="auto"/>
        </w:rPr>
        <w:t>AVERAGE</w:t>
      </w:r>
    </w:p>
    <w:p>
      <w:pPr>
        <w:spacing w:after="0" w:line="238" w:lineRule="auto"/>
        <w:rPr>
          <w:sz w:val="20"/>
          <w:szCs w:val="20"/>
          <w:color w:val="auto"/>
        </w:rPr>
      </w:pPr>
      <w:r>
        <w:rPr>
          <w:rFonts w:ascii="Courier New" w:cs="Courier New" w:eastAsia="Courier New" w:hAnsi="Courier New"/>
          <w:sz w:val="15"/>
          <w:szCs w:val="15"/>
          <w:color w:val="auto"/>
        </w:rPr>
        <w:t>EXERCISE</w:t>
      </w:r>
    </w:p>
    <w:p>
      <w:pPr>
        <w:ind w:left="80"/>
        <w:spacing w:after="0" w:line="237"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440" w:space="720"/>
            <w:col w:w="2880" w:space="260"/>
            <w:col w:w="880" w:space="180"/>
            <w:col w:w="1660" w:space="0"/>
            <w:col w:w="2180"/>
          </w:cols>
          <w:pgMar w:left="220" w:top="617" w:right="4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$5.00.................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$5.01 - $10.00..................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than $10.00.............</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944,216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1,691,750</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81,000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2,716,966</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5"/>
          <w:szCs w:val="15"/>
          <w:color w:val="auto"/>
        </w:rPr>
        <w:t>8.68</w:t>
      </w:r>
      <w:r>
        <w:rPr>
          <w:sz w:val="20"/>
          <w:szCs w:val="20"/>
          <w:color w:val="auto"/>
        </w:rPr>
        <w:tab/>
      </w:r>
      <w:r>
        <w:rPr>
          <w:rFonts w:ascii="Courier New" w:cs="Courier New" w:eastAsia="Courier New" w:hAnsi="Courier New"/>
          <w:sz w:val="15"/>
          <w:szCs w:val="15"/>
          <w:color w:val="auto"/>
        </w:rPr>
        <w:t>$2.063</w:t>
      </w:r>
    </w:p>
    <w:p>
      <w:pPr>
        <w:spacing w:after="0" w:line="237" w:lineRule="auto"/>
        <w:tabs>
          <w:tab w:leader="none" w:pos="1200" w:val="left"/>
        </w:tabs>
        <w:rPr>
          <w:sz w:val="20"/>
          <w:szCs w:val="20"/>
          <w:color w:val="auto"/>
        </w:rPr>
      </w:pPr>
      <w:r>
        <w:rPr>
          <w:rFonts w:ascii="Courier New" w:cs="Courier New" w:eastAsia="Courier New" w:hAnsi="Courier New"/>
          <w:sz w:val="15"/>
          <w:szCs w:val="15"/>
          <w:color w:val="auto"/>
        </w:rPr>
        <w:t>6.87</w:t>
      </w:r>
      <w:r>
        <w:rPr>
          <w:sz w:val="20"/>
          <w:szCs w:val="20"/>
          <w:color w:val="auto"/>
        </w:rPr>
        <w:tab/>
      </w:r>
      <w:r>
        <w:rPr>
          <w:rFonts w:ascii="Courier New" w:cs="Courier New" w:eastAsia="Courier New" w:hAnsi="Courier New"/>
          <w:sz w:val="15"/>
          <w:szCs w:val="15"/>
          <w:color w:val="auto"/>
        </w:rPr>
        <w:t>5.26</w:t>
      </w:r>
    </w:p>
    <w:p>
      <w:pPr>
        <w:spacing w:after="0"/>
        <w:tabs>
          <w:tab w:leader="none" w:pos="112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11.03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370,023</w:t>
      </w: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280,500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81,000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731,523</w:t>
      </w:r>
    </w:p>
    <w:p>
      <w:pPr>
        <w:spacing w:after="0" w:line="20" w:lineRule="exact"/>
        <w:rPr>
          <w:sz w:val="20"/>
          <w:szCs w:val="20"/>
          <w:color w:val="auto"/>
        </w:rPr>
      </w:pPr>
      <w:r>
        <w:rPr>
          <w:sz w:val="20"/>
          <w:szCs w:val="20"/>
          <w:color w:val="auto"/>
        </w:rPr>
        <w:br w:type="column"/>
      </w:r>
    </w:p>
    <w:p>
      <w:pPr>
        <w:jc w:val="right"/>
        <w:ind w:right="1660"/>
        <w:spacing w:after="0"/>
        <w:rPr>
          <w:sz w:val="20"/>
          <w:szCs w:val="20"/>
          <w:color w:val="auto"/>
        </w:rPr>
      </w:pPr>
      <w:r>
        <w:rPr>
          <w:rFonts w:ascii="Courier New" w:cs="Courier New" w:eastAsia="Courier New" w:hAnsi="Courier New"/>
          <w:sz w:val="14"/>
          <w:szCs w:val="14"/>
          <w:color w:val="auto"/>
        </w:rPr>
        <w:t>$1.53</w:t>
      </w:r>
    </w:p>
    <w:p>
      <w:pPr>
        <w:spacing w:after="0" w:line="3"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5"/>
          <w:szCs w:val="15"/>
          <w:color w:val="auto"/>
        </w:rPr>
        <w:t>5.27</w:t>
      </w:r>
    </w:p>
    <w:p>
      <w:pPr>
        <w:spacing w:after="0" w:line="5" w:lineRule="exact"/>
        <w:rPr>
          <w:sz w:val="20"/>
          <w:szCs w:val="20"/>
          <w:color w:val="auto"/>
        </w:rPr>
      </w:pPr>
    </w:p>
    <w:p>
      <w:pPr>
        <w:jc w:val="right"/>
        <w:ind w:right="1660"/>
        <w:spacing w:after="0"/>
        <w:rPr>
          <w:sz w:val="20"/>
          <w:szCs w:val="20"/>
          <w:color w:val="auto"/>
        </w:rPr>
      </w:pPr>
      <w:r>
        <w:rPr>
          <w:rFonts w:ascii="Courier New" w:cs="Courier New" w:eastAsia="Courier New" w:hAnsi="Courier New"/>
          <w:sz w:val="14"/>
          <w:szCs w:val="14"/>
          <w:color w:val="auto"/>
        </w:rPr>
        <w:t>11.03</w:t>
      </w:r>
    </w:p>
    <w:p>
      <w:pPr>
        <w:spacing w:after="0" w:line="368" w:lineRule="exact"/>
        <w:rPr>
          <w:sz w:val="20"/>
          <w:szCs w:val="20"/>
          <w:color w:val="auto"/>
        </w:rPr>
      </w:pPr>
    </w:p>
    <w:p>
      <w:pPr>
        <w:sectPr>
          <w:pgSz w:w="11900" w:h="16838" w:orient="portrait"/>
          <w:cols w:equalWidth="0" w:num="5">
            <w:col w:w="2800" w:space="540"/>
            <w:col w:w="1200" w:space="720"/>
            <w:col w:w="1820" w:space="720"/>
            <w:col w:w="600" w:space="700"/>
            <w:col w:w="2100"/>
          </w:cols>
          <w:pgMar w:left="220" w:top="617" w:right="479" w:bottom="1440" w:gutter="0" w:footer="0" w:header="0"/>
          <w:type w:val="continuous"/>
        </w:sectPr>
      </w:pPr>
    </w:p>
    <w:p>
      <w:pPr>
        <w:spacing w:after="0" w:line="146" w:lineRule="exact"/>
        <w:rPr>
          <w:sz w:val="20"/>
          <w:szCs w:val="20"/>
          <w:color w:val="auto"/>
        </w:rPr>
      </w:pPr>
    </w:p>
    <w:p>
      <w:pPr>
        <w:ind w:right="4280" w:firstLine="612"/>
        <w:spacing w:after="0" w:line="236"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2000</w:t>
            </w:r>
          </w:p>
        </w:tc>
        <w:tc>
          <w:tcPr>
            <w:tcW w:w="1360" w:type="dxa"/>
            <w:vAlign w:val="bottom"/>
          </w:tcPr>
          <w:p>
            <w:pPr>
              <w:spacing w:after="0"/>
              <w:rPr>
                <w:sz w:val="14"/>
                <w:szCs w:val="14"/>
                <w:color w:val="auto"/>
              </w:rPr>
            </w:pPr>
          </w:p>
        </w:tc>
        <w:tc>
          <w:tcPr>
            <w:tcW w:w="156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99"/>
              </w:rPr>
              <w:t>1999</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5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9"/>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AS REPORTED</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REPORTED</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PRO FORMA</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5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$(11,125,477)</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$(12,160,752)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$(15,708,626)</w:t>
            </w:r>
          </w:p>
        </w:tc>
        <w:tc>
          <w:tcPr>
            <w:tcW w:w="1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$(15,764,569)</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$(12,627,830)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$(14,919,389)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c>
          <w:tcPr>
            <w:tcW w:w="1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341" w:lineRule="exact"/>
        <w:rPr>
          <w:sz w:val="20"/>
          <w:szCs w:val="20"/>
          <w:color w:val="auto"/>
        </w:rPr>
      </w:pPr>
    </w:p>
    <w:p>
      <w:pPr>
        <w:ind w:right="4200" w:firstLine="612"/>
        <w:spacing w:after="0" w:line="236"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OPTIONS</w:t>
            </w:r>
          </w:p>
        </w:tc>
        <w:tc>
          <w:tcPr>
            <w:tcW w:w="780" w:type="dxa"/>
            <w:vAlign w:val="bottom"/>
          </w:tcPr>
          <w:p>
            <w:pPr>
              <w:spacing w:after="0"/>
              <w:rPr>
                <w:sz w:val="14"/>
                <w:szCs w:val="14"/>
                <w:color w:val="auto"/>
              </w:rPr>
            </w:pPr>
          </w:p>
        </w:tc>
        <w:tc>
          <w:tcPr>
            <w:tcW w:w="22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STOCK PURCHASE PLAN</w:t>
            </w:r>
          </w:p>
        </w:tc>
      </w:tr>
      <w:tr>
        <w:trPr>
          <w:trHeight w:val="168"/>
        </w:trPr>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22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98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rate...............................</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Volatility..................................</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63.5%</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r>
    </w:tbl>
    <w:p>
      <w:pPr>
        <w:spacing w:after="0" w:line="341" w:lineRule="exact"/>
        <w:rPr>
          <w:sz w:val="20"/>
          <w:szCs w:val="20"/>
          <w:color w:val="auto"/>
        </w:rPr>
      </w:pPr>
    </w:p>
    <w:p>
      <w:pPr>
        <w:ind w:right="4200" w:firstLine="612"/>
        <w:spacing w:after="0" w:line="235"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4" w:lineRule="exact"/>
        <w:rPr>
          <w:sz w:val="20"/>
          <w:szCs w:val="20"/>
          <w:color w:val="auto"/>
        </w:rPr>
      </w:pPr>
    </w:p>
    <w:p>
      <w:pPr>
        <w:ind w:right="4200" w:firstLine="612"/>
        <w:spacing w:after="0" w:line="236" w:lineRule="auto"/>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ectPr>
          <w:pgSz w:w="11900" w:h="16838" w:orient="portrait"/>
          <w:cols w:equalWidth="0" w:num="1">
            <w:col w:w="11200"/>
          </w:cols>
          <w:pgMar w:left="220" w:top="617" w:right="479"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RESERVED</w:t>
      </w:r>
    </w:p>
    <w:p>
      <w:pPr>
        <w:spacing w:after="0" w:line="173" w:lineRule="exact"/>
        <w:rPr>
          <w:sz w:val="20"/>
          <w:szCs w:val="20"/>
          <w:color w:val="auto"/>
        </w:rPr>
      </w:pPr>
    </w:p>
    <w:p>
      <w:pPr>
        <w:ind w:right="3499" w:firstLine="612"/>
        <w:spacing w:after="0" w:line="261" w:lineRule="auto"/>
        <w:rPr>
          <w:sz w:val="20"/>
          <w:szCs w:val="20"/>
          <w:color w:val="auto"/>
        </w:rPr>
      </w:pPr>
      <w:r>
        <w:rPr>
          <w:rFonts w:ascii="Courier New" w:cs="Courier New" w:eastAsia="Courier New" w:hAnsi="Courier New"/>
          <w:sz w:val="14"/>
          <w:szCs w:val="14"/>
          <w:color w:val="auto"/>
        </w:rPr>
        <w:t>The Company has the following shares of common stock reserved for the exercise of options, warrants and other contingent issuances of common stock.</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exercise of stock options...............................................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reserved</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w:t>
            </w:r>
          </w:p>
        </w:tc>
        <w:tc>
          <w:tcPr>
            <w:tcW w:w="6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warrants................................................................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2,292,625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StemCell option</w:t>
            </w:r>
          </w:p>
        </w:tc>
        <w:tc>
          <w:tcPr>
            <w:tcW w:w="7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conversions.................................................................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250,344</w:t>
            </w:r>
          </w:p>
        </w:tc>
      </w:tr>
      <w:tr>
        <w:trPr>
          <w:trHeight w:val="336"/>
        </w:trPr>
        <w:tc>
          <w:tcPr>
            <w:tcW w:w="1720" w:type="dxa"/>
            <w:vAlign w:val="bottom"/>
            <w:gridSpan w:val="2"/>
          </w:tcPr>
          <w:p>
            <w:pPr>
              <w:spacing w:after="0"/>
              <w:rPr>
                <w:sz w:val="20"/>
                <w:szCs w:val="20"/>
                <w:color w:val="auto"/>
              </w:rPr>
            </w:pPr>
            <w:r>
              <w:rPr>
                <w:rFonts w:ascii="Courier New" w:cs="Courier New" w:eastAsia="Courier New" w:hAnsi="Courier New"/>
                <w:sz w:val="4"/>
                <w:szCs w:val="4"/>
                <w:color w:val="auto"/>
                <w:w w:val="76"/>
              </w:rPr>
              <w:t>Total.......................................................................................</w:t>
            </w:r>
          </w:p>
        </w:tc>
        <w:tc>
          <w:tcPr>
            <w:tcW w:w="6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bl>
    <w:p>
      <w:pPr>
        <w:spacing w:after="0" w:line="335"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3"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4"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ectPr>
          <w:pgSz w:w="11900" w:h="16838" w:orient="portrait"/>
          <w:cols w:equalWidth="0" w:num="1">
            <w:col w:w="10239"/>
          </w:cols>
          <w:pgMar w:left="220" w:top="785" w:right="1440" w:bottom="1440" w:gutter="0" w:footer="0" w:header="0"/>
        </w:sectPr>
      </w:pPr>
    </w:p>
    <w:bookmarkStart w:id="44" w:name="page45"/>
    <w:bookmarkEnd w:id="44"/>
    <w:p>
      <w:pPr>
        <w:ind w:right="3319" w:firstLine="612"/>
        <w:spacing w:after="0" w:line="255"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 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57"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8" w:lineRule="exact"/>
        <w:rPr>
          <w:sz w:val="20"/>
          <w:szCs w:val="20"/>
          <w:color w:val="auto"/>
        </w:rPr>
      </w:pPr>
    </w:p>
    <w:p>
      <w:pPr>
        <w:ind w:right="4099" w:firstLine="612"/>
        <w:spacing w:after="0" w:line="234"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Capitalized research and development costs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6,000,000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4,331,000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operating losses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44,000,000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38,478,000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Research and development credits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4,260,000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4,035,000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1,020,000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928,000</w:t>
            </w:r>
          </w:p>
        </w:tc>
      </w:tr>
      <w:tr>
        <w:trPr>
          <w:trHeight w:val="336"/>
        </w:trPr>
        <w:tc>
          <w:tcPr>
            <w:tcW w:w="4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55,280,000</w:t>
            </w:r>
          </w:p>
        </w:tc>
        <w:tc>
          <w:tcPr>
            <w:tcW w:w="38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47,772,000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Unrealized gain on investment ............</w:t>
            </w:r>
          </w:p>
        </w:tc>
        <w:tc>
          <w:tcPr>
            <w:tcW w:w="4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(6,543,000)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Patents ..................................</w:t>
            </w:r>
          </w:p>
        </w:tc>
        <w:tc>
          <w:tcPr>
            <w:tcW w:w="4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(127,000)</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(246,000)</w:t>
            </w:r>
          </w:p>
        </w:tc>
      </w:tr>
      <w:tr>
        <w:trPr>
          <w:trHeight w:val="168"/>
        </w:trPr>
        <w:tc>
          <w:tcPr>
            <w:tcW w:w="41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Valuation allowance ......................</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(48,610,000)</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(47,526,000)</w:t>
            </w:r>
          </w:p>
        </w:tc>
      </w:tr>
      <w:tr>
        <w:trPr>
          <w:trHeight w:val="336"/>
        </w:trPr>
        <w:tc>
          <w:tcPr>
            <w:tcW w:w="41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Net deferred tax assets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612"/>
        <w:spacing w:after="0" w:line="256" w:lineRule="auto"/>
        <w:rPr>
          <w:sz w:val="20"/>
          <w:szCs w:val="20"/>
          <w:color w:val="auto"/>
        </w:rPr>
      </w:pPr>
      <w:r>
        <w:rPr>
          <w:rFonts w:ascii="Courier New" w:cs="Courier New" w:eastAsia="Courier New" w:hAnsi="Courier New"/>
          <w:sz w:val="14"/>
          <w:szCs w:val="14"/>
          <w:color w:val="auto"/>
        </w:rPr>
        <w:t>Realization of deferred tax assets is dependent upon future earnings, if any, the timing and amount of which are uncertain. Accordingly, the net deferred tax assets have been fully offset by a valuation allowance. The valuation allowance increased by $6,272,000 during 1999, and $5,459,000 during 1998.</w:t>
      </w:r>
    </w:p>
    <w:p>
      <w:pPr>
        <w:spacing w:after="0" w:line="158"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3"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69"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3" w:lineRule="exact"/>
        <w:rPr>
          <w:sz w:val="20"/>
          <w:szCs w:val="20"/>
          <w:color w:val="auto"/>
        </w:rPr>
      </w:pPr>
    </w:p>
    <w:p>
      <w:pPr>
        <w:ind w:right="3579" w:firstLine="612"/>
        <w:spacing w:after="0" w:line="234" w:lineRule="auto"/>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w:t>
      </w:r>
    </w:p>
    <w:p>
      <w:pPr>
        <w:sectPr>
          <w:pgSz w:w="11900" w:h="16838" w:orient="portrait"/>
          <w:cols w:equalWidth="0" w:num="1">
            <w:col w:w="10239"/>
          </w:cols>
          <w:pgMar w:left="220" w:top="792" w:right="1440" w:bottom="1440" w:gutter="0" w:footer="0" w:header="0"/>
        </w:sectPr>
      </w:pPr>
    </w:p>
    <w:bookmarkStart w:id="45" w:name="page46"/>
    <w:bookmarkEnd w:id="45"/>
    <w:p>
      <w:pPr>
        <w:ind w:right="3239"/>
        <w:spacing w:after="0" w:line="255" w:lineRule="auto"/>
        <w:rPr>
          <w:sz w:val="20"/>
          <w:szCs w:val="20"/>
          <w:color w:val="auto"/>
        </w:rPr>
      </w:pPr>
      <w:r>
        <w:rPr>
          <w:rFonts w:ascii="Courier New" w:cs="Courier New" w:eastAsia="Courier New" w:hAnsi="Courier New"/>
          <w:sz w:val="14"/>
          <w:szCs w:val="14"/>
          <w:color w:val="auto"/>
        </w:rPr>
        <w:t>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64" w:lineRule="exact"/>
        <w:rPr>
          <w:sz w:val="20"/>
          <w:szCs w:val="20"/>
          <w:color w:val="auto"/>
        </w:rPr>
      </w:pPr>
    </w:p>
    <w:p>
      <w:pPr>
        <w:ind w:right="3319" w:firstLine="612"/>
        <w:spacing w:after="0" w:line="236" w:lineRule="auto"/>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6"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3"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FIRST</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SECOND</w:t>
            </w:r>
          </w:p>
        </w:tc>
        <w:tc>
          <w:tcPr>
            <w:tcW w:w="14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3"/>
              </w:rPr>
              <w:t>THIRD</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FOURTH</w:t>
            </w: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2"/>
              </w:rPr>
              <w:t>------</w:t>
            </w:r>
          </w:p>
        </w:tc>
        <w:tc>
          <w:tcPr>
            <w:tcW w:w="14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3"/>
              </w:rPr>
              <w:t>-----</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 EXCEPT PER SHARE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revenue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expenses .................................</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1,799</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1,939</w:t>
            </w:r>
          </w:p>
        </w:tc>
        <w:tc>
          <w:tcPr>
            <w:tcW w:w="1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2,553</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6,378</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Loss ...........................................</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(1,794)</w:t>
            </w:r>
          </w:p>
        </w:tc>
        <w:tc>
          <w:tcPr>
            <w:tcW w:w="7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(532)</w:t>
            </w:r>
          </w:p>
        </w:tc>
        <w:tc>
          <w:tcPr>
            <w:tcW w:w="1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(2,539)</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(6,260)</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Basic and diluted net loss per share applicable to</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shareholders before cumulative effect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(0.13)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 in accounting</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principle(1)  ......................................</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loss per share applicable to common shareholders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(0.13)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revenue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2,521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expenses .................................</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4,562</w:t>
            </w: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4,454</w:t>
            </w:r>
          </w:p>
        </w:tc>
        <w:tc>
          <w:tcPr>
            <w:tcW w:w="1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6,690</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5,253</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Loss ...........................................</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(1,932)</w:t>
            </w:r>
          </w:p>
        </w:tc>
        <w:tc>
          <w:tcPr>
            <w:tcW w:w="7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(1,840)</w:t>
            </w:r>
          </w:p>
        </w:tc>
        <w:tc>
          <w:tcPr>
            <w:tcW w:w="1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(6,711)</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(5,226)</w:t>
            </w:r>
          </w:p>
        </w:tc>
      </w:tr>
      <w:tr>
        <w:trPr>
          <w:trHeight w:val="168"/>
        </w:trPr>
        <w:tc>
          <w:tcPr>
            <w:tcW w:w="5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Basic and diluted net loss per share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r>
      <w:tr>
        <w:trPr>
          <w:trHeight w:val="505"/>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See note 2 to the Consolidated Financial Statements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DIRECTORS AND EXECUTIVE OFFICERS OF THE REGISTRANT, PROMOTERS AND CONTROL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54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AGE</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John J. Schwartz, Ph.D.........................</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Martin M. McGlynn..............................</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Director, President and Chief Executive Officer</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 J. Levin..................................</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M. Perlmutter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M.D., Ph.D.................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L. Weissman,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 Tsukamoto, Ph.D............................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Scientific Operations</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Ronnda Bartel, Ph.D............................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Scientific Development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 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 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July 1984 to February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 March 2000. 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w:t>
      </w:r>
    </w:p>
    <w:p>
      <w:pPr>
        <w:sectPr>
          <w:pgSz w:w="11900" w:h="16838" w:orient="portrait"/>
          <w:cols w:equalWidth="0" w:num="1">
            <w:col w:w="10239"/>
          </w:cols>
          <w:pgMar w:left="220" w:top="785" w:right="1440" w:bottom="1440" w:gutter="0" w:footer="0" w:header="0"/>
        </w:sectPr>
      </w:pPr>
    </w:p>
    <w:bookmarkStart w:id="47" w:name="page48"/>
    <w:bookmarkEnd w:id="47"/>
    <w:p>
      <w:pPr>
        <w:ind w:right="4540"/>
        <w:spacing w:after="0" w:line="236" w:lineRule="auto"/>
        <w:rPr>
          <w:sz w:val="20"/>
          <w:szCs w:val="20"/>
          <w:color w:val="auto"/>
        </w:rPr>
      </w:pPr>
      <w:r>
        <w:rPr>
          <w:rFonts w:ascii="Courier New" w:cs="Courier New" w:eastAsia="Courier New" w:hAnsi="Courier New"/>
          <w:sz w:val="15"/>
          <w:szCs w:val="15"/>
          <w:color w:val="auto"/>
        </w:rPr>
        <w:t>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177" w:lineRule="exact"/>
        <w:rPr>
          <w:sz w:val="20"/>
          <w:szCs w:val="20"/>
          <w:color w:val="auto"/>
        </w:rPr>
      </w:pPr>
    </w:p>
    <w:p>
      <w:pPr>
        <w:ind w:right="4460" w:firstLine="612"/>
        <w:spacing w:after="0" w:line="255" w:lineRule="auto"/>
        <w:rPr>
          <w:sz w:val="20"/>
          <w:szCs w:val="20"/>
          <w:color w:val="auto"/>
        </w:rPr>
      </w:pPr>
      <w:r>
        <w:rPr>
          <w:rFonts w:ascii="Courier New" w:cs="Courier New" w:eastAsia="Courier New" w:hAnsi="Courier New"/>
          <w:sz w:val="14"/>
          <w:szCs w:val="14"/>
          <w:color w:val="auto"/>
        </w:rPr>
        <w:t>Ann Tsukamoto, Ph.D., joined the Company in November 1997 as Senior Director, Scientific Operations, and was appointed Vice President, Scientific Operations in June 1998.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 As of March 5, 2001, Dr. Tsukamoto became a member of the Board of Directors for the Society of Regenerative Medicine and Stem Cell Biology.</w:t>
      </w:r>
    </w:p>
    <w:p>
      <w:pPr>
        <w:spacing w:after="0" w:line="164" w:lineRule="exact"/>
        <w:rPr>
          <w:sz w:val="20"/>
          <w:szCs w:val="20"/>
          <w:color w:val="auto"/>
        </w:rPr>
      </w:pPr>
    </w:p>
    <w:p>
      <w:pPr>
        <w:ind w:right="4460" w:firstLine="612"/>
        <w:spacing w:after="0" w:line="255" w:lineRule="auto"/>
        <w:rPr>
          <w:sz w:val="20"/>
          <w:szCs w:val="20"/>
          <w:color w:val="auto"/>
        </w:rPr>
      </w:pPr>
      <w:r>
        <w:rPr>
          <w:rFonts w:ascii="Courier New" w:cs="Courier New" w:eastAsia="Courier New" w:hAnsi="Courier New"/>
          <w:sz w:val="14"/>
          <w:szCs w:val="14"/>
          <w:color w:val="auto"/>
        </w:rPr>
        <w:t>Ronnda Bartel, Ph.D., joined the Company in July 1998, as Senior Director, Cell Development, and was appointed Vice President, Scientific Development of StemCells in April 2000. From 1995 until her employment with the Company, 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66" w:lineRule="exact"/>
        <w:rPr>
          <w:sz w:val="20"/>
          <w:szCs w:val="20"/>
          <w:color w:val="auto"/>
        </w:rPr>
      </w:pPr>
    </w:p>
    <w:p>
      <w:pPr>
        <w:ind w:right="4620" w:firstLine="612"/>
        <w:spacing w:after="0" w:line="236"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4540" w:firstLine="612"/>
        <w:spacing w:after="0" w:line="255"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 during the fiscal years ended December 31, 2000, 1999, and 1998 and the two other most highly compensated executive officers who served in such capacities during the fiscal year ended December 31, 2000 but who were not serving in such capacities as of the end of such fiscal year. There were no other persons serving as executive officers at the end of such fiscal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SUMMARY COMPENSATION TABLE</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3"/>
        </w:trPr>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AWARDS</w:t>
            </w:r>
          </w:p>
        </w:tc>
        <w:tc>
          <w:tcPr>
            <w:tcW w:w="1120" w:type="dxa"/>
            <w:vAlign w:val="bottom"/>
          </w:tcPr>
          <w:p>
            <w:pPr>
              <w:spacing w:after="0"/>
              <w:rPr>
                <w:sz w:val="24"/>
                <w:szCs w:val="2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LONG TERM</w:t>
            </w:r>
          </w:p>
        </w:tc>
        <w:tc>
          <w:tcPr>
            <w:tcW w:w="11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1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RESTRICTED</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SECURITIES</w:t>
            </w:r>
          </w:p>
        </w:tc>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3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ANNUAL</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UNDERLYING</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NAME AND PRINCIPAL POSITION</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SALARY ($)</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BONUS ($)</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AWARDS ($)</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OPTIONS (#)</w:t>
            </w:r>
          </w:p>
        </w:tc>
        <w:tc>
          <w:tcPr>
            <w:tcW w:w="1120" w:type="dxa"/>
            <w:vAlign w:val="bottom"/>
          </w:tcPr>
          <w:p>
            <w:pPr>
              <w:spacing w:after="0"/>
              <w:rPr>
                <w:sz w:val="14"/>
                <w:szCs w:val="14"/>
                <w:color w:val="auto"/>
              </w:rPr>
            </w:pP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George W. Dunbar, Jr. ............</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186,538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50,000</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36,031</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Acting President and Chief</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48,000</w:t>
            </w:r>
          </w:p>
        </w:tc>
        <w:tc>
          <w:tcPr>
            <w:tcW w:w="112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Office(1)</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309,632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Chief Executive Officer(2)</w:t>
            </w: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279,974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4,667(3)</w:t>
            </w:r>
          </w:p>
        </w:tc>
      </w:tr>
      <w:tr>
        <w:trPr>
          <w:trHeight w:val="168"/>
        </w:trPr>
        <w:tc>
          <w:tcPr>
            <w:tcW w:w="3240" w:type="dxa"/>
            <w:vAlign w:val="bottom"/>
          </w:tcPr>
          <w:p>
            <w:pPr>
              <w:spacing w:after="0"/>
              <w:rPr>
                <w:sz w:val="14"/>
                <w:szCs w:val="14"/>
                <w:color w:val="auto"/>
              </w:rPr>
            </w:pPr>
          </w:p>
        </w:tc>
        <w:tc>
          <w:tcPr>
            <w:tcW w:w="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286,553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150,000(4)</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11,330(5)</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Ann Tsukomoto, Ph.D. .............</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159,054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4,783(6)</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VP, Scientific Operations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129,668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3,245(7)</w:t>
            </w:r>
          </w:p>
        </w:tc>
      </w:tr>
      <w:tr>
        <w:trPr>
          <w:trHeight w:val="168"/>
        </w:trPr>
        <w:tc>
          <w:tcPr>
            <w:tcW w:w="3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VP, Scientific Development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38" w:orient="portrait"/>
          <w:cols w:equalWidth="0" w:num="1">
            <w:col w:w="11460"/>
          </w:cols>
          <w:pgMar w:left="220" w:top="792" w:right="21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190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3" w:lineRule="exact"/>
        <w:rPr>
          <w:rFonts w:ascii="Courier New" w:cs="Courier New" w:eastAsia="Courier New" w:hAnsi="Courier New"/>
          <w:sz w:val="15"/>
          <w:szCs w:val="15"/>
          <w:color w:val="auto"/>
        </w:rPr>
      </w:pPr>
    </w:p>
    <w:p>
      <w:pPr>
        <w:ind w:left="620" w:right="198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3" w:lineRule="exact"/>
        <w:rPr>
          <w:rFonts w:ascii="Courier New" w:cs="Courier New" w:eastAsia="Courier New" w:hAnsi="Courier New"/>
          <w:sz w:val="15"/>
          <w:szCs w:val="15"/>
          <w:color w:val="auto"/>
        </w:rPr>
      </w:pPr>
    </w:p>
    <w:p>
      <w:pPr>
        <w:ind w:left="620" w:right="190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3" w:lineRule="exact"/>
        <w:rPr>
          <w:rFonts w:ascii="Courier New" w:cs="Courier New" w:eastAsia="Courier New" w:hAnsi="Courier New"/>
          <w:sz w:val="15"/>
          <w:szCs w:val="15"/>
          <w:color w:val="auto"/>
        </w:rPr>
      </w:pPr>
    </w:p>
    <w:p>
      <w:pPr>
        <w:ind w:left="620" w:right="2080"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 July 10,1998.</w:t>
      </w:r>
    </w:p>
    <w:p>
      <w:pPr>
        <w:spacing w:after="0" w:line="175" w:lineRule="exact"/>
        <w:rPr>
          <w:rFonts w:ascii="Courier New" w:cs="Courier New" w:eastAsia="Courier New" w:hAnsi="Courier New"/>
          <w:sz w:val="15"/>
          <w:szCs w:val="15"/>
          <w:color w:val="auto"/>
        </w:rPr>
      </w:pPr>
    </w:p>
    <w:p>
      <w:pPr>
        <w:ind w:left="620" w:right="2080" w:hanging="610"/>
        <w:spacing w:after="0" w:line="261"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9" w:lineRule="exact"/>
        <w:rPr>
          <w:rFonts w:ascii="Courier New" w:cs="Courier New" w:eastAsia="Courier New" w:hAnsi="Courier New"/>
          <w:sz w:val="14"/>
          <w:szCs w:val="14"/>
          <w:color w:val="auto"/>
        </w:rPr>
      </w:pPr>
    </w:p>
    <w:p>
      <w:pPr>
        <w:ind w:left="620" w:right="2780"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Ann Tsukomoto</w:t>
      </w:r>
    </w:p>
    <w:p>
      <w:pPr>
        <w:spacing w:after="0" w:line="173" w:lineRule="exact"/>
        <w:rPr>
          <w:rFonts w:ascii="Courier New" w:cs="Courier New" w:eastAsia="Courier New" w:hAnsi="Courier New"/>
          <w:sz w:val="15"/>
          <w:szCs w:val="15"/>
          <w:color w:val="auto"/>
        </w:rPr>
      </w:pPr>
    </w:p>
    <w:p>
      <w:pPr>
        <w:ind w:left="620" w:right="2780"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Ronnda Bartel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1900" w:firstLine="612"/>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09, 2001 by (i) each person known by the Company to be the beneficial owner of more than 5% of the Company's outstanding Common Stock, (ii) each director and nominee for director, (iii) each executive officer named in the Summary Compensation Table and (iv) 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OWNER(1)</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BENEFICIALLY OWNED*</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10,309(2)</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J. Levin.....................................................</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347,775(3)</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 M. McGlynn.................................................</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Perlmutter, M.D., Ph.D......................................</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J. Schwartz, Ph.D............................................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115,588(4)</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Weissman, M.D..............................................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291,308(5)</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W. Dunbar, Jr..............................................</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50,049(6)</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Ann Tsukamoto, Ph.D...............................................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84,521(7)</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Ronnda Bartel, Ph.D...............................................</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22,742(8)</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 (9 persons).......</w:t>
            </w:r>
          </w:p>
        </w:tc>
        <w:tc>
          <w:tcPr>
            <w:tcW w:w="22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815,029</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Millennium Partners, LP...........................................</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2,152,393(9)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PERCENTAGE</w:t>
      </w:r>
    </w:p>
    <w:p>
      <w:pPr>
        <w:ind w:left="440"/>
        <w:spacing w:after="0" w:line="237" w:lineRule="auto"/>
        <w:rPr>
          <w:sz w:val="20"/>
          <w:szCs w:val="20"/>
          <w:color w:val="auto"/>
        </w:rPr>
      </w:pPr>
      <w:r>
        <w:rPr>
          <w:rFonts w:ascii="Courier New" w:cs="Courier New" w:eastAsia="Courier New" w:hAnsi="Courier New"/>
          <w:sz w:val="15"/>
          <w:szCs w:val="15"/>
          <w:color w:val="auto"/>
        </w:rPr>
        <w:t>OF CLASS</w:t>
      </w:r>
    </w:p>
    <w:p>
      <w:pPr>
        <w:spacing w:after="0" w:line="238" w:lineRule="auto"/>
        <w:rPr>
          <w:sz w:val="20"/>
          <w:szCs w:val="20"/>
          <w:color w:val="auto"/>
        </w:rPr>
      </w:pPr>
      <w:r>
        <w:rPr>
          <w:rFonts w:ascii="Courier New" w:cs="Courier New" w:eastAsia="Courier New" w:hAnsi="Courier New"/>
          <w:sz w:val="15"/>
          <w:szCs w:val="15"/>
          <w:color w:val="auto"/>
        </w:rPr>
        <w:t>BENEFICIALLY OWNED*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5"/>
          <w:szCs w:val="15"/>
          <w:color w:val="auto"/>
        </w:rPr>
        <w:t>**</w:t>
      </w:r>
    </w:p>
    <w:p>
      <w:pPr>
        <w:jc w:val="right"/>
        <w:ind w:right="880"/>
        <w:spacing w:after="0" w:line="237" w:lineRule="auto"/>
        <w:rPr>
          <w:sz w:val="20"/>
          <w:szCs w:val="20"/>
          <w:color w:val="auto"/>
        </w:rPr>
      </w:pPr>
      <w:r>
        <w:rPr>
          <w:rFonts w:ascii="Courier New" w:cs="Courier New" w:eastAsia="Courier New" w:hAnsi="Courier New"/>
          <w:sz w:val="15"/>
          <w:szCs w:val="15"/>
          <w:color w:val="auto"/>
        </w:rPr>
        <w:t>1.5%</w:t>
      </w:r>
    </w:p>
    <w:p>
      <w:pPr>
        <w:spacing w:after="0" w:line="167"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5"/>
          <w:szCs w:val="15"/>
          <w:color w:val="auto"/>
        </w:rPr>
        <w:t>**</w:t>
      </w:r>
    </w:p>
    <w:p>
      <w:pPr>
        <w:jc w:val="right"/>
        <w:ind w:right="880"/>
        <w:spacing w:after="0" w:line="237" w:lineRule="auto"/>
        <w:rPr>
          <w:sz w:val="20"/>
          <w:szCs w:val="20"/>
          <w:color w:val="auto"/>
        </w:rPr>
      </w:pPr>
      <w:r>
        <w:rPr>
          <w:rFonts w:ascii="Courier New" w:cs="Courier New" w:eastAsia="Courier New" w:hAnsi="Courier New"/>
          <w:sz w:val="15"/>
          <w:szCs w:val="15"/>
          <w:color w:val="auto"/>
        </w:rPr>
        <w:t>**</w:t>
      </w:r>
    </w:p>
    <w:p>
      <w:pPr>
        <w:jc w:val="right"/>
        <w:ind w:right="880"/>
        <w:spacing w:after="0" w:line="238" w:lineRule="auto"/>
        <w:rPr>
          <w:sz w:val="20"/>
          <w:szCs w:val="20"/>
          <w:color w:val="auto"/>
        </w:rPr>
      </w:pPr>
      <w:r>
        <w:rPr>
          <w:rFonts w:ascii="Courier New" w:cs="Courier New" w:eastAsia="Courier New" w:hAnsi="Courier New"/>
          <w:sz w:val="15"/>
          <w:szCs w:val="15"/>
          <w:color w:val="auto"/>
        </w:rPr>
        <w:t>1.3%</w:t>
      </w:r>
    </w:p>
    <w:p>
      <w:pPr>
        <w:jc w:val="right"/>
        <w:ind w:right="880"/>
        <w:spacing w:after="0" w:line="237" w:lineRule="auto"/>
        <w:rPr>
          <w:sz w:val="20"/>
          <w:szCs w:val="20"/>
          <w:color w:val="auto"/>
        </w:rPr>
      </w:pPr>
      <w:r>
        <w:rPr>
          <w:rFonts w:ascii="Courier New" w:cs="Courier New" w:eastAsia="Courier New" w:hAnsi="Courier New"/>
          <w:sz w:val="15"/>
          <w:szCs w:val="15"/>
          <w:color w:val="auto"/>
        </w:rPr>
        <w:t>**</w:t>
      </w:r>
    </w:p>
    <w:p>
      <w:pPr>
        <w:jc w:val="right"/>
        <w:ind w:right="880"/>
        <w:spacing w:after="0" w:line="238" w:lineRule="auto"/>
        <w:rPr>
          <w:sz w:val="20"/>
          <w:szCs w:val="20"/>
          <w:color w:val="auto"/>
        </w:rPr>
      </w:pPr>
      <w:r>
        <w:rPr>
          <w:rFonts w:ascii="Courier New" w:cs="Courier New" w:eastAsia="Courier New" w:hAnsi="Courier New"/>
          <w:sz w:val="15"/>
          <w:szCs w:val="15"/>
          <w:color w:val="auto"/>
        </w:rPr>
        <w:t>**</w:t>
      </w:r>
    </w:p>
    <w:p>
      <w:pPr>
        <w:jc w:val="right"/>
        <w:ind w:right="880"/>
        <w:spacing w:after="0" w:line="237" w:lineRule="auto"/>
        <w:rPr>
          <w:sz w:val="20"/>
          <w:szCs w:val="20"/>
          <w:color w:val="auto"/>
        </w:rPr>
      </w:pPr>
      <w:r>
        <w:rPr>
          <w:rFonts w:ascii="Courier New" w:cs="Courier New" w:eastAsia="Courier New" w:hAnsi="Courier New"/>
          <w:sz w:val="15"/>
          <w:szCs w:val="15"/>
          <w:color w:val="auto"/>
        </w:rPr>
        <w:t>**</w:t>
      </w:r>
    </w:p>
    <w:p>
      <w:pPr>
        <w:jc w:val="right"/>
        <w:ind w:right="880"/>
        <w:spacing w:after="0" w:line="238" w:lineRule="auto"/>
        <w:rPr>
          <w:sz w:val="20"/>
          <w:szCs w:val="20"/>
          <w:color w:val="auto"/>
        </w:rPr>
      </w:pPr>
      <w:r>
        <w:rPr>
          <w:rFonts w:ascii="Courier New" w:cs="Courier New" w:eastAsia="Courier New" w:hAnsi="Courier New"/>
          <w:sz w:val="15"/>
          <w:szCs w:val="15"/>
          <w:color w:val="auto"/>
        </w:rPr>
        <w:t>3.6%</w:t>
      </w:r>
    </w:p>
    <w:p>
      <w:pPr>
        <w:jc w:val="right"/>
        <w:ind w:right="880"/>
        <w:spacing w:after="0" w:line="237" w:lineRule="auto"/>
        <w:rPr>
          <w:sz w:val="20"/>
          <w:szCs w:val="20"/>
          <w:color w:val="auto"/>
        </w:rPr>
      </w:pPr>
      <w:r>
        <w:rPr>
          <w:rFonts w:ascii="Courier New" w:cs="Courier New" w:eastAsia="Courier New" w:hAnsi="Courier New"/>
          <w:sz w:val="15"/>
          <w:szCs w:val="15"/>
          <w:color w:val="auto"/>
        </w:rPr>
        <w:t>9.5%</w:t>
      </w:r>
    </w:p>
    <w:p>
      <w:pPr>
        <w:sectPr>
          <w:pgSz w:w="11900" w:h="16838" w:orient="portrait"/>
          <w:cols w:equalWidth="0" w:num="2">
            <w:col w:w="8820" w:space="720"/>
            <w:col w:w="1760"/>
          </w:cols>
          <w:pgMar w:left="220" w:top="617" w:right="37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620" w:right="3239" w:hanging="610"/>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67" w:lineRule="exact"/>
        <w:rPr>
          <w:sz w:val="20"/>
          <w:szCs w:val="20"/>
          <w:color w:val="auto"/>
        </w:rPr>
      </w:pPr>
    </w:p>
    <w:p>
      <w:pPr>
        <w:ind w:left="620" w:hanging="610"/>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3" w:lineRule="exact"/>
        <w:rPr>
          <w:sz w:val="20"/>
          <w:szCs w:val="20"/>
          <w:color w:val="auto"/>
        </w:rPr>
      </w:pPr>
    </w:p>
    <w:p>
      <w:pPr>
        <w:ind w:left="620" w:right="3319" w:hanging="610"/>
        <w:spacing w:after="0" w:line="258"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all such persons, except Millenium Partners, LP, is c/o the Company, 3155 Porter Drive, Palo Alto, California 94304. The address of Millenium Partners, LP is 551 Fifth Avenue, New York, New York 10176.</w:t>
      </w:r>
    </w:p>
    <w:p>
      <w:pPr>
        <w:spacing w:after="0" w:line="161" w:lineRule="exact"/>
        <w:rPr>
          <w:rFonts w:ascii="Courier New" w:cs="Courier New" w:eastAsia="Courier New" w:hAnsi="Courier New"/>
          <w:sz w:val="14"/>
          <w:szCs w:val="14"/>
          <w:color w:val="auto"/>
        </w:rPr>
      </w:pPr>
    </w:p>
    <w:p>
      <w:pPr>
        <w:ind w:left="620" w:right="41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10,309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3239" w:hanging="610"/>
        <w:spacing w:after="0" w:line="236"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37,400 shares issuable upon exercise of stock options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111,504 shares held outright.</w:t>
      </w:r>
    </w:p>
    <w:p>
      <w:pPr>
        <w:spacing w:after="0" w:line="174" w:lineRule="exact"/>
        <w:rPr>
          <w:rFonts w:ascii="Courier New" w:cs="Courier New" w:eastAsia="Courier New" w:hAnsi="Courier New"/>
          <w:sz w:val="15"/>
          <w:szCs w:val="15"/>
          <w:color w:val="auto"/>
        </w:rPr>
      </w:pPr>
    </w:p>
    <w:p>
      <w:pPr>
        <w:ind w:left="620" w:right="40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115,588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3239" w:hanging="610"/>
        <w:spacing w:after="0" w:line="255"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34,486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a total of 50,791 shares owned by trusts for the benefit of Dr. Weissman's children as to which he disclaims beneficial ownership.</w:t>
      </w:r>
    </w:p>
    <w:p>
      <w:pPr>
        <w:spacing w:after="0" w:line="165" w:lineRule="exact"/>
        <w:rPr>
          <w:rFonts w:ascii="Courier New" w:cs="Courier New" w:eastAsia="Courier New" w:hAnsi="Courier New"/>
          <w:sz w:val="14"/>
          <w:szCs w:val="14"/>
          <w:color w:val="auto"/>
        </w:rPr>
      </w:pPr>
    </w:p>
    <w:p>
      <w:pPr>
        <w:ind w:left="620" w:right="3319" w:hanging="610"/>
        <w:spacing w:after="0" w:line="255"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26,031 shares issuable upon exercise of stock options exercisable within 60 days. Includes 24,018 shares held outright.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66" w:lineRule="exact"/>
        <w:rPr>
          <w:rFonts w:ascii="Courier New" w:cs="Courier New" w:eastAsia="Courier New" w:hAnsi="Courier New"/>
          <w:sz w:val="14"/>
          <w:szCs w:val="14"/>
          <w:color w:val="auto"/>
        </w:rPr>
      </w:pPr>
    </w:p>
    <w:p>
      <w:pPr>
        <w:ind w:left="620" w:right="41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84,521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4199" w:hanging="610"/>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22,742 shares issuable upon exercise of stock options exercisable within 60 days.</w:t>
      </w:r>
    </w:p>
    <w:p>
      <w:pPr>
        <w:spacing w:after="0" w:line="173" w:lineRule="exact"/>
        <w:rPr>
          <w:rFonts w:ascii="Courier New" w:cs="Courier New" w:eastAsia="Courier New" w:hAnsi="Courier New"/>
          <w:sz w:val="15"/>
          <w:szCs w:val="15"/>
          <w:color w:val="auto"/>
        </w:rPr>
      </w:pPr>
    </w:p>
    <w:p>
      <w:pPr>
        <w:ind w:left="620" w:right="3239" w:hanging="610"/>
        <w:spacing w:after="0" w:line="236"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1,054,835 shares held outright. Includes 101,587 shares currently issuable upon the exercise of warrants issued on August 3, 2000. Includes 19,900 shares currently issuable upon the exercise of warrants issued on August 30, 2000. Includes 461,894 if shares currently issuable upon exercise of an option issued on August 3, 2000 to purchase up to $2 million of our Common Stock based upon the market price of the Common Stock at the time of the exercise. Includes 50,808 shares issuable upon the exercise of warrants issuable upon exercise of the afore mentioned option. Includes 463,369 shares issuable upon exercise of an adjustable warrant.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w:t>
      </w:r>
    </w:p>
    <w:p>
      <w:pPr>
        <w:sectPr>
          <w:pgSz w:w="11900" w:h="16838" w:orient="portrait"/>
          <w:cols w:equalWidth="0" w:num="1">
            <w:col w:w="10239"/>
          </w:cols>
          <w:pgMar w:left="220" w:top="785" w:right="1440" w:bottom="1440" w:gutter="0" w:footer="0" w:header="0"/>
        </w:sectPr>
      </w:pPr>
    </w:p>
    <w:bookmarkStart w:id="50" w:name="page51"/>
    <w:bookmarkEnd w:id="50"/>
    <w:p>
      <w:pPr>
        <w:ind w:right="3239"/>
        <w:spacing w:after="0" w:line="254" w:lineRule="auto"/>
        <w:rPr>
          <w:sz w:val="20"/>
          <w:szCs w:val="20"/>
          <w:color w:val="auto"/>
        </w:rPr>
      </w:pPr>
      <w:r>
        <w:rPr>
          <w:rFonts w:ascii="Courier New" w:cs="Courier New" w:eastAsia="Courier New" w:hAnsi="Courier New"/>
          <w:sz w:val="14"/>
          <w:szCs w:val="14"/>
          <w:color w:val="auto"/>
        </w:rPr>
        <w:t>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 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w:t>
      </w:r>
    </w:p>
    <w:p>
      <w:pPr>
        <w:spacing w:after="0" w:line="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40,000-share time-based stock option will be reduced to the then current rate for a Director of the Company, plus $5,000 per month pursuant to the Consulting Services Agreement. In the event 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 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 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 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200" w:lineRule="exact"/>
        <w:rPr>
          <w:sz w:val="20"/>
          <w:szCs w:val="20"/>
          <w:color w:val="auto"/>
        </w:rPr>
      </w:pPr>
    </w:p>
    <w:p>
      <w:pPr>
        <w:spacing w:after="0" w:line="320"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have recorded a compensation expense of $823,759 during the fourth quarter of 2000 as a result of this change in the vested portion of the option. The deferred compensation expense associated with the unvested portion of the grants was recorded as $669,116. We plan to revalue the options using the Black-Scholes method on a quarterly basis and recognize additional compensation expense accordingly.</w:t>
      </w:r>
    </w:p>
    <w:p>
      <w:pPr>
        <w:sectPr>
          <w:pgSz w:w="11900" w:h="16838" w:orient="portrait"/>
          <w:cols w:equalWidth="0" w:num="1">
            <w:col w:w="10239"/>
          </w:cols>
          <w:pgMar w:left="220" w:top="792" w:right="1440" w:bottom="1440" w:gutter="0" w:footer="0" w:header="0"/>
        </w:sectPr>
      </w:pPr>
    </w:p>
    <w:bookmarkStart w:id="51" w:name="page52"/>
    <w:bookmarkEnd w:id="51"/>
    <w:p>
      <w:pPr>
        <w:ind w:right="3319"/>
        <w:spacing w:after="0" w:line="255" w:lineRule="auto"/>
        <w:rPr>
          <w:sz w:val="20"/>
          <w:szCs w:val="20"/>
          <w:color w:val="auto"/>
        </w:rPr>
      </w:pPr>
      <w:r>
        <w:rPr>
          <w:rFonts w:ascii="Courier New" w:cs="Courier New" w:eastAsia="Courier New" w:hAnsi="Courier New"/>
          <w:sz w:val="14"/>
          <w:szCs w:val="14"/>
          <w:color w:val="auto"/>
        </w:rPr>
        <w:t>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165" w:lineRule="exact"/>
        <w:rPr>
          <w:sz w:val="20"/>
          <w:szCs w:val="20"/>
          <w:color w:val="auto"/>
        </w:rPr>
      </w:pPr>
    </w:p>
    <w:p>
      <w:pPr>
        <w:ind w:right="3239" w:firstLine="612"/>
        <w:spacing w:after="0" w:line="254"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4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George W. Dunbar, Jr., Acting President and Chief Executive Officer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2000 to January 15, 2001, was a founding member of iCEO,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("iCEO") in September 1999. Mr. Dunbar joined the company as Acting President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 our wholly owned subsidiary, and he held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until January 15, 2001. Under the terms of two agreements dated as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17, 1999 and effective as of November 8, 1999, the first between us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iCEO and the second between us and Mr. Dunbar, Mr. Dunbar agreed to serve as</w:t>
      </w:r>
    </w:p>
    <w:p>
      <w:pPr>
        <w:spacing w:after="0" w:line="237" w:lineRule="auto"/>
        <w:rPr>
          <w:sz w:val="20"/>
          <w:szCs w:val="20"/>
          <w:color w:val="auto"/>
        </w:rPr>
      </w:pPr>
      <w:r>
        <w:rPr>
          <w:rFonts w:ascii="Courier New" w:cs="Courier New" w:eastAsia="Courier New" w:hAnsi="Courier New"/>
          <w:sz w:val="15"/>
          <w:szCs w:val="15"/>
          <w:color w:val="auto"/>
        </w:rPr>
        <w:t>Acting President of StemCells California, Inc., our wholly owned subsidiary.</w:t>
      </w:r>
    </w:p>
    <w:p>
      <w:pPr>
        <w:spacing w:after="0" w:line="238" w:lineRule="auto"/>
        <w:rPr>
          <w:sz w:val="20"/>
          <w:szCs w:val="20"/>
          <w:color w:val="auto"/>
        </w:rPr>
      </w:pPr>
      <w:r>
        <w:rPr>
          <w:rFonts w:ascii="Courier New" w:cs="Courier New" w:eastAsia="Courier New" w:hAnsi="Courier New"/>
          <w:sz w:val="15"/>
          <w:szCs w:val="15"/>
          <w:color w:val="auto"/>
        </w:rPr>
        <w:t>Pursuant to the terms of his agreement with us, Mr. Dunbar was entitled to an</w:t>
      </w:r>
    </w:p>
    <w:p>
      <w:pPr>
        <w:spacing w:after="0" w:line="237" w:lineRule="auto"/>
        <w:rPr>
          <w:sz w:val="20"/>
          <w:szCs w:val="20"/>
          <w:color w:val="auto"/>
        </w:rPr>
      </w:pPr>
      <w:r>
        <w:rPr>
          <w:rFonts w:ascii="Courier New" w:cs="Courier New" w:eastAsia="Courier New" w:hAnsi="Courier New"/>
          <w:sz w:val="15"/>
          <w:szCs w:val="15"/>
          <w:color w:val="auto"/>
        </w:rPr>
        <w:t>annual salary of $175,000 and was granted a stock option to purchase 48,000</w:t>
      </w:r>
    </w:p>
    <w:p>
      <w:pPr>
        <w:spacing w:after="0" w:line="238" w:lineRule="auto"/>
        <w:rPr>
          <w:sz w:val="20"/>
          <w:szCs w:val="20"/>
          <w:color w:val="auto"/>
        </w:rPr>
      </w:pPr>
      <w:r>
        <w:rPr>
          <w:rFonts w:ascii="Courier New" w:cs="Courier New" w:eastAsia="Courier New" w:hAnsi="Courier New"/>
          <w:sz w:val="15"/>
          <w:szCs w:val="15"/>
          <w:color w:val="auto"/>
        </w:rPr>
        <w:t>shares of our common stock that vested at the rate of 4,000 shares per month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commencing on December 6, 1999 and continuing until fully vested so long as 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as Acting President. The vesting under the option was subject to</w:t>
      </w:r>
    </w:p>
    <w:p>
      <w:pPr>
        <w:spacing w:after="0" w:line="237" w:lineRule="auto"/>
        <w:rPr>
          <w:sz w:val="20"/>
          <w:szCs w:val="20"/>
          <w:color w:val="auto"/>
        </w:rPr>
      </w:pPr>
      <w:r>
        <w:rPr>
          <w:rFonts w:ascii="Courier New" w:cs="Courier New" w:eastAsia="Courier New" w:hAnsi="Courier New"/>
          <w:sz w:val="15"/>
          <w:szCs w:val="15"/>
          <w:color w:val="auto"/>
        </w:rPr>
        <w:t>acceleration in the event of certain changes of control. Additionally,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provided that the Board would consider once per quarter the grant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option for an additional 3,000 shares if it is determined that the services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rendered by Mr. Dunbar during the preceding quarter exceeded expectations.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Mr. Dunbar had no provisions for any severance payments or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 upon Mr. Dunbar's resignation or termination. Pursuant to the terms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between iCEO and us, iCEO was entitled to receive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$75,000 for so long as Mr. Dunbar continued to serve in his role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Acting President of StemCells California, Inc. or in any other interim role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Company. In addition, iCEO was granted a stock option to purchase</w:t>
      </w:r>
    </w:p>
    <w:p>
      <w:pPr>
        <w:spacing w:after="0" w:line="237" w:lineRule="auto"/>
        <w:rPr>
          <w:sz w:val="20"/>
          <w:szCs w:val="20"/>
          <w:color w:val="auto"/>
        </w:rPr>
      </w:pPr>
      <w:r>
        <w:rPr>
          <w:rFonts w:ascii="Courier New" w:cs="Courier New" w:eastAsia="Courier New" w:hAnsi="Courier New"/>
          <w:sz w:val="15"/>
          <w:szCs w:val="15"/>
          <w:color w:val="auto"/>
        </w:rPr>
        <w:t>48,000 shares of our common stock that vested at the rate of 4,000 shares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 commencing on December 6, 1999 and continuing until fully vested so long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Mr. Dunbar served as Acting President of StemCells California, Inc. or in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interim role with the company. Additionally, the iCEO agreement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Board would consider once per quarter the grant of an option to iCEO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 additional 3,000 shares if it is determined that the services rendered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Dunbar during the preceding quarter exceeded expectations. As a member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iCEO, Mr. Dunbar was entitled to receive, once annually, a distribution of 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assigned allocable percentage of net taxable income and net long-term gain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pooled income and gain from shares of stock or exercised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by iCEO from its clients, including that received from us. When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Dunbar was appointed Acting President and Chief Executive Officer effective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February 1, 2000, there was no adjustment to his or iCEO's compensation or</w:t>
      </w:r>
    </w:p>
    <w:p>
      <w:pPr>
        <w:spacing w:after="0" w:line="237" w:lineRule="auto"/>
        <w:rPr>
          <w:sz w:val="20"/>
          <w:szCs w:val="20"/>
          <w:color w:val="auto"/>
        </w:rPr>
      </w:pPr>
      <w:r>
        <w:rPr>
          <w:rFonts w:ascii="Courier New" w:cs="Courier New" w:eastAsia="Courier New" w:hAnsi="Courier New"/>
          <w:sz w:val="15"/>
          <w:szCs w:val="15"/>
          <w:color w:val="auto"/>
        </w:rPr>
        <w:t>stock options. In the event that during the period of his service as Acting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 or within 120 days from the termination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services, Mr. Dunbar were to become a permanent employee in any capacity,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would be obligated under the iCEO agreement to pay iCEO a fee equal to</w:t>
      </w:r>
    </w:p>
    <w:p>
      <w:pPr>
        <w:spacing w:after="0" w:line="237" w:lineRule="auto"/>
        <w:rPr>
          <w:sz w:val="20"/>
          <w:szCs w:val="20"/>
          <w:color w:val="auto"/>
        </w:rPr>
      </w:pPr>
      <w:r>
        <w:rPr>
          <w:rFonts w:ascii="Courier New" w:cs="Courier New" w:eastAsia="Courier New" w:hAnsi="Courier New"/>
          <w:sz w:val="15"/>
          <w:szCs w:val="15"/>
          <w:color w:val="auto"/>
        </w:rPr>
        <w:t>one-third of the then targeted first year's compensation for Mr. Dunbar.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Mr. Dunbar and iCEO expired in November 2000 and at that time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paid Mr. Dunbar a bonus of $50,000 and granted him an immediately exercisable</w:t>
      </w:r>
    </w:p>
    <w:p>
      <w:pPr>
        <w:spacing w:after="0" w:line="237" w:lineRule="auto"/>
        <w:rPr>
          <w:sz w:val="20"/>
          <w:szCs w:val="20"/>
          <w:color w:val="auto"/>
        </w:rPr>
      </w:pPr>
      <w:r>
        <w:rPr>
          <w:rFonts w:ascii="Courier New" w:cs="Courier New" w:eastAsia="Courier New" w:hAnsi="Courier New"/>
          <w:sz w:val="15"/>
          <w:szCs w:val="15"/>
          <w:color w:val="auto"/>
        </w:rPr>
        <w:t>option to purchase 12,031 shares of common stock. We continued to employ Mr.</w:t>
      </w:r>
    </w:p>
    <w:p>
      <w:pPr>
        <w:spacing w:after="0" w:line="238" w:lineRule="auto"/>
        <w:rPr>
          <w:sz w:val="20"/>
          <w:szCs w:val="20"/>
          <w:color w:val="auto"/>
        </w:rPr>
      </w:pPr>
      <w:r>
        <w:rPr>
          <w:rFonts w:ascii="Courier New" w:cs="Courier New" w:eastAsia="Courier New" w:hAnsi="Courier New"/>
          <w:sz w:val="15"/>
          <w:szCs w:val="15"/>
          <w:color w:val="auto"/>
        </w:rPr>
        <w:t>Dunbar in the same capacity until January 15, 2001 at an annual salary of</w:t>
      </w:r>
    </w:p>
    <w:p>
      <w:pPr>
        <w:spacing w:after="0" w:line="237" w:lineRule="auto"/>
        <w:rPr>
          <w:sz w:val="20"/>
          <w:szCs w:val="20"/>
          <w:color w:val="auto"/>
        </w:rPr>
      </w:pPr>
      <w:r>
        <w:rPr>
          <w:rFonts w:ascii="Courier New" w:cs="Courier New" w:eastAsia="Courier New" w:hAnsi="Courier New"/>
          <w:sz w:val="15"/>
          <w:szCs w:val="15"/>
          <w:color w:val="auto"/>
        </w:rPr>
        <w:t>$250,000, and also granted him an option to purchase 8,000 shares of common</w:t>
      </w:r>
    </w:p>
    <w:p>
      <w:pPr>
        <w:spacing w:after="0" w:line="238" w:lineRule="auto"/>
        <w:rPr>
          <w:sz w:val="20"/>
          <w:szCs w:val="20"/>
          <w:color w:val="auto"/>
        </w:rPr>
      </w:pPr>
      <w:r>
        <w:rPr>
          <w:rFonts w:ascii="Courier New" w:cs="Courier New" w:eastAsia="Courier New" w:hAnsi="Courier New"/>
          <w:sz w:val="15"/>
          <w:szCs w:val="15"/>
          <w:color w:val="auto"/>
        </w:rPr>
        <w:t>stock</w:t>
      </w:r>
    </w:p>
    <w:p>
      <w:pPr>
        <w:sectPr>
          <w:pgSz w:w="11900" w:h="16838" w:orient="portrait"/>
          <w:cols w:equalWidth="0" w:num="1">
            <w:col w:w="10239"/>
          </w:cols>
          <w:pgMar w:left="220" w:top="79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for each additional month, or pro rata portion of a month, of his employment.</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o"/>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o"/>
      <w:numFmt w:val="bullet"/>
      <w:start w:val="1"/>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o"/>
      <w:numFmt w:val="bullet"/>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o"/>
      <w:numFmt w:val="bullet"/>
      <w:start w:val="1"/>
    </w:lvl>
    <w:lvl w:ilvl="1">
      <w:lvlJc w:val="left"/>
      <w:lvlText w:val="(%2)"/>
      <w:numFmt w:val="lowerRoman"/>
      <w:start w:val="1"/>
    </w:lvl>
  </w:abstractNum>
  <w:abstractNum w:abstractNumId="9">
    <w:nsid w:val="333AB105"/>
    <w:multiLevelType w:val="hybridMultilevel"/>
    <w:lvl w:ilvl="0">
      <w:lvlJc w:val="left"/>
      <w:lvlText w:val="o"/>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decimal"/>
      <w:start w:val="3"/>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4"/>
    </w:lvl>
  </w:abstractNum>
  <w:abstractNum w:abstractNumId="16">
    <w:nsid w:val="79838CB2"/>
    <w:multiLevelType w:val="hybridMultilevel"/>
    <w:lvl w:ilvl="0">
      <w:lvlJc w:val="left"/>
      <w:lvlText w:val="%1."/>
      <w:numFmt w:val="decimal"/>
      <w:start w:val="5"/>
    </w:lvl>
  </w:abstractNum>
  <w:abstractNum w:abstractNumId="17">
    <w:nsid w:val="4353D0CD"/>
    <w:multiLevelType w:val="hybridMultilevel"/>
    <w:lvl w:ilvl="0">
      <w:lvlJc w:val="left"/>
      <w:lvlText w:val="%1."/>
      <w:numFmt w:val="decimal"/>
      <w:start w:val="6"/>
    </w:lvl>
  </w:abstractNum>
  <w:abstractNum w:abstractNumId="18">
    <w:nsid w:val="B03E0C6"/>
    <w:multiLevelType w:val="hybridMultilevel"/>
    <w:lvl w:ilvl="0">
      <w:lvlJc w:val="left"/>
      <w:lvlText w:val="%1."/>
      <w:numFmt w:val="decimal"/>
      <w:start w:val="7"/>
    </w:lvl>
  </w:abstractNum>
  <w:abstractNum w:abstractNumId="19">
    <w:nsid w:val="189A769B"/>
    <w:multiLevelType w:val="hybridMultilevel"/>
    <w:lvl w:ilvl="0">
      <w:lvlJc w:val="left"/>
      <w:lvlText w:val="%1."/>
      <w:numFmt w:val="decimal"/>
      <w:start w:val="8"/>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0"/>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decimal"/>
      <w:start w:val="11"/>
    </w:lvl>
  </w:abstractNum>
  <w:abstractNum w:abstractNumId="25">
    <w:nsid w:val="3A95F874"/>
    <w:multiLevelType w:val="hybridMultilevel"/>
    <w:lvl w:ilvl="0">
      <w:lvlJc w:val="left"/>
      <w:lvlText w:val="%1."/>
      <w:numFmt w:val="decimal"/>
      <w:start w:val="12"/>
    </w:lvl>
  </w:abstractNum>
  <w:abstractNum w:abstractNumId="26">
    <w:nsid w:val="8138641"/>
    <w:multiLevelType w:val="hybridMultilevel"/>
    <w:lvl w:ilvl="0">
      <w:lvlJc w:val="left"/>
      <w:lvlText w:val="%1."/>
      <w:numFmt w:val="decimal"/>
      <w:start w:val="13"/>
    </w:lvl>
  </w:abstractNum>
  <w:abstractNum w:abstractNumId="27">
    <w:nsid w:val="1E7FF521"/>
    <w:multiLevelType w:val="hybridMultilevel"/>
    <w:lvl w:ilvl="0">
      <w:lvlJc w:val="left"/>
      <w:lvlText w:val="%1."/>
      <w:numFmt w:val="decimal"/>
      <w:start w:val="14"/>
    </w:lvl>
  </w:abstractNum>
  <w:abstractNum w:abstractNumId="28">
    <w:nsid w:val="7C3DBD3D"/>
    <w:multiLevelType w:val="hybridMultilevel"/>
    <w:lvl w:ilvl="0">
      <w:lvlJc w:val="left"/>
      <w:lvlText w:val="%1."/>
      <w:numFmt w:val="decimal"/>
      <w:start w:val="15"/>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2019-12-13T21:02:18Z</dcterms:created>
  <dcterms:modified xsi:type="dcterms:W3CDTF">2019-12-13T21:02:18Z</dcterms:modified>
</cp:coreProperties>
</file>