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333-276487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Post-Effective Amendment No. 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40"/>
          </w:cols>
          <w:pgMar w:left="320" w:top="441" w:right="339" w:bottom="0" w:gutter="0" w:footer="0" w:header="0"/>
          <w:type w:val="continuous"/>
        </w:sectPr>
      </w:pPr>
    </w:p>
    <w:bookmarkStart w:id="1" w:name="page2"/>
    <w:bookmarkEnd w:id="1"/>
    <w:p>
      <w:pPr>
        <w:jc w:val="both"/>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3,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1,769,966 shares of our common stock, $0.01 par value per share, representing shares issuable upon the exercise of outstanding preferred investment options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May 31, 2024, the last reported closing price of our common stock on the Nasdaq Capital Market was $1.00.</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194" w:lineRule="exact"/>
        <w:rPr>
          <w:rFonts w:ascii="Times New Roman" w:cs="Times New Roman" w:eastAsia="Times New Roman" w:hAnsi="Times New Roman"/>
          <w:sz w:val="18"/>
          <w:szCs w:val="18"/>
          <w:color w:val="auto"/>
        </w:rPr>
      </w:pPr>
    </w:p>
    <w:p>
      <w:pPr>
        <w:ind w:left="660" w:right="20" w:hanging="328"/>
        <w:spacing w:after="0" w:line="204"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feature is subject to a buy-back clause which was triggered, thus causing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ectPr>
          <w:pgSz w:w="11900" w:h="16838" w:orient="portrait"/>
          <w:cols w:equalWidth="0" w:num="1">
            <w:col w:w="11240"/>
          </w:cols>
          <w:pgMar w:left="320" w:top="684"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“Business-Government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1,769,966 shares of our common stock, as follows:</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preferred investment options expiring in July 2029, at an exercise price per share of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1,769,966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14,398,964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16,168,930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May 31,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the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1,769,966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March 31, 2024, the Company had unrestricted cash, cash equivalents and marketable securities of approximately $6.35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programs relating to 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04"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37"/>
          <w:szCs w:val="37"/>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is subject to a buy-back clause which was triggered, causing us to lose rights to the technology.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1,769,966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2024, there were approximately 97 holders of record of our common stock, and the closing price of our common stock as reported on the NASDAQ Capital Market was $1.00.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(1,215)</w:t>
            </w:r>
          </w:p>
        </w:tc>
        <w:tc>
          <w:tcPr>
            <w:tcW w:w="3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(7,736)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14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(1,284)</w:t>
            </w:r>
          </w:p>
        </w:tc>
        <w:tc>
          <w:tcPr>
            <w:tcW w:w="1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2,397</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7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w:t>
      </w:r>
    </w:p>
    <w:p>
      <w:pPr>
        <w:spacing w:after="0" w:line="2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37"/>
          <w:szCs w:val="37"/>
          <w:b w:val="1"/>
          <w:bCs w:val="1"/>
          <w:i w:val="1"/>
          <w:iCs w:val="1"/>
          <w:color w:val="auto"/>
          <w:vertAlign w:val="superscript"/>
        </w:rPr>
        <w:t>®</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ectPr>
          <w:pgSz w:w="11900" w:h="16838" w:orient="portrait"/>
          <w:cols w:equalWidth="0" w:num="1">
            <w:col w:w="11240"/>
          </w:cols>
          <w:pgMar w:left="320" w:top="688" w:right="339" w:bottom="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18"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w:t>
      </w:r>
    </w:p>
    <w:p>
      <w:pPr>
        <w:jc w:val="both"/>
        <w:spacing w:after="0" w:line="217" w:lineRule="auto"/>
        <w:rPr>
          <w:sz w:val="20"/>
          <w:szCs w:val="20"/>
          <w:color w:val="auto"/>
        </w:rPr>
      </w:pPr>
      <w:r>
        <w:rPr>
          <w:rFonts w:ascii="Times New Roman" w:cs="Times New Roman" w:eastAsia="Times New Roman" w:hAnsi="Times New Roman"/>
          <w:sz w:val="18"/>
          <w:szCs w:val="18"/>
          <w:color w:val="auto"/>
        </w:rPr>
        <w:t>Foundation Ltd., or TRDF. The NovaCross</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As of March 31,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2023, respectively, Microbot incurred research and development expenses of approximately $7,736,000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52"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44"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ectPr>
          <w:pgSz w:w="11900" w:h="16838" w:orient="portrait"/>
          <w:cols w:equalWidth="0" w:num="1">
            <w:col w:w="11240"/>
          </w:cols>
          <w:pgMar w:left="320" w:top="688" w:right="339"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March 31,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2024, we have 22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May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May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May 31, 2024.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1,838,166</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255,621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115,874(6)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146,403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181,235(8)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137,245(8)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142,012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47,372(9)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84" w:right="3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9,375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11,375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23,625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12,500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4,750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07/18/2032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Eyal Morag</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$ 64,386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75,011</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$ 63,701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-333375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May 31,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May 31, 2024. We calculated percentage ownership in accordance with the rules of the SEC. The percentage of common stock beneficially owned is based on 14,398,964 shares outstanding as of May 31, 2024. In addition, shares issuable pursuant to options or other convertible securities that may be acquired within 60 days of May 31,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1,050,773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295,120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53,092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53,092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53,092</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47,996</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107,153</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46,405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54,337</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1,767,310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836,080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53,092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May 31,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14,398,964 shares of our common stock outstanding as of May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 All Shares of Common Stock</w:t>
            </w:r>
          </w:p>
        </w:tc>
        <w:tc>
          <w:tcPr>
            <w:tcW w:w="0" w:type="dxa"/>
            <w:vAlign w:val="bottom"/>
          </w:tcPr>
          <w:p>
            <w:pPr>
              <w:spacing w:after="0"/>
              <w:rPr>
                <w:sz w:val="1"/>
                <w:szCs w:val="1"/>
                <w:color w:val="auto"/>
              </w:rPr>
            </w:pPr>
          </w:p>
        </w:tc>
      </w:tr>
      <w:tr>
        <w:trPr>
          <w:trHeight w:val="259"/>
        </w:trPr>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Pursuant to this Prospectus</w:t>
            </w:r>
          </w:p>
        </w:tc>
        <w:tc>
          <w:tcPr>
            <w:tcW w:w="0" w:type="dxa"/>
            <w:vAlign w:val="bottom"/>
          </w:tcPr>
          <w:p>
            <w:pPr>
              <w:spacing w:after="0"/>
              <w:rPr>
                <w:sz w:val="1"/>
                <w:szCs w:val="1"/>
                <w:color w:val="auto"/>
              </w:rPr>
            </w:pPr>
          </w:p>
        </w:tc>
      </w:tr>
      <w:tr>
        <w:trPr>
          <w:trHeight w:val="194"/>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20" w:type="dxa"/>
            <w:vAlign w:val="bottom"/>
            <w:tcBorders>
              <w:top w:val="single" w:sz="8" w:color="auto"/>
            </w:tcBorders>
            <w:gridSpan w:val="2"/>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1,360,517</w:t>
            </w:r>
          </w:p>
        </w:tc>
        <w:tc>
          <w:tcPr>
            <w:tcW w:w="3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4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221,062</w:t>
            </w:r>
          </w:p>
        </w:tc>
        <w:tc>
          <w:tcPr>
            <w:tcW w:w="38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4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(3)(4)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104,103</w:t>
            </w:r>
          </w:p>
        </w:tc>
        <w:tc>
          <w:tcPr>
            <w:tcW w:w="3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2620" w:type="dxa"/>
            <w:vAlign w:val="bottom"/>
            <w:gridSpan w:val="2"/>
          </w:tcPr>
          <w:p>
            <w:pPr>
              <w:jc w:val="right"/>
              <w:ind w:right="2165"/>
              <w:spacing w:after="0" w:line="135"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tcPr>
          <w:p>
            <w:pPr>
              <w:spacing w:after="0"/>
              <w:rPr>
                <w:sz w:val="11"/>
                <w:szCs w:val="11"/>
                <w:color w:val="auto"/>
              </w:rPr>
            </w:pPr>
          </w:p>
        </w:tc>
        <w:tc>
          <w:tcPr>
            <w:tcW w:w="13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92,918</w:t>
            </w:r>
          </w:p>
        </w:tc>
        <w:tc>
          <w:tcPr>
            <w:tcW w:w="380" w:type="dxa"/>
            <w:vAlign w:val="bottom"/>
          </w:tcPr>
          <w:p>
            <w:pPr>
              <w:spacing w:after="0"/>
              <w:rPr>
                <w:sz w:val="11"/>
                <w:szCs w:val="11"/>
                <w:color w:val="auto"/>
              </w:rPr>
            </w:pPr>
          </w:p>
        </w:tc>
        <w:tc>
          <w:tcPr>
            <w:tcW w:w="1460" w:type="dxa"/>
            <w:vAlign w:val="bottom"/>
            <w:gridSpan w:val="2"/>
            <w:vMerge w:val="restart"/>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26,549</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66,369</w:t>
            </w:r>
          </w:p>
        </w:tc>
        <w:tc>
          <w:tcPr>
            <w:tcW w:w="124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Noam Rubenstein</w:t>
            </w: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380" w:type="dxa"/>
            <w:vAlign w:val="bottom"/>
            <w:vMerge w:val="restart"/>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360" w:type="dxa"/>
            <w:vAlign w:val="bottom"/>
            <w:shd w:val="clear" w:color="auto" w:fill="CCEEFF"/>
          </w:tcPr>
          <w:p>
            <w:pPr>
              <w:jc w:val="right"/>
              <w:ind w:right="1945"/>
              <w:spacing w:after="0" w:line="135"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189,157</w:t>
            </w:r>
          </w:p>
        </w:tc>
        <w:tc>
          <w:tcPr>
            <w:tcW w:w="38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1.30%</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54,047</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135,110</w:t>
            </w:r>
          </w:p>
        </w:tc>
        <w:tc>
          <w:tcPr>
            <w:tcW w:w="1240" w:type="dxa"/>
            <w:vAlign w:val="bottom"/>
            <w:gridSpan w:val="2"/>
            <w:vMerge w:val="restart"/>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940" w:type="dxa"/>
            <w:vAlign w:val="bottom"/>
            <w:gridSpan w:val="4"/>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Michael Vasinkevich</w:t>
            </w:r>
          </w:p>
        </w:tc>
        <w:tc>
          <w:tcPr>
            <w:tcW w:w="1380" w:type="dxa"/>
            <w:vAlign w:val="bottom"/>
            <w:vMerge w:val="continue"/>
            <w:shd w:val="clear" w:color="auto" w:fill="CCEEFF"/>
          </w:tcPr>
          <w:p>
            <w:pPr>
              <w:spacing w:after="0"/>
              <w:rPr>
                <w:sz w:val="4"/>
                <w:szCs w:val="4"/>
                <w:color w:val="auto"/>
              </w:rPr>
            </w:pPr>
          </w:p>
        </w:tc>
        <w:tc>
          <w:tcPr>
            <w:tcW w:w="380" w:type="dxa"/>
            <w:vAlign w:val="bottom"/>
            <w:vMerge w:val="restart"/>
            <w:shd w:val="clear" w:color="auto" w:fill="CCEEFF"/>
          </w:tcPr>
          <w:p>
            <w:pPr>
              <w:jc w:val="right"/>
              <w:ind w:right="148"/>
              <w:spacing w:after="0" w:line="122" w:lineRule="exact"/>
              <w:rPr>
                <w:sz w:val="20"/>
                <w:szCs w:val="20"/>
                <w:color w:val="auto"/>
              </w:rPr>
            </w:pPr>
            <w:r>
              <w:rPr>
                <w:rFonts w:ascii="Times New Roman" w:cs="Times New Roman" w:eastAsia="Times New Roman" w:hAnsi="Times New Roman"/>
                <w:sz w:val="14"/>
                <w:szCs w:val="14"/>
                <w:color w:val="auto"/>
                <w:w w:val="85"/>
              </w:rPr>
              <w:t>(5)</w:t>
            </w:r>
          </w:p>
        </w:tc>
        <w:tc>
          <w:tcPr>
            <w:tcW w:w="1460" w:type="dxa"/>
            <w:vAlign w:val="bottom"/>
            <w:gridSpan w:val="2"/>
            <w:vMerge w:val="continue"/>
            <w:shd w:val="clear" w:color="auto" w:fill="CCEEFF"/>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420" w:type="dxa"/>
            <w:vAlign w:val="bottom"/>
            <w:gridSpan w:val="2"/>
            <w:vMerge w:val="continue"/>
            <w:shd w:val="clear" w:color="auto" w:fill="CCEEFF"/>
          </w:tcPr>
          <w:p>
            <w:pPr>
              <w:spacing w:after="0"/>
              <w:rPr>
                <w:sz w:val="4"/>
                <w:szCs w:val="4"/>
                <w:color w:val="auto"/>
              </w:rPr>
            </w:pPr>
          </w:p>
        </w:tc>
        <w:tc>
          <w:tcPr>
            <w:tcW w:w="124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3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w w:val="98"/>
              </w:rPr>
              <w:t>Craig Schwabe</w:t>
            </w:r>
          </w:p>
        </w:tc>
        <w:tc>
          <w:tcPr>
            <w:tcW w:w="26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w w:val="91"/>
              </w:rPr>
              <w:t>(4)</w:t>
            </w: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9,956</w:t>
            </w:r>
          </w:p>
        </w:tc>
        <w:tc>
          <w:tcPr>
            <w:tcW w:w="380" w:type="dxa"/>
            <w:vAlign w:val="bottom"/>
            <w:vMerge w:val="restart"/>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60" w:type="dxa"/>
            <w:vAlign w:val="bottom"/>
            <w:gridSpan w:val="2"/>
            <w:vMerge w:val="restart"/>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2,845</w:t>
            </w:r>
          </w:p>
        </w:tc>
        <w:tc>
          <w:tcPr>
            <w:tcW w:w="1420" w:type="dxa"/>
            <w:vAlign w:val="bottom"/>
            <w:gridSpan w:val="2"/>
            <w:vMerge w:val="restart"/>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7,111</w:t>
            </w:r>
          </w:p>
        </w:tc>
        <w:tc>
          <w:tcPr>
            <w:tcW w:w="1240" w:type="dxa"/>
            <w:vAlign w:val="bottom"/>
            <w:gridSpan w:val="2"/>
            <w:vMerge w:val="restart"/>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360" w:type="dxa"/>
            <w:vAlign w:val="bottom"/>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Charles Worthman</w:t>
            </w:r>
          </w:p>
        </w:tc>
        <w:tc>
          <w:tcPr>
            <w:tcW w:w="2360" w:type="dxa"/>
            <w:vAlign w:val="bottom"/>
            <w:shd w:val="clear" w:color="auto" w:fill="CCEEFF"/>
          </w:tcPr>
          <w:p>
            <w:pPr>
              <w:jc w:val="right"/>
              <w:ind w:right="2105"/>
              <w:spacing w:after="0" w:line="162" w:lineRule="exact"/>
              <w:rPr>
                <w:sz w:val="20"/>
                <w:szCs w:val="20"/>
                <w:color w:val="auto"/>
              </w:rPr>
            </w:pPr>
            <w:r>
              <w:rPr>
                <w:rFonts w:ascii="Times New Roman" w:cs="Times New Roman" w:eastAsia="Times New Roman" w:hAnsi="Times New Roman"/>
                <w:sz w:val="15"/>
                <w:szCs w:val="15"/>
                <w:color w:val="auto"/>
                <w:w w:val="91"/>
              </w:rPr>
              <w:t>(4)</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2,951</w:t>
            </w:r>
          </w:p>
        </w:tc>
        <w:tc>
          <w:tcPr>
            <w:tcW w:w="38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5"/>
                <w:szCs w:val="15"/>
                <w:color w:val="auto"/>
                <w:w w:val="79"/>
              </w:rPr>
              <w:t>(5)</w:t>
            </w:r>
          </w:p>
        </w:tc>
        <w:tc>
          <w:tcPr>
            <w:tcW w:w="1460" w:type="dxa"/>
            <w:vAlign w:val="bottom"/>
            <w:gridSpan w:val="2"/>
            <w:vMerge w:val="restart"/>
            <w:shd w:val="clear" w:color="auto" w:fill="CCEEFF"/>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843</w:t>
            </w:r>
          </w:p>
        </w:tc>
        <w:tc>
          <w:tcPr>
            <w:tcW w:w="1420" w:type="dxa"/>
            <w:vAlign w:val="bottom"/>
            <w:gridSpan w:val="2"/>
            <w:vMerge w:val="restart"/>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2,108</w:t>
            </w:r>
          </w:p>
        </w:tc>
        <w:tc>
          <w:tcPr>
            <w:tcW w:w="1240" w:type="dxa"/>
            <w:vAlign w:val="bottom"/>
            <w:gridSpan w:val="2"/>
            <w:vMerge w:val="restart"/>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gridSpan w:val="2"/>
            <w:vMerge w:val="continue"/>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vMerge w:val="continue"/>
            <w:shd w:val="clear" w:color="auto" w:fill="CCEEFF"/>
          </w:tcPr>
          <w:p>
            <w:pPr>
              <w:spacing w:after="0"/>
              <w:rPr>
                <w:sz w:val="2"/>
                <w:szCs w:val="2"/>
                <w:color w:val="auto"/>
              </w:rPr>
            </w:pPr>
          </w:p>
        </w:tc>
        <w:tc>
          <w:tcPr>
            <w:tcW w:w="380" w:type="dxa"/>
            <w:vAlign w:val="bottom"/>
            <w:vMerge w:val="continue"/>
            <w:shd w:val="clear" w:color="auto" w:fill="CCEEFF"/>
          </w:tcPr>
          <w:p>
            <w:pPr>
              <w:spacing w:after="0"/>
              <w:rPr>
                <w:sz w:val="2"/>
                <w:szCs w:val="2"/>
                <w:color w:val="auto"/>
              </w:rPr>
            </w:pPr>
          </w:p>
        </w:tc>
        <w:tc>
          <w:tcPr>
            <w:tcW w:w="146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420" w:type="dxa"/>
            <w:vAlign w:val="bottom"/>
            <w:gridSpan w:val="2"/>
            <w:vMerge w:val="continue"/>
            <w:shd w:val="clear" w:color="auto" w:fill="CCEEFF"/>
          </w:tcPr>
          <w:p>
            <w:pPr>
              <w:spacing w:after="0"/>
              <w:rPr>
                <w:sz w:val="2"/>
                <w:szCs w:val="2"/>
                <w:color w:val="auto"/>
              </w:rPr>
            </w:pPr>
          </w:p>
        </w:tc>
        <w:tc>
          <w:tcPr>
            <w:tcW w:w="124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110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23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3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1,980,664</w:t>
            </w:r>
          </w:p>
        </w:tc>
        <w:tc>
          <w:tcPr>
            <w:tcW w:w="3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1,769,966</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210,698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ectPr>
          <w:pgSz w:w="11900" w:h="16838" w:orient="portrait"/>
          <w:cols w:equalWidth="0" w:num="1">
            <w:col w:w="11240"/>
          </w:cols>
          <w:pgMar w:left="320" w:top="684" w:right="339" w:bottom="0" w:gutter="0" w:footer="0" w:header="0"/>
        </w:sectPr>
      </w:pPr>
    </w:p>
    <w:bookmarkStart w:id="72" w:name="page73"/>
    <w:bookmarkEnd w:id="72"/>
    <w:p>
      <w:pPr>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4" w:right="339"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14,398,964 shares were issued and outstanding as of May 31,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2,591,804 shares of our common stock issuable upon the exercise of outstanding stock options granted to employees, directors and consultants, with exercise prices ranging from approximately $0.005 to $15.75 and having a weighted-average exercise price of $4.62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35,404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 and</w:t>
      </w:r>
    </w:p>
    <w:p>
      <w:pPr>
        <w:ind w:left="660" w:right="2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ectPr>
          <w:pgSz w:w="11900" w:h="16907" w:orient="portrait"/>
          <w:cols w:equalWidth="0" w:num="1">
            <w:col w:w="11240"/>
          </w:cols>
          <w:pgMar w:left="320" w:top="688" w:right="339" w:bottom="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1,685,682 outstanding series E preferred investment options expiring in July 2029 and our 84,284 outstanding placement agent preferred investment options expiring in July 2029. See “Prospectus Summary-Recent Developments-Preferred Investment Option Inducement Transaction” above, for a summary of the terms of the series E preferred investment options and the placement agent preferred investment options.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March 31,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F-47</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1" w:name="page82"/>
    <w:bookmarkEnd w:id="81"/>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tcPr>
          <w:p>
            <w:pPr>
              <w:spacing w:after="0"/>
              <w:rPr>
                <w:sz w:val="22"/>
                <w:szCs w:val="22"/>
                <w:color w:val="auto"/>
              </w:rPr>
            </w:pPr>
          </w:p>
        </w:tc>
        <w:tc>
          <w:tcPr>
            <w:tcW w:w="1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6"/>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4180" w:type="dxa"/>
            <w:vAlign w:val="bottom"/>
          </w:tcPr>
          <w:p>
            <w:pPr>
              <w:spacing w:after="0"/>
              <w:rPr>
                <w:sz w:val="22"/>
                <w:szCs w:val="22"/>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580" w:firstLine="8"/>
        <w:spacing w:after="0" w:line="312" w:lineRule="auto"/>
        <w:tabs>
          <w:tab w:leader="none" w:pos="3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4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57"/>
        </w:trPr>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29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98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tbl>
      <w:tblPr>
        <w:tblLayout w:type="fixed"/>
        <w:tblInd w:w="9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8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bottom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F-17</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84"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45"/>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9"/>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17"/>
        </w:trPr>
        <w:tc>
          <w:tcPr>
            <w:tcW w:w="1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55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45"/>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5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115,778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113,393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(116,014)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F-41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r>
      <w:tr>
        <w:trPr>
          <w:trHeight w:val="24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2,638.23*</w:t>
            </w:r>
          </w:p>
        </w:tc>
      </w:tr>
      <w:tr>
        <w:trPr>
          <w:trHeight w:val="217"/>
        </w:trPr>
        <w:tc>
          <w:tcPr>
            <w:tcW w:w="9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353"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top w:val="single" w:sz="8" w:color="auto"/>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8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fiscal year ended December 31, 2006 and filed on March 15, 2007).</w:t>
              </w:r>
            </w:hyperlink>
          </w:p>
        </w:tc>
        <w:tc>
          <w:tcPr>
            <w:tcW w:w="528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38">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6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Report on Form 8-K filed on May 3, 2021).</w:t>
              </w:r>
            </w:hyperlink>
          </w:p>
        </w:tc>
        <w:tc>
          <w:tcPr>
            <w:tcW w:w="702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ended December 31, 2019).</w:t>
              </w:r>
            </w:hyperlink>
          </w:p>
        </w:tc>
        <w:tc>
          <w:tcPr>
            <w:tcW w:w="8160" w:type="dxa"/>
            <w:vAlign w:val="bottom"/>
            <w:gridSpan w:val="2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3">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Opinion of Ruskin Moscou Faltischek, PC</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56">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57">
              <w:r>
                <w:rPr>
                  <w:rFonts w:ascii="Times New Roman" w:cs="Times New Roman" w:eastAsia="Times New Roman" w:hAnsi="Times New Roman"/>
                  <w:sz w:val="18"/>
                  <w:szCs w:val="18"/>
                  <w:color w:val="0000EE"/>
                  <w:w w:val="95"/>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Current Report on Form 8-K filed on January 8, 2018).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ended December 31, 2019 filed on April 14, 2020).</w:t>
              </w:r>
            </w:hyperlink>
          </w:p>
        </w:tc>
        <w:tc>
          <w:tcPr>
            <w:tcW w:w="646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0">
              <w:r>
                <w:rPr>
                  <w:rFonts w:ascii="Times New Roman" w:cs="Times New Roman" w:eastAsia="Times New Roman" w:hAnsi="Times New Roman"/>
                  <w:sz w:val="18"/>
                  <w:szCs w:val="18"/>
                  <w:color w:val="0000EE"/>
                  <w:w w:val="98"/>
                </w:rPr>
                <w:t>Schedule 14A filed on August 11, 2017).</w:t>
              </w:r>
            </w:hyperlink>
          </w:p>
        </w:tc>
        <w:tc>
          <w:tcPr>
            <w:tcW w:w="7200" w:type="dxa"/>
            <w:vAlign w:val="bottom"/>
            <w:gridSpan w:val="1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Statement on Schedule 14A filed on July 31, 2020)</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both"/>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3">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4">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1100" w:hanging="85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5">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6">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67">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68">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69">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0">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1">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2">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3">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4">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74">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5">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6">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77">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78">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79">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0">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81">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82">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83">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4">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85">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86">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87">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88">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89">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154">
        <w:r>
          <w:rPr>
            <w:rFonts w:ascii="Times New Roman" w:cs="Times New Roman" w:eastAsia="Times New Roman" w:hAnsi="Times New Roman"/>
            <w:sz w:val="17"/>
            <w:szCs w:val="17"/>
            <w:u w:val="single" w:color="auto"/>
            <w:color w:val="0000EE"/>
          </w:rPr>
          <w:t>Consent of Ruskin Moscou Faltischek PC (included in Exhibit 5.1)</w:t>
        </w:r>
      </w:hyperlink>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190">
        <w:r>
          <w:rPr>
            <w:rFonts w:ascii="Times New Roman" w:cs="Times New Roman" w:eastAsia="Times New Roman" w:hAnsi="Times New Roman"/>
            <w:sz w:val="18"/>
            <w:szCs w:val="18"/>
            <w:u w:val="single" w:color="auto"/>
            <w:color w:val="0000EE"/>
          </w:rPr>
          <w:t>Power of Attorney (included on signature page)</w:t>
        </w:r>
      </w:hyperlink>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91">
        <w:r>
          <w:rPr>
            <w:rFonts w:ascii="Times New Roman" w:cs="Times New Roman" w:eastAsia="Times New Roman" w:hAnsi="Times New Roman"/>
            <w:sz w:val="18"/>
            <w:szCs w:val="18"/>
            <w:u w:val="single" w:color="auto"/>
            <w:color w:val="0000EE"/>
          </w:rPr>
          <w:t>Clawback Policy (incorporated by reference to the Company’s Annual Report on Form 10-K for the fiscal year ended December 31, 2023</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and filed on March 27, 2024)</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92">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7" w:lineRule="exact"/>
        <w:rPr>
          <w:sz w:val="20"/>
          <w:szCs w:val="20"/>
          <w:color w:val="auto"/>
        </w:rPr>
      </w:pPr>
    </w:p>
    <w:p>
      <w:pPr>
        <w:ind w:left="340" w:right="20" w:hanging="339"/>
        <w:spacing w:after="0" w:line="250" w:lineRule="auto"/>
        <w:tabs>
          <w:tab w:leader="none" w:pos="320" w:val="left"/>
        </w:tabs>
        <w:rPr>
          <w:sz w:val="20"/>
          <w:szCs w:val="20"/>
          <w:color w:val="auto"/>
        </w:rPr>
      </w:pPr>
      <w:r>
        <w:rPr>
          <w:rFonts w:ascii="Times New Roman" w:cs="Times New Roman" w:eastAsia="Times New Roman" w:hAnsi="Times New Roman"/>
          <w:sz w:val="18"/>
          <w:szCs w:val="18"/>
          <w:color w:val="auto"/>
        </w:rPr>
        <w:t>**</w:t>
        <w:tab/>
        <w:t>Certain identified information has been excluded from this exhibit because it is both (i) not material and (ii) would be competitively harmful if publicly disclosed.</w:t>
      </w:r>
    </w:p>
    <w:p>
      <w:pPr>
        <w:spacing w:after="0" w:line="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055"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344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7"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June 3,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4"/>
        </w:trPr>
        <w:tc>
          <w:tcPr>
            <w:tcW w:w="680" w:type="dxa"/>
            <w:vAlign w:val="bottom"/>
            <w:shd w:val="clear" w:color="auto" w:fill="000000"/>
          </w:tcPr>
          <w:p>
            <w:pPr>
              <w:spacing w:after="0"/>
              <w:rPr>
                <w:sz w:val="2"/>
                <w:szCs w:val="2"/>
                <w:color w:val="auto"/>
              </w:rPr>
            </w:pPr>
          </w:p>
        </w:tc>
        <w:tc>
          <w:tcPr>
            <w:tcW w:w="2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53"/>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4"/>
                <w:szCs w:val="24"/>
                <w:color w:val="auto"/>
              </w:rPr>
            </w:pP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Harel Gadot, Attorney-in-Fact</w:t>
            </w:r>
          </w:p>
        </w:tc>
        <w:tc>
          <w:tcPr>
            <w:tcW w:w="24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6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3"/>
          </w:tcPr>
          <w:p>
            <w:pPr>
              <w:ind w:left="186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333-276487 on Form S-1 of our report dated March 27, 2024, relating to the financial statements of Microbot Medical Inc.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5"/>
    </w:lvl>
  </w:abstractNum>
  <w:abstractNum w:abstractNumId="35">
    <w:nsid w:val="32FFF902"/>
    <w:multiLevelType w:val="hybridMultilevel"/>
    <w:lvl w:ilvl="0">
      <w:lvlJc w:val="left"/>
      <w:lvlText w:val="(%1)"/>
      <w:numFmt w:val="lowerRoman"/>
      <w:start w:val="2"/>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Roman"/>
      <w:start w:val="2"/>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lowerRoman"/>
      <w:start w:val="1"/>
    </w:lvl>
  </w:abstractNum>
  <w:abstractNum w:abstractNumId="57">
    <w:nsid w:val="15B5AF5C"/>
    <w:multiLevelType w:val="hybridMultilevel"/>
    <w:lvl w:ilvl="0">
      <w:lvlJc w:val="left"/>
      <w:lvlText w:val="(%1)"/>
      <w:numFmt w:val="decimal"/>
      <w:start w:val="2"/>
    </w:lvl>
  </w:abstractNum>
  <w:abstractNum w:abstractNumId="58">
    <w:nsid w:val="741226BB"/>
    <w:multiLevelType w:val="hybridMultilevel"/>
    <w:lvl w:ilvl="0">
      <w:lvlJc w:val="left"/>
      <w:lvlText w:val="(%1)"/>
      <w:numFmt w:val="decimal"/>
      <w:start w:val="5"/>
    </w:lvl>
  </w:abstractNum>
  <w:abstractNum w:abstractNumId="59">
    <w:nsid w:val="D34B6A8"/>
    <w:multiLevelType w:val="hybridMultilevel"/>
    <w:lvl w:ilvl="0">
      <w:lvlJc w:val="left"/>
      <w:lvlText w:val="(%1)"/>
      <w:numFmt w:val="lowerLetter"/>
      <w:start w:val="2"/>
    </w:lvl>
  </w:abstractNum>
  <w:abstractNum w:abstractNumId="60">
    <w:nsid w:val="10233C9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62" Type="http://schemas.openxmlformats.org/officeDocument/2006/relationships/image" Target="media/image127.png"/><Relationship Id="rId193"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34" Type="http://schemas.openxmlformats.org/officeDocument/2006/relationships/hyperlink" Target="https://www.sec.gov/Archives/edgar/data/883975/000119312516682077/d161430dex21.htm" TargetMode="External"/><Relationship Id="rId135" Type="http://schemas.openxmlformats.org/officeDocument/2006/relationships/hyperlink" Target="https://www.sec.gov/Archives/edgar/data/883975/000095013407005808/f27726exv3w1.htm" TargetMode="External"/><Relationship Id="rId136" Type="http://schemas.openxmlformats.org/officeDocument/2006/relationships/hyperlink" Target="https://www.sec.gov/Archives/edgar/data/883975/000119312516779597/d296933dex31.htm" TargetMode="External"/><Relationship Id="rId137" Type="http://schemas.openxmlformats.org/officeDocument/2006/relationships/hyperlink" Target="https://www.sec.gov/Archives/edgar/data/883975/000149315218012872/ex3-1.htm" TargetMode="External"/><Relationship Id="rId138" Type="http://schemas.openxmlformats.org/officeDocument/2006/relationships/hyperlink" Target="https://www.sec.gov/Archives/edgar/data/883975/000129993316002374/exhibit1.htm" TargetMode="External"/><Relationship Id="rId139" Type="http://schemas.openxmlformats.org/officeDocument/2006/relationships/hyperlink" Target="https://www.sec.gov/Archives/edgar/data/883975/000149315218017395/ex3-1.htm" TargetMode="External"/><Relationship Id="rId140" Type="http://schemas.openxmlformats.org/officeDocument/2006/relationships/hyperlink" Target="https://www.sec.gov/Archives/edgar/data/883975/000149315219013998/ex3-1.htm" TargetMode="External"/><Relationship Id="rId141" Type="http://schemas.openxmlformats.org/officeDocument/2006/relationships/hyperlink" Target="https://www.sec.gov/Archives/edgar/data/883975/000149315221010347/ex3-1.htm" TargetMode="External"/><Relationship Id="rId142" Type="http://schemas.openxmlformats.org/officeDocument/2006/relationships/hyperlink" Target="https://www.sec.gov/Archives/edgar/data/883975/000149315220006338/ex4-10.htm" TargetMode="External"/><Relationship Id="rId143" Type="http://schemas.openxmlformats.org/officeDocument/2006/relationships/hyperlink" Target="https://www.sec.gov/Archives/edgar/data/883975/000149315222029541/ex4-2.htm" TargetMode="External"/><Relationship Id="rId144" Type="http://schemas.openxmlformats.org/officeDocument/2006/relationships/hyperlink" Target="https://www.sec.gov/Archives/edgar/data/883975/000149315222029541/ex4-4.htm" TargetMode="External"/><Relationship Id="rId145" Type="http://schemas.openxmlformats.org/officeDocument/2006/relationships/hyperlink" Target="https://www.sec.gov/Archives/edgar/data/883975/000149315223018718/ex4-1.htm" TargetMode="External"/><Relationship Id="rId146" Type="http://schemas.openxmlformats.org/officeDocument/2006/relationships/hyperlink" Target="https://www.sec.gov/Archives/edgar/data/883975/000149315223018932/ex4-2.htm" TargetMode="External"/><Relationship Id="rId147" Type="http://schemas.openxmlformats.org/officeDocument/2006/relationships/hyperlink" Target="https://www.sec.gov/Archives/edgar/data/883975/000149315223018932/ex10-2.htm" TargetMode="External"/><Relationship Id="rId148" Type="http://schemas.openxmlformats.org/officeDocument/2006/relationships/hyperlink" Target="https://www.sec.gov/Archives/edgar/data/883975/000149315223020309/ex4-1.htm" TargetMode="External"/><Relationship Id="rId149" Type="http://schemas.openxmlformats.org/officeDocument/2006/relationships/hyperlink" Target="https://www.sec.gov/Archives/edgar/data/883975/000149315223020309/ex4-2.htm" TargetMode="External"/><Relationship Id="rId150" Type="http://schemas.openxmlformats.org/officeDocument/2006/relationships/hyperlink" Target="https://www.sec.gov/Archives/edgar/data/883975/000149315223022814/ex4-1.htm" TargetMode="External"/><Relationship Id="rId151" Type="http://schemas.openxmlformats.org/officeDocument/2006/relationships/hyperlink" Target="https://www.sec.gov/Archives/edgar/data/883975/000149315223022814/ex4-2.htm" TargetMode="External"/><Relationship Id="rId152" Type="http://schemas.openxmlformats.org/officeDocument/2006/relationships/hyperlink" Target="https://www.sec.gov/Archives/edgar/data/883975/000149315224000109/ex4-1.htm" TargetMode="External"/><Relationship Id="rId153" Type="http://schemas.openxmlformats.org/officeDocument/2006/relationships/hyperlink" Target="https://www.sec.gov/Archives/edgar/data/883975/000149315224000109/ex4-2.htm" TargetMode="External"/><Relationship Id="rId154" Type="http://schemas.openxmlformats.org/officeDocument/2006/relationships/hyperlink" Target="https://www.sec.gov/Archives/edgar/data/883975/000149315224003322/ex5-1.htm" TargetMode="External"/><Relationship Id="rId155" Type="http://schemas.openxmlformats.org/officeDocument/2006/relationships/hyperlink" Target="https://www.sec.gov/Archives/edgar/data/883975/000119312516779729/d296933dex104.htm" TargetMode="External"/><Relationship Id="rId156" Type="http://schemas.openxmlformats.org/officeDocument/2006/relationships/hyperlink" Target="https://www.sec.gov/Archives/edgar/data/883975/000119312516779729/d296933dex105.htm" TargetMode="External"/><Relationship Id="rId157" Type="http://schemas.openxmlformats.org/officeDocument/2006/relationships/hyperlink" Target="https://www.sec.gov/Archives/edgar/data/883975/000149315217002678/ex10-14.htm" TargetMode="External"/><Relationship Id="rId158" Type="http://schemas.openxmlformats.org/officeDocument/2006/relationships/hyperlink" Target="https://www.sec.gov/Archives/edgar/data/883975/000149315217013222/ex10-1.htm" TargetMode="External"/><Relationship Id="rId159" Type="http://schemas.openxmlformats.org/officeDocument/2006/relationships/hyperlink" Target="https://www.sec.gov/Archives/edgar/data/883975/000149315218000286/ex10-1.htm" TargetMode="External"/><Relationship Id="rId160" Type="http://schemas.openxmlformats.org/officeDocument/2006/relationships/hyperlink" Target="https://www.sec.gov/Archives/edgar/data/883975/000149315217008987/def14a.htm" TargetMode="External"/><Relationship Id="rId161" Type="http://schemas.openxmlformats.org/officeDocument/2006/relationships/hyperlink" Target="https://www.sec.gov/Archives/edgar/data/883975/000149315220014354/def14a.htm" TargetMode="External"/><Relationship Id="rId163" Type="http://schemas.openxmlformats.org/officeDocument/2006/relationships/hyperlink" Target="https://www.sec.gov/Archives/edgar/data/883975/000149315220022543/ex4-2.htm" TargetMode="External"/><Relationship Id="rId164" Type="http://schemas.openxmlformats.org/officeDocument/2006/relationships/hyperlink" Target="https://www.sec.gov/Archives/edgar/data/883975/000149315220022543/ex4-3.htm" TargetMode="External"/><Relationship Id="rId165" Type="http://schemas.openxmlformats.org/officeDocument/2006/relationships/hyperlink" Target="https://www.sec.gov/Archives/edgar/data/883975/000149315220022543/ex4-4.htm" TargetMode="External"/><Relationship Id="rId166" Type="http://schemas.openxmlformats.org/officeDocument/2006/relationships/hyperlink" Target="https://www.sec.gov/Archives/edgar/data/883975/000149315220022543/ex4-5.htm" TargetMode="External"/><Relationship Id="rId167" Type="http://schemas.openxmlformats.org/officeDocument/2006/relationships/hyperlink" Target="https://www.sec.gov/Archives/edgar/data/883975/000149315220022543/ex4-6.htm" TargetMode="External"/><Relationship Id="rId168" Type="http://schemas.openxmlformats.org/officeDocument/2006/relationships/hyperlink" Target="https://www.sec.gov/Archives/edgar/data/883975/000149315221008148/ex10-1.htm" TargetMode="External"/><Relationship Id="rId169" Type="http://schemas.openxmlformats.org/officeDocument/2006/relationships/hyperlink" Target="https://www.sec.gov/Archives/edgar/data/883975/000149315221009469/ex10-1.htm" TargetMode="External"/><Relationship Id="rId170" Type="http://schemas.openxmlformats.org/officeDocument/2006/relationships/hyperlink" Target="https://www.sec.gov/Archives/edgar/data/883975/000149315221014052/ex10-1.htm" TargetMode="External"/><Relationship Id="rId171" Type="http://schemas.openxmlformats.org/officeDocument/2006/relationships/hyperlink" Target="https://www.sec.gov/Archives/edgar/data/883975/000149315221032474/ex10-1.htm" TargetMode="External"/><Relationship Id="rId172" Type="http://schemas.openxmlformats.org/officeDocument/2006/relationships/hyperlink" Target="https://www.sec.gov/Archives/edgar/data/883975/000149315222027872/ex10-1.htm" TargetMode="External"/><Relationship Id="rId173" Type="http://schemas.openxmlformats.org/officeDocument/2006/relationships/hyperlink" Target="https://www.sec.gov/Archives/edgar/data/883975/000149315222009272/ex10-1.htm" TargetMode="External"/><Relationship Id="rId174" Type="http://schemas.openxmlformats.org/officeDocument/2006/relationships/hyperlink" Target="https://www.sec.gov/Archives/edgar/data/883975/000149315222002881/ex10-1.htm" TargetMode="External"/><Relationship Id="rId175" Type="http://schemas.openxmlformats.org/officeDocument/2006/relationships/hyperlink" Target="https://www.sec.gov/Archives/edgar/data/883975/000149315223010223/ex10-21.htm" TargetMode="External"/><Relationship Id="rId176" Type="http://schemas.openxmlformats.org/officeDocument/2006/relationships/hyperlink" Target="https://www.sec.gov/Archives/edgar/data/883975/000149315222029541/ex10-1.htm" TargetMode="External"/><Relationship Id="rId177" Type="http://schemas.openxmlformats.org/officeDocument/2006/relationships/hyperlink" Target="https://www.sec.gov/Archives/edgar/data/883975/000149315223018456/ex10-1.htm" TargetMode="External"/><Relationship Id="rId178" Type="http://schemas.openxmlformats.org/officeDocument/2006/relationships/hyperlink" Target="https://www.sec.gov/Archives/edgar/data/883975/000149315223018456/ex10-2.htm" TargetMode="External"/><Relationship Id="rId179" Type="http://schemas.openxmlformats.org/officeDocument/2006/relationships/hyperlink" Target="https://www.sec.gov/Archives/edgar/data/883975/000149315223018456/ex10-3.htm" TargetMode="External"/><Relationship Id="rId180" Type="http://schemas.openxmlformats.org/officeDocument/2006/relationships/hyperlink" Target="https://www.sec.gov/Archives/edgar/data/883975/000149315223018456/ex10-4.htm" TargetMode="External"/><Relationship Id="rId181" Type="http://schemas.openxmlformats.org/officeDocument/2006/relationships/hyperlink" Target="https://www.sec.gov/Archives/edgar/data/883975/000149315223018718/ex10-1.htm" TargetMode="External"/><Relationship Id="rId182" Type="http://schemas.openxmlformats.org/officeDocument/2006/relationships/hyperlink" Target="https://www.sec.gov/Archives/edgar/data/883975/000149315223018932/ex10-1.htm" TargetMode="External"/><Relationship Id="rId183" Type="http://schemas.openxmlformats.org/officeDocument/2006/relationships/hyperlink" Target="https://www.sec.gov/Archives/edgar/data/883975/000149315223020309/ex10-1.htm" TargetMode="External"/><Relationship Id="rId184" Type="http://schemas.openxmlformats.org/officeDocument/2006/relationships/hyperlink" Target="https://www.sec.gov/Archives/edgar/data/883975/000149315223022814/ex10-1.htm" TargetMode="External"/><Relationship Id="rId185" Type="http://schemas.openxmlformats.org/officeDocument/2006/relationships/hyperlink" Target="https://www.sec.gov/Archives/edgar/data/883975/000149315223042204/ex10-1.htm" TargetMode="External"/><Relationship Id="rId186" Type="http://schemas.openxmlformats.org/officeDocument/2006/relationships/hyperlink" Target="https://www.sec.gov/Archives/edgar/data/883975/000149315224000109/ex10-1.htm" TargetMode="External"/><Relationship Id="rId187" Type="http://schemas.openxmlformats.org/officeDocument/2006/relationships/hyperlink" Target="https://www.sec.gov/Archives/edgar/data/883975/000149315224004231/ex10-1.htm" TargetMode="External"/><Relationship Id="rId188" Type="http://schemas.openxmlformats.org/officeDocument/2006/relationships/hyperlink" Target="https://www.sec.gov/Archives/edgar/data/883975/000149315224004231/ex10-2.htm" TargetMode="External"/><Relationship Id="rId189" Type="http://schemas.openxmlformats.org/officeDocument/2006/relationships/hyperlink" Target="https://www.sec.gov/Archives/edgar/data/883975/000149315217002678/ex21-1.htm" TargetMode="External"/><Relationship Id="rId190" Type="http://schemas.openxmlformats.org/officeDocument/2006/relationships/hyperlink" Target="https://www.sec.gov/Archives/edgar/data/883975/000149315224003322/forms-1a.htm#poa_001" TargetMode="External"/><Relationship Id="rId191" Type="http://schemas.openxmlformats.org/officeDocument/2006/relationships/hyperlink" Target="https://www.sec.gov/Archives/edgar/data/883975/000149315224011521/ex97-1.htm" TargetMode="External"/><Relationship Id="rId192" Type="http://schemas.openxmlformats.org/officeDocument/2006/relationships/hyperlink" Target="https://www.sec.gov/Archives/edgar/data/883975/000149315224002198/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2024-06-03T15:11:08Z</dcterms:created>
  <dcterms:modified xsi:type="dcterms:W3CDTF">2024-06-03T15:11:08Z</dcterms:modified>
</cp:coreProperties>
</file>