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89"/>
        <w:spacing w:after="0"/>
        <w:rPr>
          <w:sz w:val="20"/>
          <w:szCs w:val="20"/>
          <w:color w:val="auto"/>
        </w:rPr>
      </w:pPr>
      <w:r>
        <w:rPr>
          <w:rFonts w:ascii="Courier New" w:cs="Courier New" w:eastAsia="Courier New" w:hAnsi="Courier New"/>
          <w:sz w:val="14"/>
          <w:szCs w:val="14"/>
          <w:color w:val="auto"/>
        </w:rPr>
        <w:t>SCHEDULE 14A INFORMATION</w:t>
      </w:r>
    </w:p>
    <w:p>
      <w:pPr>
        <w:sectPr>
          <w:pgSz w:w="11900" w:h="16838" w:orient="portrait"/>
          <w:cols w:equalWidth="0" w:num="1">
            <w:col w:w="10228"/>
          </w:cols>
          <w:pgMar w:left="231" w:top="403" w:right="1440" w:bottom="0" w:gutter="0" w:footer="0" w:header="0"/>
        </w:sectPr>
      </w:pPr>
    </w:p>
    <w:p>
      <w:pPr>
        <w:spacing w:after="0" w:line="183" w:lineRule="exact"/>
        <w:rPr>
          <w:sz w:val="24"/>
          <w:szCs w:val="24"/>
          <w:color w:val="auto"/>
        </w:rPr>
      </w:pPr>
    </w:p>
    <w:p>
      <w:pPr>
        <w:ind w:left="969" w:firstLine="621"/>
        <w:spacing w:after="0" w:line="271" w:lineRule="auto"/>
        <w:rPr>
          <w:sz w:val="20"/>
          <w:szCs w:val="20"/>
          <w:color w:val="auto"/>
        </w:rPr>
      </w:pPr>
      <w:r>
        <w:rPr>
          <w:rFonts w:ascii="Courier New" w:cs="Courier New" w:eastAsia="Courier New" w:hAnsi="Courier New"/>
          <w:sz w:val="14"/>
          <w:szCs w:val="14"/>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40" w:lineRule="exact"/>
        <w:rPr>
          <w:sz w:val="24"/>
          <w:szCs w:val="24"/>
          <w:color w:val="auto"/>
        </w:rPr>
      </w:pPr>
    </w:p>
    <w:p>
      <w:pPr>
        <w:sectPr>
          <w:pgSz w:w="11900" w:h="16838" w:orient="portrait"/>
          <w:cols w:equalWidth="0" w:num="2">
            <w:col w:w="5509" w:space="440"/>
            <w:col w:w="4279"/>
          </w:cols>
          <w:pgMar w:left="231" w:top="403" w:right="1440" w:bottom="0" w:gutter="0" w:footer="0" w:header="0"/>
          <w:type w:val="continuous"/>
        </w:sectPr>
      </w:pPr>
    </w:p>
    <w:p>
      <w:pPr>
        <w:spacing w:after="0" w:line="292"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Filed by the Registrant /X/</w:t>
      </w:r>
    </w:p>
    <w:p>
      <w:pPr>
        <w:spacing w:after="0" w:line="174" w:lineRule="exact"/>
        <w:rPr>
          <w:sz w:val="24"/>
          <w:szCs w:val="24"/>
          <w:color w:val="auto"/>
        </w:rPr>
      </w:pPr>
    </w:p>
    <w:p>
      <w:pPr>
        <w:ind w:left="529"/>
        <w:spacing w:after="0"/>
        <w:rPr>
          <w:sz w:val="20"/>
          <w:szCs w:val="20"/>
          <w:color w:val="auto"/>
        </w:rPr>
      </w:pPr>
      <w:r>
        <w:rPr>
          <w:rFonts w:ascii="Courier New" w:cs="Courier New" w:eastAsia="Courier New" w:hAnsi="Courier New"/>
          <w:sz w:val="14"/>
          <w:szCs w:val="14"/>
          <w:color w:val="auto"/>
        </w:rPr>
        <w:t>Filed by a Party other than the Registrant / /</w:t>
      </w:r>
    </w:p>
    <w:p>
      <w:pPr>
        <w:sectPr>
          <w:pgSz w:w="11900" w:h="16838" w:orient="portrait"/>
          <w:cols w:equalWidth="0" w:num="1">
            <w:col w:w="10228"/>
          </w:cols>
          <w:pgMar w:left="231" w:top="403" w:right="1440" w:bottom="0" w:gutter="0" w:footer="0" w:header="0"/>
          <w:type w:val="continuous"/>
        </w:sectPr>
      </w:pPr>
    </w:p>
    <w:p>
      <w:pPr>
        <w:spacing w:after="0" w:line="180"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Check the appropriate box:</w:t>
      </w:r>
    </w:p>
    <w:p>
      <w:pPr>
        <w:spacing w:after="0" w:line="1" w:lineRule="exact"/>
        <w:rPr>
          <w:sz w:val="24"/>
          <w:szCs w:val="24"/>
          <w:color w:val="auto"/>
        </w:rPr>
      </w:pPr>
    </w:p>
    <w:p>
      <w:pPr>
        <w:ind w:left="529"/>
        <w:spacing w:after="0"/>
        <w:tabs>
          <w:tab w:leader="none" w:pos="14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3" w:lineRule="exact"/>
        <w:rPr>
          <w:sz w:val="24"/>
          <w:szCs w:val="24"/>
          <w:color w:val="auto"/>
        </w:rPr>
      </w:pPr>
    </w:p>
    <w:p>
      <w:pPr>
        <w:ind w:left="1509" w:right="3579" w:hanging="977"/>
        <w:spacing w:after="0" w:line="238"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2" w:lineRule="exact"/>
        <w:rPr>
          <w:sz w:val="24"/>
          <w:szCs w:val="24"/>
          <w:color w:val="auto"/>
        </w:rPr>
      </w:pPr>
    </w:p>
    <w:p>
      <w:pPr>
        <w:ind w:left="529"/>
        <w:spacing w:after="0"/>
        <w:tabs>
          <w:tab w:leader="none" w:pos="148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Definitive Proxy Statement</w:t>
      </w:r>
    </w:p>
    <w:p>
      <w:pPr>
        <w:spacing w:after="0" w:line="1" w:lineRule="exact"/>
        <w:rPr>
          <w:sz w:val="24"/>
          <w:szCs w:val="24"/>
          <w:color w:val="auto"/>
        </w:rPr>
      </w:pPr>
    </w:p>
    <w:p>
      <w:pPr>
        <w:ind w:left="529"/>
        <w:spacing w:after="0"/>
        <w:tabs>
          <w:tab w:leader="none" w:pos="14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3" w:lineRule="exact"/>
        <w:rPr>
          <w:sz w:val="24"/>
          <w:szCs w:val="24"/>
          <w:color w:val="auto"/>
        </w:rPr>
      </w:pPr>
    </w:p>
    <w:p>
      <w:pPr>
        <w:ind w:left="1509" w:right="3839" w:hanging="977"/>
        <w:spacing w:after="0" w:line="238" w:lineRule="auto"/>
        <w:tabs>
          <w:tab w:leader="none" w:pos="7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Section240.14a-11(c) or Section240.14a-12</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 w:lineRule="exact"/>
        <w:rPr>
          <w:sz w:val="24"/>
          <w:szCs w:val="24"/>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3" w:lineRule="exact"/>
        <w:rPr>
          <w:sz w:val="24"/>
          <w:szCs w:val="24"/>
          <w:color w:val="auto"/>
        </w:rPr>
      </w:pPr>
    </w:p>
    <w:p>
      <w:pPr>
        <w:ind w:left="969" w:right="3759" w:hanging="969"/>
        <w:spacing w:after="0" w:line="238" w:lineRule="auto"/>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4" w:lineRule="exact"/>
        <w:rPr>
          <w:rFonts w:ascii="Courier New" w:cs="Courier New" w:eastAsia="Courier New" w:hAnsi="Courier New"/>
          <w:sz w:val="15"/>
          <w:szCs w:val="15"/>
          <w:color w:val="auto"/>
        </w:rPr>
      </w:pPr>
    </w:p>
    <w:p>
      <w:pPr>
        <w:ind w:left="1429" w:right="4019" w:hanging="453"/>
        <w:spacing w:after="0" w:line="238" w:lineRule="auto"/>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429" w:right="3659" w:hanging="453"/>
        <w:spacing w:after="0" w:line="239" w:lineRule="auto"/>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spacing w:after="0" w:line="17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Check box if any part of the fee is offset as provided by</w:t>
      </w:r>
    </w:p>
    <w:p>
      <w:pPr>
        <w:spacing w:after="0" w:line="3" w:lineRule="exact"/>
        <w:rPr>
          <w:sz w:val="24"/>
          <w:szCs w:val="24"/>
          <w:color w:val="auto"/>
        </w:rPr>
      </w:pPr>
    </w:p>
    <w:p>
      <w:pPr>
        <w:ind w:left="969" w:right="3579" w:hanging="969"/>
        <w:spacing w:after="0" w:line="239" w:lineRule="auto"/>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hanging="453"/>
        <w:spacing w:after="0"/>
        <w:tabs>
          <w:tab w:leader="none" w:pos="14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Palo Alto, CA 94304</w:t>
      </w:r>
    </w:p>
    <w:p>
      <w:pPr>
        <w:spacing w:after="0" w:line="17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TO BE HELD ON MAY 2, 2002</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To the Stockholders of</w:t>
      </w:r>
    </w:p>
    <w:p>
      <w:pPr>
        <w:spacing w:after="0" w:line="171" w:lineRule="exact"/>
        <w:rPr>
          <w:sz w:val="24"/>
          <w:szCs w:val="24"/>
          <w:color w:val="auto"/>
        </w:rPr>
      </w:pPr>
    </w:p>
    <w:p>
      <w:pPr>
        <w:ind w:left="169"/>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4"/>
          <w:szCs w:val="24"/>
          <w:color w:val="auto"/>
        </w:rPr>
      </w:pPr>
    </w:p>
    <w:p>
      <w:pPr>
        <w:ind w:left="9" w:right="3399" w:firstLine="355"/>
        <w:spacing w:after="0" w:line="264" w:lineRule="auto"/>
        <w:rPr>
          <w:sz w:val="20"/>
          <w:szCs w:val="20"/>
          <w:color w:val="auto"/>
        </w:rPr>
      </w:pPr>
      <w:r>
        <w:rPr>
          <w:rFonts w:ascii="Courier New" w:cs="Courier New" w:eastAsia="Courier New" w:hAnsi="Courier New"/>
          <w:sz w:val="14"/>
          <w:szCs w:val="14"/>
          <w:color w:val="auto"/>
        </w:rPr>
        <w:t>Notice is hereby given that the Annual Meeting of Stockholders of StemCells, Inc. ("StemCells" or the "company") will be held on May 2, 2002 at 2 P.M. at 3155 Porter Drive, Palo Alto, CA 94304 for the following purposes:</w:t>
      </w:r>
    </w:p>
    <w:p>
      <w:pPr>
        <w:spacing w:after="0" w:line="159" w:lineRule="exact"/>
        <w:rPr>
          <w:sz w:val="24"/>
          <w:szCs w:val="24"/>
          <w:color w:val="auto"/>
        </w:rPr>
      </w:pPr>
    </w:p>
    <w:p>
      <w:pPr>
        <w:ind w:left="629" w:right="3399" w:hanging="274"/>
        <w:spacing w:after="0" w:line="238" w:lineRule="auto"/>
        <w:tabs>
          <w:tab w:leader="none" w:pos="71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Class II directors to serve until the 2005 Annual Meeting of Stockholders;</w:t>
      </w:r>
    </w:p>
    <w:p>
      <w:pPr>
        <w:spacing w:after="0" w:line="174" w:lineRule="exact"/>
        <w:rPr>
          <w:rFonts w:ascii="Courier New" w:cs="Courier New" w:eastAsia="Courier New" w:hAnsi="Courier New"/>
          <w:sz w:val="15"/>
          <w:szCs w:val="15"/>
          <w:color w:val="auto"/>
        </w:rPr>
      </w:pPr>
    </w:p>
    <w:p>
      <w:pPr>
        <w:ind w:left="629" w:right="3219" w:hanging="274"/>
        <w:spacing w:after="0" w:line="239" w:lineRule="auto"/>
        <w:tabs>
          <w:tab w:leader="none" w:pos="71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the selection of Ernst &amp; Young LLP as independent public accountants for the company for the fiscal year ending December 31, 2002;</w:t>
      </w:r>
    </w:p>
    <w:p>
      <w:pPr>
        <w:spacing w:after="0" w:line="175" w:lineRule="exact"/>
        <w:rPr>
          <w:rFonts w:ascii="Courier New" w:cs="Courier New" w:eastAsia="Courier New" w:hAnsi="Courier New"/>
          <w:sz w:val="15"/>
          <w:szCs w:val="15"/>
          <w:color w:val="auto"/>
        </w:rPr>
      </w:pPr>
    </w:p>
    <w:p>
      <w:pPr>
        <w:ind w:left="629" w:right="3219" w:hanging="274"/>
        <w:spacing w:after="0" w:line="239" w:lineRule="auto"/>
        <w:tabs>
          <w:tab w:leader="none" w:pos="71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amend the company's Certificate of Incorporation to increase the number of authorized shares of Common Stock from 45,000,000 to 75,000,000; and</w:t>
      </w:r>
    </w:p>
    <w:p>
      <w:pPr>
        <w:spacing w:after="0" w:line="175" w:lineRule="exact"/>
        <w:rPr>
          <w:rFonts w:ascii="Courier New" w:cs="Courier New" w:eastAsia="Courier New" w:hAnsi="Courier New"/>
          <w:sz w:val="15"/>
          <w:szCs w:val="15"/>
          <w:color w:val="auto"/>
        </w:rPr>
      </w:pPr>
    </w:p>
    <w:p>
      <w:pPr>
        <w:ind w:left="629" w:right="3119" w:hanging="274"/>
        <w:spacing w:after="0" w:line="238" w:lineRule="auto"/>
        <w:tabs>
          <w:tab w:leader="none" w:pos="71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and all other business that may properly come before the meeting.</w:t>
      </w:r>
    </w:p>
    <w:p>
      <w:pPr>
        <w:sectPr>
          <w:pgSz w:w="11900" w:h="16838" w:orient="portrait"/>
          <w:cols w:equalWidth="0" w:num="1">
            <w:col w:w="10228"/>
          </w:cols>
          <w:pgMar w:left="231" w:top="403" w:right="1440" w:bottom="0" w:gutter="0" w:footer="0" w:header="0"/>
          <w:type w:val="continuous"/>
        </w:sectPr>
      </w:pPr>
    </w:p>
    <w:bookmarkStart w:id="1" w:name="page2"/>
    <w:bookmarkEnd w:id="1"/>
    <w:p>
      <w:pPr>
        <w:spacing w:after="0" w:line="75"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The Board of Directors has fixed the close of business on March 25, 2002 as the record date for determining those Stockholders who are entitled to notice of and to vote at the meeting. The stock transfer books will not be closed between the record date and the date of the meeting.</w:t>
      </w:r>
    </w:p>
    <w:p>
      <w:pPr>
        <w:spacing w:after="0" w:line="176"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75" w:lineRule="exact"/>
        <w:rPr>
          <w:sz w:val="20"/>
          <w:szCs w:val="20"/>
          <w:color w:val="auto"/>
        </w:rPr>
      </w:pPr>
    </w:p>
    <w:p>
      <w:pPr>
        <w:jc w:val="both"/>
        <w:ind w:left="9" w:right="3399" w:firstLine="355"/>
        <w:spacing w:after="0" w:line="239" w:lineRule="auto"/>
        <w:rPr>
          <w:sz w:val="20"/>
          <w:szCs w:val="20"/>
          <w:color w:val="auto"/>
        </w:rPr>
      </w:pPr>
      <w:r>
        <w:rPr>
          <w:rFonts w:ascii="Courier New" w:cs="Courier New" w:eastAsia="Courier New" w:hAnsi="Courier New"/>
          <w:sz w:val="15"/>
          <w:szCs w:val="15"/>
          <w:color w:val="auto"/>
        </w:rPr>
        <w:t>Please read the proxy material carefully. Your vote is important and the company appreciates your cooperation in considering and acting on the matters presented.</w:t>
      </w:r>
    </w:p>
    <w:p>
      <w:pPr>
        <w:spacing w:after="0" w:line="172"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IRIS BREST</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April 4, 2002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Palo Alto, California</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ANNUAL MEETING OF STOCKHOLDERS</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enclosed form of proxy is solicited on behalf of the Board of Directors of StemCells, Inc. (the "company") for use at the Annual Meeting of Stockholders (the "Annual Meeting") to be held on May 2, 2002 at 2 P.M. at the company's headquarters at 3155 Porter Drive, Palo Alto, California 94304. The cost of solicitation of proxies will be borne by the company. We have retained the services of Georgeson Shareholder to assist with the solicitation of proxies on our behalf, at an anticipated cost of $6,500.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16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Only stockholders of record at the close of business on March 25, 2002 are entitled to notice of and to vote at the Annual Meeting or any adjournment thereof. There were 24,220,618 shares of our Common Stock, $.01 par value (the "Common Stock"), outstanding on such date, each of which is entitled to one vote for each share on the matters to be voted upon.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Shares of our Common Stock represented by proxies in the form enclosed which are properly executed and returned to us and not revoked, will be voted as specified therein by the stockholder. In the absence of contrary instructions, or in instances where no specification is made, the shares will be voted FOR the election as directors of the nominees as described herein under "Proposal Number 1--Election of Directors," FOR ratification of the selection of accountants as described herein under "Proposal Number 2--Ratification of Selection of Independent Public Accountants," FOR approval of an increase in the number of authorized shares of our Common Stock as described herein under "Proposal 3-- Amendment of the Company's Certificate of Incorporation to increase the number of authorized shares of Common Stock from 45,000,000 to 75,000,000,"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184" w:lineRule="exact"/>
        <w:rPr>
          <w:sz w:val="20"/>
          <w:szCs w:val="20"/>
          <w:color w:val="auto"/>
        </w:rPr>
      </w:pPr>
    </w:p>
    <w:p>
      <w:pPr>
        <w:ind w:left="9" w:right="3299" w:firstLine="355"/>
        <w:spacing w:after="0" w:line="264" w:lineRule="auto"/>
        <w:rPr>
          <w:sz w:val="20"/>
          <w:szCs w:val="20"/>
          <w:color w:val="auto"/>
        </w:rPr>
      </w:pPr>
      <w:r>
        <w:rPr>
          <w:rFonts w:ascii="Courier New" w:cs="Courier New" w:eastAsia="Courier New" w:hAnsi="Courier New"/>
          <w:sz w:val="14"/>
          <w:szCs w:val="14"/>
          <w:color w:val="auto"/>
        </w:rPr>
        <w:t>A copy of our Annual Report to Stockholders for the fiscal year ended December 31, 2001 will be mailed, along with this Proxy Statement, on or about April 4, 2002 to all stockholders entitled to vote at the Annual Meeting.</w:t>
      </w:r>
    </w:p>
    <w:p>
      <w:pPr>
        <w:spacing w:after="0" w:line="157"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Consistent with Delaware law and under our Amended and Restated By-laws, a majority of the shares entitled to be cast on a particular matter, present in person or represented by proxy, constitutes a quorum as to such matter. We will appoint election inspectors for the meeting to count votes cast by proxy or in person at the Annual Meeting.</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Election of directors by stockholders shall be determined by a plurality of the votes cast by the stockholders entitled to vote at the election that are present in person or represented by proxy. The approval of the proposal to ratify the selection of accountants requires a majority of the votes properly cast</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to be affirmative. 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w:t>
      </w:r>
    </w:p>
    <w:p>
      <w:pPr>
        <w:spacing w:after="0" w:line="1" w:lineRule="exact"/>
        <w:rPr>
          <w:sz w:val="20"/>
          <w:szCs w:val="20"/>
          <w:color w:val="auto"/>
        </w:rPr>
      </w:pPr>
    </w:p>
    <w:p>
      <w:pPr>
        <w:ind w:left="9" w:right="3119" w:hanging="9"/>
        <w:spacing w:after="0"/>
        <w:tabs>
          <w:tab w:leader="none" w:pos="45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174" w:lineRule="exact"/>
        <w:rPr>
          <w:sz w:val="20"/>
          <w:szCs w:val="20"/>
          <w:color w:val="auto"/>
        </w:rPr>
      </w:pPr>
    </w:p>
    <w:p>
      <w:pPr>
        <w:ind w:left="9" w:right="3759" w:firstLine="355"/>
        <w:spacing w:after="0" w:line="271" w:lineRule="auto"/>
        <w:rPr>
          <w:sz w:val="20"/>
          <w:szCs w:val="20"/>
          <w:color w:val="auto"/>
        </w:rPr>
      </w:pPr>
      <w:r>
        <w:rPr>
          <w:rFonts w:ascii="Courier New" w:cs="Courier New" w:eastAsia="Courier New" w:hAnsi="Courier New"/>
          <w:sz w:val="14"/>
          <w:szCs w:val="14"/>
          <w:color w:val="auto"/>
        </w:rPr>
        <w:t>The approval of the proposal to amend the Company's Certificate of Incorporation to increase the number of authorized shares of Common Stock</w:t>
      </w:r>
    </w:p>
    <w:p>
      <w:pPr>
        <w:sectPr>
          <w:pgSz w:w="11900" w:h="16913" w:orient="portrait"/>
          <w:cols w:equalWidth="0" w:num="1">
            <w:col w:w="10228"/>
          </w:cols>
          <w:pgMar w:left="231" w:top="141" w:right="1440" w:bottom="0" w:gutter="0" w:footer="0" w:header="0"/>
        </w:sectPr>
      </w:pPr>
    </w:p>
    <w:bookmarkStart w:id="2" w:name="page3"/>
    <w:bookmarkEnd w:id="2"/>
    <w:p>
      <w:pPr>
        <w:spacing w:after="0" w:line="75"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requires an affirmative vote from a majority of the outstanding Common Stock entitled to vote on the proposal. Abstentions and broker non-votes, therefore, would have the same effect as votes cast against this proposal.</w:t>
      </w:r>
    </w:p>
    <w:p>
      <w:pPr>
        <w:spacing w:after="0" w:line="175"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or her proxy at any time before it is voted.</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SHARE OWNERSHIP OF CERTAIN BENEFICIAL OWNERS</w:t>
      </w:r>
    </w:p>
    <w:p>
      <w:pPr>
        <w:spacing w:after="0" w:line="174"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our Common Stock as of March 25, 2002 by (i) each person known by us to be the beneficial owner of more than 5% of our outstanding Common Stock,</w:t>
      </w:r>
    </w:p>
    <w:p>
      <w:pPr>
        <w:spacing w:after="0" w:line="1" w:lineRule="exact"/>
        <w:rPr>
          <w:sz w:val="20"/>
          <w:szCs w:val="20"/>
          <w:color w:val="auto"/>
        </w:rPr>
      </w:pPr>
    </w:p>
    <w:p>
      <w:pPr>
        <w:ind w:left="9" w:right="3119" w:hanging="9"/>
        <w:spacing w:after="0" w:line="260" w:lineRule="auto"/>
        <w:tabs>
          <w:tab w:leader="none" w:pos="45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and nominee for director, (iii) each executive officer named in the Summary Compensation Table and (iv) all executive officers and directors of the company as a group. Except as otherwise indicated, we believe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160" w:lineRule="exact"/>
        <w:rPr>
          <w:sz w:val="20"/>
          <w:szCs w:val="20"/>
          <w:color w:val="auto"/>
        </w:rPr>
      </w:pPr>
    </w:p>
    <w:p>
      <w:pPr>
        <w:jc w:val="center"/>
        <w:ind w:right="5170"/>
        <w:spacing w:after="0"/>
        <w:rPr>
          <w:sz w:val="20"/>
          <w:szCs w:val="20"/>
          <w:color w:val="auto"/>
        </w:rPr>
      </w:pPr>
      <w:r>
        <w:rPr>
          <w:rFonts w:ascii="Courier New" w:cs="Courier New" w:eastAsia="Courier New" w:hAnsi="Courier New"/>
          <w:sz w:val="15"/>
          <w:szCs w:val="15"/>
          <w:color w:val="auto"/>
        </w:rPr>
        <w:t>PERCENTAGE SHARES OF CLASS NAME AND ADDRESS OF</w:t>
      </w:r>
    </w:p>
    <w:p>
      <w:pPr>
        <w:spacing w:after="0" w:line="1" w:lineRule="exact"/>
        <w:rPr>
          <w:sz w:val="20"/>
          <w:szCs w:val="20"/>
          <w:color w:val="auto"/>
        </w:rPr>
      </w:pPr>
    </w:p>
    <w:p>
      <w:pPr>
        <w:jc w:val="center"/>
        <w:ind w:right="5170"/>
        <w:spacing w:after="0"/>
        <w:rPr>
          <w:sz w:val="20"/>
          <w:szCs w:val="20"/>
          <w:color w:val="auto"/>
        </w:rPr>
      </w:pPr>
      <w:r>
        <w:rPr>
          <w:rFonts w:ascii="Courier New" w:cs="Courier New" w:eastAsia="Courier New" w:hAnsi="Courier New"/>
          <w:sz w:val="15"/>
          <w:szCs w:val="15"/>
          <w:color w:val="auto"/>
        </w:rPr>
        <w:t>BENEFICIAL OWNER(1) BENEFICIALLY OWNED* BENEFICIALLY</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OWNED* - --------------------------------------- -------</w:t>
      </w:r>
    </w:p>
    <w:p>
      <w:pPr>
        <w:spacing w:after="0" w:line="1" w:lineRule="exact"/>
        <w:rPr>
          <w:sz w:val="20"/>
          <w:szCs w:val="20"/>
          <w:color w:val="auto"/>
        </w:rPr>
      </w:pPr>
    </w:p>
    <w:p>
      <w:pPr>
        <w:ind w:left="749"/>
        <w:spacing w:after="0"/>
        <w:rPr>
          <w:sz w:val="20"/>
          <w:szCs w:val="20"/>
          <w:color w:val="auto"/>
        </w:rPr>
      </w:pPr>
      <w:r>
        <w:rPr>
          <w:rFonts w:ascii="Courier New" w:cs="Courier New" w:eastAsia="Courier New" w:hAnsi="Courier New"/>
          <w:sz w:val="15"/>
          <w:szCs w:val="15"/>
          <w:color w:val="auto"/>
        </w:rPr>
        <w:t>------------ ------------------- Mark J.</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Levin..............................................</w:t>
      </w:r>
    </w:p>
    <w:p>
      <w:pPr>
        <w:spacing w:after="0" w:line="1" w:lineRule="exact"/>
        <w:rPr>
          <w:sz w:val="20"/>
          <w:szCs w:val="20"/>
          <w:color w:val="auto"/>
        </w:rPr>
      </w:pPr>
    </w:p>
    <w:p>
      <w:pPr>
        <w:ind w:left="1229"/>
        <w:spacing w:after="0"/>
        <w:rPr>
          <w:sz w:val="20"/>
          <w:szCs w:val="20"/>
          <w:color w:val="auto"/>
        </w:rPr>
      </w:pPr>
      <w:r>
        <w:rPr>
          <w:rFonts w:ascii="Courier New" w:cs="Courier New" w:eastAsia="Courier New" w:hAnsi="Courier New"/>
          <w:sz w:val="15"/>
          <w:szCs w:val="15"/>
          <w:color w:val="auto"/>
        </w:rPr>
        <w:t>436,224(2) 1.6% Ricardo Levy,</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Ph.D......................................... 2,571(3)</w:t>
      </w:r>
    </w:p>
    <w:p>
      <w:pPr>
        <w:spacing w:after="0" w:line="1" w:lineRule="exact"/>
        <w:rPr>
          <w:sz w:val="20"/>
          <w:szCs w:val="20"/>
          <w:color w:val="auto"/>
        </w:rPr>
      </w:pPr>
    </w:p>
    <w:p>
      <w:pPr>
        <w:ind w:left="1989"/>
        <w:spacing w:after="0"/>
        <w:rPr>
          <w:sz w:val="20"/>
          <w:szCs w:val="20"/>
          <w:color w:val="auto"/>
        </w:rPr>
      </w:pPr>
      <w:r>
        <w:rPr>
          <w:rFonts w:ascii="Courier New" w:cs="Courier New" w:eastAsia="Courier New" w:hAnsi="Courier New"/>
          <w:sz w:val="15"/>
          <w:szCs w:val="15"/>
          <w:color w:val="auto"/>
        </w:rPr>
        <w:t>** Martin M.</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McGlynn..........................................</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133,333(4) ** Roger Perlmutter, M.D.,</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Ph.D............................... 16,738(5) ** John J.</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Schwartz, Ph.D.....................................</w:t>
      </w:r>
    </w:p>
    <w:p>
      <w:pPr>
        <w:spacing w:after="0" w:line="1" w:lineRule="exact"/>
        <w:rPr>
          <w:sz w:val="20"/>
          <w:szCs w:val="20"/>
          <w:color w:val="auto"/>
        </w:rPr>
      </w:pPr>
    </w:p>
    <w:p>
      <w:pPr>
        <w:ind w:left="1189"/>
        <w:spacing w:after="0"/>
        <w:rPr>
          <w:sz w:val="20"/>
          <w:szCs w:val="20"/>
          <w:color w:val="auto"/>
        </w:rPr>
      </w:pPr>
      <w:r>
        <w:rPr>
          <w:rFonts w:ascii="Courier New" w:cs="Courier New" w:eastAsia="Courier New" w:hAnsi="Courier New"/>
          <w:sz w:val="15"/>
          <w:szCs w:val="15"/>
          <w:color w:val="auto"/>
        </w:rPr>
        <w:t>148,910(6) ** Irving Weissman,</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M.D....................................... 883,393(7)</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3.3% Ann Tsukamoto,</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Ph.D........................................ 152,195(8)</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 Ronnda Bartel,</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Ph.D........................................ 0 ** George</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W. Dunbar, Jr....................................... 0</w:t>
      </w:r>
    </w:p>
    <w:p>
      <w:pPr>
        <w:spacing w:after="0" w:line="3" w:lineRule="exact"/>
        <w:rPr>
          <w:sz w:val="20"/>
          <w:szCs w:val="20"/>
          <w:color w:val="auto"/>
        </w:rPr>
      </w:pPr>
    </w:p>
    <w:p>
      <w:pPr>
        <w:ind w:left="9" w:right="5179" w:firstLine="165"/>
        <w:spacing w:after="0" w:line="258" w:lineRule="auto"/>
        <w:tabs>
          <w:tab w:leader="none" w:pos="4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directors and executive officers as a group (9 persons).................................................</w:t>
      </w:r>
    </w:p>
    <w:p>
      <w:pPr>
        <w:ind w:left="9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1,773,364 6.7% Millennium Partners,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LP....................................</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2,534,183(9) 9.9%</w:t>
            </w:r>
          </w:p>
        </w:tc>
      </w:tr>
      <w:tr>
        <w:trPr>
          <w:trHeight w:val="512"/>
        </w:trPr>
        <w:tc>
          <w:tcPr>
            <w:tcW w:w="3440" w:type="dxa"/>
            <w:vAlign w:val="bottom"/>
          </w:tcPr>
          <w:p>
            <w:pPr>
              <w:jc w:val="right"/>
              <w:ind w:right="1066"/>
              <w:spacing w:after="0"/>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spacing w:after="0"/>
              <w:rPr>
                <w:sz w:val="24"/>
                <w:szCs w:val="24"/>
                <w:color w:val="auto"/>
              </w:rPr>
            </w:pPr>
          </w:p>
        </w:tc>
      </w:tr>
    </w:tbl>
    <w:p>
      <w:pPr>
        <w:spacing w:after="0" w:line="174" w:lineRule="exact"/>
        <w:rPr>
          <w:sz w:val="20"/>
          <w:szCs w:val="20"/>
          <w:color w:val="auto"/>
        </w:rPr>
      </w:pPr>
    </w:p>
    <w:p>
      <w:pPr>
        <w:ind w:left="349" w:right="3119" w:hanging="349"/>
        <w:spacing w:after="0" w:line="238" w:lineRule="auto"/>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72" w:lineRule="exact"/>
        <w:rPr>
          <w:sz w:val="20"/>
          <w:szCs w:val="20"/>
          <w:color w:val="auto"/>
        </w:rPr>
      </w:pPr>
    </w:p>
    <w:p>
      <w:pPr>
        <w:ind w:left="349"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4" w:lineRule="exact"/>
        <w:rPr>
          <w:sz w:val="20"/>
          <w:szCs w:val="20"/>
          <w:color w:val="auto"/>
        </w:rPr>
      </w:pPr>
    </w:p>
    <w:p>
      <w:pPr>
        <w:ind w:left="349" w:right="3219" w:hanging="349"/>
        <w:spacing w:after="0" w:line="264" w:lineRule="auto"/>
        <w:tabs>
          <w:tab w:leader="none" w:pos="34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all such persons, except Millennium Partners, LP, is c/o the company, 3155 Porter Drive, Palo Alto, California 94304. The address of Millennium Partners, LP, is 551 Fifth Avenue, New York, New York 10176.</w:t>
      </w:r>
    </w:p>
    <w:p>
      <w:pPr>
        <w:spacing w:after="0" w:line="159" w:lineRule="exact"/>
        <w:rPr>
          <w:rFonts w:ascii="Courier New" w:cs="Courier New" w:eastAsia="Courier New" w:hAnsi="Courier New"/>
          <w:sz w:val="14"/>
          <w:szCs w:val="14"/>
          <w:color w:val="auto"/>
        </w:rPr>
      </w:pPr>
    </w:p>
    <w:p>
      <w:pPr>
        <w:ind w:left="349" w:right="329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42,487 shares issuable upon exercise of stock options exercisable within 60 days. Includes 224,033 shares issuable upon conversion of 6% cumulative convertible preferred shares at the currently applicable conversion price. Includes a warrant to purchase 37,500 shares exercisable within 60 days. Includes 132,204 shares held directly.</w:t>
      </w:r>
    </w:p>
    <w:p>
      <w:pPr>
        <w:spacing w:after="0" w:line="174" w:lineRule="exact"/>
        <w:rPr>
          <w:rFonts w:ascii="Courier New" w:cs="Courier New" w:eastAsia="Courier New" w:hAnsi="Courier New"/>
          <w:sz w:val="15"/>
          <w:szCs w:val="15"/>
          <w:color w:val="auto"/>
        </w:rPr>
      </w:pPr>
    </w:p>
    <w:p>
      <w:pPr>
        <w:ind w:left="349" w:right="3399"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2,571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133,333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16,738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148,910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269,833 shares issuable upon exercise of stock options exercisable within 60 days and 44,660 shares issuable upon exercise of warrants exercisable within 60 days. Includes 224,033 shares</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349" w:right="3399"/>
        <w:spacing w:after="0" w:line="238" w:lineRule="auto"/>
        <w:rPr>
          <w:sz w:val="20"/>
          <w:szCs w:val="20"/>
          <w:color w:val="auto"/>
        </w:rPr>
      </w:pPr>
      <w:r>
        <w:rPr>
          <w:rFonts w:ascii="Courier New" w:cs="Courier New" w:eastAsia="Courier New" w:hAnsi="Courier New"/>
          <w:sz w:val="15"/>
          <w:szCs w:val="15"/>
          <w:color w:val="auto"/>
        </w:rPr>
        <w:t>issuable upon conversion of 6% cumulative convertible preferred shares at the currently applicable conversion price. Includes a total of</w:t>
      </w:r>
    </w:p>
    <w:p>
      <w:pPr>
        <w:spacing w:after="0" w:line="4" w:lineRule="exact"/>
        <w:rPr>
          <w:sz w:val="20"/>
          <w:szCs w:val="20"/>
          <w:color w:val="auto"/>
        </w:rPr>
      </w:pPr>
    </w:p>
    <w:p>
      <w:pPr>
        <w:ind w:left="349" w:right="3219"/>
        <w:spacing w:after="0" w:line="238" w:lineRule="auto"/>
        <w:rPr>
          <w:sz w:val="20"/>
          <w:szCs w:val="20"/>
          <w:color w:val="auto"/>
        </w:rPr>
      </w:pPr>
      <w:r>
        <w:rPr>
          <w:rFonts w:ascii="Courier New" w:cs="Courier New" w:eastAsia="Courier New" w:hAnsi="Courier New"/>
          <w:sz w:val="15"/>
          <w:szCs w:val="15"/>
          <w:color w:val="auto"/>
        </w:rPr>
        <w:t>50,791 shares owned by trusts for the benefit of Dr. Weissman's children as to which he disclaims beneficial ownership.</w:t>
      </w:r>
    </w:p>
    <w:p>
      <w:pPr>
        <w:spacing w:after="0" w:line="175" w:lineRule="exact"/>
        <w:rPr>
          <w:sz w:val="20"/>
          <w:szCs w:val="20"/>
          <w:color w:val="auto"/>
        </w:rPr>
      </w:pPr>
    </w:p>
    <w:p>
      <w:pPr>
        <w:ind w:left="349" w:right="3219" w:hanging="349"/>
        <w:spacing w:after="0" w:line="239"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125,361 shares issuable upon exercise of stock options exercisable within 60 days. Includes a total of 26,834 shares owned by trusts for the benefit of Dr. Tsukamoto and her family members.</w:t>
      </w:r>
    </w:p>
    <w:p>
      <w:pPr>
        <w:spacing w:after="0" w:line="175" w:lineRule="exact"/>
        <w:rPr>
          <w:rFonts w:ascii="Courier New" w:cs="Courier New" w:eastAsia="Courier New" w:hAnsi="Courier New"/>
          <w:sz w:val="15"/>
          <w:szCs w:val="15"/>
          <w:color w:val="auto"/>
        </w:rPr>
      </w:pPr>
    </w:p>
    <w:p>
      <w:pPr>
        <w:ind w:left="349" w:right="3299" w:hanging="349"/>
        <w:spacing w:after="0" w:line="271" w:lineRule="auto"/>
        <w:tabs>
          <w:tab w:leader="none" w:pos="34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1,382,853 shares held outright. Includes 522,725 shares issuable upon the exercise of warrants. Includes 2,012,833 shares issuable upon the</w:t>
      </w:r>
    </w:p>
    <w:p>
      <w:pPr>
        <w:sectPr>
          <w:pgSz w:w="11900" w:h="16913" w:orient="portrait"/>
          <w:cols w:equalWidth="0" w:num="1">
            <w:col w:w="10228"/>
          </w:cols>
          <w:pgMar w:left="231" w:top="141" w:right="1440" w:bottom="0" w:gutter="0" w:footer="0" w:header="0"/>
        </w:sectPr>
      </w:pPr>
    </w:p>
    <w:bookmarkStart w:id="3" w:name="page4"/>
    <w:bookmarkEnd w:id="3"/>
    <w:p>
      <w:pPr>
        <w:ind w:left="340" w:right="3299"/>
        <w:spacing w:after="0" w:line="258" w:lineRule="auto"/>
        <w:rPr>
          <w:sz w:val="20"/>
          <w:szCs w:val="20"/>
          <w:color w:val="auto"/>
        </w:rPr>
      </w:pPr>
      <w:r>
        <w:rPr>
          <w:rFonts w:ascii="Courier New" w:cs="Courier New" w:eastAsia="Courier New" w:hAnsi="Courier New"/>
          <w:sz w:val="14"/>
          <w:szCs w:val="14"/>
          <w:color w:val="auto"/>
        </w:rPr>
        <w:t>conversion of shares of 3% Cumulative Convertible Preferred Stock. Of the shares described above, 500,125 shares held outright, 350,877 shares issuable upon the exercise of warrants and 2,012,833 shares issuable upon the conversion of shares of 3% Cumulative Convertible Preferred Stock are owned by Riverview Group, L.L.C., a wholly owned subsidiary of Millennium. Under the terms of the warrants issued to Millennium and Riverview as well as the certificate of designations for the preferred stock, the warrants cannot be exercised, nor the preferred stock converted, if doing so would result in Millennium having aggregate beneficial ownership of more than</w:t>
      </w:r>
    </w:p>
    <w:p>
      <w:pPr>
        <w:spacing w:after="0" w:line="2" w:lineRule="exact"/>
        <w:rPr>
          <w:sz w:val="20"/>
          <w:szCs w:val="20"/>
          <w:color w:val="auto"/>
        </w:rPr>
      </w:pPr>
    </w:p>
    <w:p>
      <w:pPr>
        <w:ind w:left="340" w:right="3219"/>
        <w:spacing w:after="0"/>
        <w:rPr>
          <w:sz w:val="20"/>
          <w:szCs w:val="20"/>
          <w:color w:val="auto"/>
        </w:rPr>
      </w:pPr>
      <w:r>
        <w:rPr>
          <w:rFonts w:ascii="Courier New" w:cs="Courier New" w:eastAsia="Courier New" w:hAnsi="Courier New"/>
          <w:sz w:val="15"/>
          <w:szCs w:val="15"/>
          <w:color w:val="auto"/>
        </w:rPr>
        <w:t>9.99% of the total issued and outstanding shares of the Company's Common Stock. Millennium therefore is the beneficial owner of 2,534,183 shares as of December 21, 2001, the date of its most recently filed Schedule 13G, and disclaims beneficial ownership of 1,384,228 shares of Common Stock as of that date.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INFORMATION CONCERNING THE BOARD AND ITS COMMITTEES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2001, the Board of Directors was composed of Mr. Levin and Drs.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Perlmutter, Schwartz and Weissman for the entire year, Mr. McGlynn after 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appointment on February 2, 2001 and Dr. Levy after his appointment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26, 2001. The Board has two standing committees--the Compensation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Committee (the "Compensation Committee") and the Audit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Committee--as well as the Single Member Committee established on July 30,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company's 2001 Equity Incentive Plan. The company has no nominating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The Compensation Committee held four meetings during the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2001 and was composed of Mr. Levin and Dr. Schwartz.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makes recommendations to the Board and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concerning salaries in general, determines executive compensation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approves incentive compensation for company employees and consultants.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Audit Committee held two meetings during the 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2001 and was composed of Drs. Schwartz and Perlmutter throughout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Mr. Levin from June 11, 2001 through November 2, 2001, and Dr. Levy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his appointment on November 2, 2001. The Audit Committee reviews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and scope of the audit and other services provided by the company's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Prior to the fiscal year ended December 31, 2000, each director who was not an employee and who did not have a pre-existing consulting relationship with the company received an annual retainer of $18,000 payable quarterly, in addition to $1,500 for each Board meeting attended ($500 for each telephonic meeting) and $500 for each Committee meeting attended if not contemporaneous with a Board meeting. Upon election (or contemporaneously with the approval in 1998 of the revised compensation plan with respect to those directors already serving), each such director also received an option to purchase 20,000 shares of our Common Stock exercisable at the fair market value of the Common Stock at the time of grant, such shares vesting in equal portions over three years on each anniversary of the grant date. The compensation of the Chairman of the Board is described under "CERTAIN RELATIONSHIPS AND RELATED TRANSACTIONS." At a meeting of the Board on February 23, 2000, in order to conserve cash and demonstrate their continuing confidence in the company's future, the directors unanimously adopted a resolution revising their compensation arrangements with the company, for the period commencing January 1, 2000. Under the terms of this resolution, the directors waived any and all cash payments that may accrue to them for their quarterly retainer and meeting fees and received, in lieu of such cash payments, compensation in the form of options to purchase shares of the company's Common Stock at below market prices ($0.25 per share). The number of shares to be distributed to the directors were calculated using the closing price of the company's Common Stock for the date of the subject Board or Committee meeting (if such Committee meeting was not held contemporaneously with a Board meeting) or, with respect to the quarterly retainer payments, the closing price for the last business day of the quarter, less the option price of $0.25 per share. All options so issued to the directors vested immediately. Effective October 1, 2000, as a result of an amendment to his consulting agreement with the company, Dr. Weissman received the same compensation as other non-employee members of the Board. The Chairman of the Board receives a retainer of $35,000 annually (in below-market options calculated as described above), in addition to meeting payments and at-market options on the same basis as other directors. In addition, the policy now provides that on the third anniversary of the original appointment of each re-elected director, such member shall receive an option for 15,000 shares of our Common Stock to vest annually over three years. Shares of Common Stock issued to directors in lieu of cash payments for Board service shall be nonforfeitable, and a director shall have all of the rights of a stockholder of the company with respect to such Common Stock. Directors are reimbursed for their expenses in attending meetings of the Board of Directors and meetings of committees of the Board of Directors.</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The Board of Directors of StemCells held 11 meetings during the fiscal year ended December 31, 2001. During the time they held office, all of the directors attended at least 75% of the meetings of the Board of Directors and of all committees on which they served, except that Dr. Levy was not able to attend the only meeting of the Board of Directors held in 2001 after his appointment.</w:t>
      </w:r>
    </w:p>
    <w:p>
      <w:pPr>
        <w:spacing w:after="0" w:line="15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EXECUTIVE OFFICERS</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The current executive officer of the company who is not also a director of the company is:</w:t>
      </w:r>
    </w:p>
    <w:p>
      <w:pPr>
        <w:spacing w:after="0" w:line="17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NAME AGE POSITION -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5"/>
          <w:szCs w:val="15"/>
          <w:color w:val="auto"/>
        </w:rPr>
        <w:t>Ann Tsukamoto,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Ph.D.......................</w:t>
      </w:r>
    </w:p>
    <w:p>
      <w:pPr>
        <w:sectPr>
          <w:pgSz w:w="11900" w:h="16838" w:orient="portrait"/>
          <w:cols w:equalWidth="0" w:num="1">
            <w:col w:w="10219"/>
          </w:cols>
          <w:pgMar w:left="240" w:top="141" w:right="1440" w:bottom="0" w:gutter="0" w:footer="0" w:header="0"/>
        </w:sectPr>
      </w:pPr>
    </w:p>
    <w:bookmarkStart w:id="4" w:name="page5"/>
    <w:bookmarkEnd w:id="4"/>
    <w:p>
      <w:pPr>
        <w:spacing w:after="0" w:line="64"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5"/>
          <w:szCs w:val="15"/>
          <w:color w:val="auto"/>
        </w:rPr>
        <w:t>49 Vice President,</w:t>
      </w:r>
    </w:p>
    <w:p>
      <w:pPr>
        <w:spacing w:after="0" w:line="1"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5"/>
          <w:szCs w:val="15"/>
          <w:color w:val="auto"/>
        </w:rPr>
        <w:t>Scientific Operations</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Ann Tsukamoto, Ph.D., joined the company in November 1997 as Senior Director, Scientific Operations, and was appointed Vice President, Scientific Operations in June 1998 and Vice President, Research and Development in February 2002. From 1989 until she joined StemCells, Dr. Tsukamoto was employed at SyStemix, Inc., where she served in various research capacities before transitioning to the position of Director of Clinical Science. At</w:t>
      </w:r>
    </w:p>
    <w:p>
      <w:pPr>
        <w:spacing w:after="0" w:line="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SyStemix, Inc., Dr. Tsukamoto assisted in the launch of its clinical research program for the hematopoietic stem cell. She received her Ph.D. degree from the University of California, Los Angeles and did postdoctoral research with</w:t>
      </w:r>
    </w:p>
    <w:p>
      <w:pPr>
        <w:spacing w:after="0" w:line="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Dr. Harold Varmus at the University of California, San Francisco. Dr. Tsukamoto is an inventor on six issued U.S. Patents related to the human hematopoietic stem cell.</w:t>
      </w:r>
    </w:p>
    <w:p>
      <w:pPr>
        <w:spacing w:after="0" w:line="175"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Martin McGlynn, President and CEO of the company, is its other executive officer; Mr. McGlynn is a member of the Board of Directors.</w:t>
      </w:r>
    </w:p>
    <w:p>
      <w:pPr>
        <w:spacing w:after="0" w:line="17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All executive officers of the company are elected annually and serve at the discretion of the Board of Directors.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2001: Mr. Levin and Dr. Schwartz. In 1989, 1990 and 1991 Mr. Levin was an executive officer of the company.</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 entered in a Consulting Services Agreement with John J. Schwartz on July 27, 1998, as amended December 19, 1998, for strategic business advice and counseling services, including assistance in the negotiation and consummation of strategic collaboration transactions specified by the company. Dr. Schwartz was elected to the Board of Directors on December 19, 1998 and became a member of the Compensation Committee on that date. During the fiscal year ended December 31, 1999, the company made payments to Dr. Schwartz under the Consulting Services Agreement and the letter agreement dated December 19, 1998 and amended as of July 1, 1999 (the "Letter Agreement"), under which he served as a Director and Chairman of the Board. (See "Certain Relationships and Related Transactions" herein for more information.) Both the Consulting Services Agreement and the Letter Agreement were terminated as of March 31, 2001.</w:t>
      </w:r>
    </w:p>
    <w:p>
      <w:pPr>
        <w:spacing w:after="0" w:line="16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company believes the terms of these agreements were and are no less favorable to the company than could have been obtained from unaffiliated third parties.</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 noted in the section immediately above, Dr. Schwartz, currently a member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Chairman of the Board of Directors, was retained in July 1998 under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Consulting Services Agreement to serve as a consultant to the company rendering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business advice and counseling services, including assistance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negotiation and consummation of strategic collaboration transactions specified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company. The Consulting Services Agreement provided for compensation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Schwartz in the amount of $50,000 in cash for services rendered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September 27, 1997 through July 26, 1998, plus a fully vested option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purchase 20,000 shares of the company's Common Stock at $1.281, the fair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of the company's Common Stock at the time of the grant.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rendered during other periods during the term of the Consulting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Agreement, Dr. Schwartz was entitled to total cash compensation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$120,000, an option to purchase 76,000 shares of the company's Common Stock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exercise price equal to the closing bid price for the shares on July 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an option to purchase 48,000 shares of the company's Common Stock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market value of the company's Common Stock on July 27, 1999, vesting at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rate of 2,000 shares per month. In addition, the Consulting Services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in the event that, at a time when Dr. Schwartz was not a member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but the Consulting Services Agreement was still in effect,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Dr. Schwartz materially participated in the negotiation and consummation of a strategic collaboration transaction specified by the company, he would have been be entitled to receive additional compensation equal to 3% of the transaction consideration, payable half in cash and half in the form of an option or warrant to purchase shares of the company's Common Stock at $.20 per share, the number of shares being calculated based on the fair market value of the company's Common Stock ten days prior to the first public announcement of the consummation of, the execution of a letter of intent for or the existence of discussions concerning the collaboration transaction. On December 19, 1998, the day he became a member of the Board of Directors, there were no such strategic collaboration transactions that would have given rise to additional compensation.</w:t>
      </w:r>
    </w:p>
    <w:p>
      <w:pPr>
        <w:spacing w:after="0" w:line="17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On December 19, 1998, Dr. Schwartz became a member of the Board and its Chairman and his compensation for services in this capacity was provided for under the terms of a Letter Agreement, which also incorporated certain compensation provided for under the Consulting Services Agreement. Under the Letter Agreement, as amended July 1, 1999, Dr. Schwartz in his capacity as Chairman was required to provide us with thirty (30) business days of services per quarter, and was entitled to receive $132,000 in cash per year, plus $1,500 per Board or Committee meeting and $500 per telephonic meeting. He also received an option to acquire 40,000 shares of the company's Common Stock under the 1992 Equity Incentive Plan, with an exercise price equal to the fair market value on the date of the grant. Dr. Schwartz terminated both the Letter Agreement and the Consulting Services Agreement as of March 31, 2001. (See "Employment and Severance Agreements.") He currently continues to serve in his position as</w:t>
      </w:r>
    </w:p>
    <w:p>
      <w:pPr>
        <w:sectPr>
          <w:pgSz w:w="11900" w:h="16903" w:orient="portrait"/>
          <w:cols w:equalWidth="0" w:num="1">
            <w:col w:w="10219"/>
          </w:cols>
          <w:pgMar w:left="240" w:top="139" w:right="1440" w:bottom="0" w:gutter="0" w:footer="0" w:header="0"/>
        </w:sectPr>
      </w:pPr>
    </w:p>
    <w:bookmarkStart w:id="5" w:name="page6"/>
    <w:bookmarkEnd w:id="5"/>
    <w:p>
      <w:pPr>
        <w:spacing w:after="0" w:line="6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Chairman and member of the Board of Directors under the terms of the compensation policy discussed further herein under "Information Concerning the Board and its Committees."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to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recorded a compensation expense of $823,759 during the fourth quarter of 2000 as a result of this change in the vested portion of the option. For the year 2001 we have recorded a compensation expense of $346,420. The deferred compensation expense associated with the unvested portion of the grant was recorded as $551,944. We plan to revalue the options using the Black-Scholes method on a quarterly basis and recognize additional compensation expense accordingly. The company also agreed to nominate 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w:t>
      </w:r>
    </w:p>
    <w:p>
      <w:pPr>
        <w:spacing w:after="0" w:line="18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Any unconverted preferred stock will be converted into Common Stock on April 13, 2002. The warrants expire on April 13, 2005.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Dr.</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Weissman</w:t>
            </w:r>
          </w:p>
        </w:tc>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was interim Chief Executive Officer and is a member of the</w:t>
            </w:r>
          </w:p>
        </w:tc>
        <w:tc>
          <w:tcPr>
            <w:tcW w:w="360" w:type="dxa"/>
            <w:vAlign w:val="bottom"/>
          </w:tcPr>
          <w:p>
            <w:pPr>
              <w:spacing w:after="0"/>
              <w:rPr>
                <w:sz w:val="14"/>
                <w:szCs w:val="1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Board of</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Managers</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of Celtrans, LLC, a privately-owned biotechnology company</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that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is also</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a tenant</w:t>
            </w:r>
          </w:p>
        </w:tc>
        <w:tc>
          <w:tcPr>
            <w:tcW w:w="5600" w:type="dxa"/>
            <w:vAlign w:val="bottom"/>
            <w:gridSpan w:val="2"/>
          </w:tcPr>
          <w:p>
            <w:pPr>
              <w:spacing w:after="0"/>
              <w:rPr>
                <w:sz w:val="20"/>
                <w:szCs w:val="20"/>
                <w:color w:val="auto"/>
              </w:rPr>
            </w:pPr>
            <w:r>
              <w:rPr>
                <w:rFonts w:ascii="Courier New" w:cs="Courier New" w:eastAsia="Courier New" w:hAnsi="Courier New"/>
                <w:sz w:val="15"/>
                <w:szCs w:val="15"/>
                <w:color w:val="auto"/>
              </w:rPr>
              <w:t>in the building in which we are located. Because our premises</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include</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an animal</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facility with more capacity than we currently require for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our</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own use,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we have</w:t>
            </w:r>
          </w:p>
        </w:tc>
        <w:tc>
          <w:tcPr>
            <w:tcW w:w="5240" w:type="dxa"/>
            <w:vAlign w:val="bottom"/>
          </w:tcPr>
          <w:p>
            <w:pPr>
              <w:spacing w:after="0"/>
              <w:rPr>
                <w:sz w:val="20"/>
                <w:szCs w:val="20"/>
                <w:color w:val="auto"/>
              </w:rPr>
            </w:pPr>
            <w:r>
              <w:rPr>
                <w:rFonts w:ascii="Courier New" w:cs="Courier New" w:eastAsia="Courier New" w:hAnsi="Courier New"/>
                <w:sz w:val="15"/>
                <w:szCs w:val="15"/>
                <w:color w:val="auto"/>
                <w:w w:val="98"/>
              </w:rPr>
              <w:t>entered a space-sharing agreement with Celtrans under which</w:t>
            </w:r>
          </w:p>
        </w:tc>
        <w:tc>
          <w:tcPr>
            <w:tcW w:w="360" w:type="dxa"/>
            <w:vAlign w:val="bottom"/>
          </w:tcPr>
          <w:p>
            <w:pPr>
              <w:spacing w:after="0"/>
              <w:rPr>
                <w:sz w:val="14"/>
                <w:szCs w:val="1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Celtrans</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or, with</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w w:val="98"/>
              </w:rPr>
              <w:t>our approval, a subtenant of Celtrans, may use part of the</w:t>
            </w:r>
          </w:p>
        </w:tc>
        <w:tc>
          <w:tcPr>
            <w:tcW w:w="36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animal facility. Celtrans pays us $16,122 per</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month under the space-sharing agreement, at the same rate per square foot as we receive from Stanford University, with which we also have an agreement for sharing the animal facility.</w:t>
      </w:r>
    </w:p>
    <w:p>
      <w:pPr>
        <w:spacing w:after="0" w:line="175"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In February 2002, the Board of Directors awarded Martin McGlynn, President and CEO of the company, a cash bonus of $75,000 plus an option for 25,000 shares with an exercise price of $2.96, equal to the fair market value of the Common Stock on the date of the grant, vesting one quarter after a year of further service and the remainder 1/48th each month for the next three years of service.</w:t>
      </w:r>
    </w:p>
    <w:p>
      <w:pPr>
        <w:spacing w:after="0" w:line="162"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have entered into consulting agreements with Levin &amp; Co, Inc., a company in which Mr. Levin's wife is a principal, for recruiting services rendered to the Company. Mr. Levin is a member of the Board of Directors. During the fiscal year ended December 31, 2001, we made payments of $123,465 pursuant to these agreements. We believe the terms of these agreements are no less favorable to us than could have been obtained from unaffiliated third parties.</w:t>
      </w:r>
    </w:p>
    <w:p>
      <w:pPr>
        <w:spacing w:after="0" w:line="164" w:lineRule="exact"/>
        <w:rPr>
          <w:sz w:val="20"/>
          <w:szCs w:val="20"/>
          <w:color w:val="auto"/>
        </w:rPr>
      </w:pPr>
    </w:p>
    <w:p>
      <w:pPr>
        <w:ind w:right="3479" w:firstLine="355"/>
        <w:spacing w:after="0" w:line="258" w:lineRule="auto"/>
        <w:rPr>
          <w:sz w:val="20"/>
          <w:szCs w:val="20"/>
          <w:color w:val="auto"/>
        </w:rPr>
      </w:pPr>
      <w:r>
        <w:rPr>
          <w:rFonts w:ascii="Courier New" w:cs="Courier New" w:eastAsia="Courier New" w:hAnsi="Courier New"/>
          <w:sz w:val="14"/>
          <w:szCs w:val="14"/>
          <w:color w:val="auto"/>
        </w:rPr>
        <w:t>On August 3, 2000, we completed a $4 million Common Stock financing transaction with Millennium Partners, LP at $4.33 per share. In the purchase agreement, we granted Millennium an option to purchase up to an additional $3 million of our Common Stock. Millennium exercised its option to purchase $1 million of our Common Stock on August 23, 2000 at $5.53 per share. On</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June 8, 2001, Millennium Partners, LP exercised its remaining option to purchase $2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these warrants, we issued Millennium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w:t>
      </w:r>
    </w:p>
    <w:p>
      <w:pPr>
        <w:spacing w:after="0" w:line="185"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On December 4, 2001, we issued 5,000 shares of 3% Cumulative Convertible Preferred Stock to Riverview Group, L.L.C., a wholly owned subsidiary of Millennium Partners. This preferred stock is convertible into shares of our Common Stock at a conversion price of $2.00 per share of Common Stock; there is a mandatory redemption provision under which any preferred stock remaining on December 4, 2003, is redeemed on that date. The conversion price may be below the trading market price of the stock at the time of conversion. Also on</w:t>
      </w:r>
    </w:p>
    <w:p>
      <w:pPr>
        <w:sectPr>
          <w:pgSz w:w="11900" w:h="16905" w:orient="portrait"/>
          <w:cols w:equalWidth="0" w:num="1">
            <w:col w:w="10219"/>
          </w:cols>
          <w:pgMar w:left="240" w:top="141" w:right="1440" w:bottom="0" w:gutter="0" w:footer="0" w:header="0"/>
        </w:sectPr>
      </w:pPr>
    </w:p>
    <w:bookmarkStart w:id="6" w:name="page7"/>
    <w:bookmarkEnd w:id="6"/>
    <w:p>
      <w:pPr>
        <w:ind w:left="9" w:right="3119"/>
        <w:spacing w:after="0" w:line="239" w:lineRule="auto"/>
        <w:rPr>
          <w:sz w:val="20"/>
          <w:szCs w:val="20"/>
          <w:color w:val="auto"/>
        </w:rPr>
      </w:pPr>
      <w:r>
        <w:rPr>
          <w:rFonts w:ascii="Courier New" w:cs="Courier New" w:eastAsia="Courier New" w:hAnsi="Courier New"/>
          <w:sz w:val="15"/>
          <w:szCs w:val="15"/>
          <w:color w:val="auto"/>
        </w:rPr>
        <w:t>December 4, 2001, in connection with the preferred stock agreement, we issued to Riverview Group a warrant to purchase 350,877 shares of our Common Stock at a price of $3.42 per share. The warrant expires on December 4, 2005.</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following table sets forth the compensation paid by us to our Chief Executive Officer and our Vice President, Scientific Operations during the fiscal years ended December 31, 2001, 2000, and 1999 and the two other most highly compensated executive officers who served in such capacity during the fiscal year ended December 31, 2001 but who were not serving in such capacities as of the end of such fiscal year. There were no other persons serving as executive officers at the end of such fiscal year.</w:t>
      </w:r>
    </w:p>
    <w:p>
      <w:pPr>
        <w:spacing w:after="0" w:line="173"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SUMMARY COMPENSATION TABLE</w:t>
      </w:r>
    </w:p>
    <w:p>
      <w:pPr>
        <w:spacing w:after="0" w:line="17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LONG TERM</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COMPENSATION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 AWARDS</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ANNUAL</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COMPENSATION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RESTRICTED</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SECURITIES</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OTHER ANNUAL</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UNDERLYING ALL</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OTHER NAME AND</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PRINCIPAL</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POSITION YEAR</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SALARY($)</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BONUS($)</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COMPENSATION($)</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AWARDS($)</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OPTIONS(#)</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COMPENSATION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jc w:val="both"/>
        <w:ind w:left="349" w:right="9199" w:hanging="38"/>
        <w:spacing w:after="0" w:line="238" w:lineRule="auto"/>
        <w:tabs>
          <w:tab w:leader="none" w:pos="482"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MARTIN MCGLYNN</w:t>
      </w:r>
    </w:p>
    <w:p>
      <w:pPr>
        <w:spacing w:after="0" w:line="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264,423</w:t>
            </w:r>
          </w:p>
        </w:tc>
      </w:tr>
      <w:tr>
        <w:trPr>
          <w:trHeight w:val="171"/>
        </w:trPr>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68,750 -- --</w:t>
            </w:r>
          </w:p>
        </w:tc>
      </w:tr>
      <w:tr>
        <w:trPr>
          <w:trHeight w:val="171"/>
        </w:trPr>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475,000</w:t>
            </w:r>
          </w:p>
        </w:tc>
      </w:tr>
      <w:tr>
        <w:trPr>
          <w:trHeight w:val="171"/>
        </w:trPr>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147,367(2)</w:t>
            </w:r>
          </w:p>
        </w:tc>
      </w:tr>
      <w:tr>
        <w:trPr>
          <w:trHeight w:val="171"/>
        </w:trPr>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President and</w:t>
            </w:r>
          </w:p>
        </w:tc>
      </w:tr>
    </w:tbl>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Chief Executive</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Officer(1)</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GEORGE W.</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DUNBAR, JR.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 2001</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9,615 50,000 --</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-- 2,000 --</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Acting</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President and</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Chief 2000</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186,538 -- --</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37,031</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4"/>
          <w:szCs w:val="14"/>
          <w:color w:val="auto"/>
        </w:rPr>
        <w:t>Office (3) 1999</w:t>
      </w:r>
    </w:p>
    <w:p>
      <w:pPr>
        <w:spacing w:after="0" w:line="9"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48,000 ANN</w:t>
      </w:r>
    </w:p>
    <w:p>
      <w:pPr>
        <w:spacing w:after="0" w:line="1" w:lineRule="exact"/>
        <w:rPr>
          <w:sz w:val="20"/>
          <w:szCs w:val="20"/>
          <w:color w:val="auto"/>
        </w:rPr>
      </w:pPr>
    </w:p>
    <w:p>
      <w:pPr>
        <w:jc w:val="center"/>
        <w:ind w:right="8890"/>
        <w:spacing w:after="0"/>
        <w:rPr>
          <w:sz w:val="20"/>
          <w:szCs w:val="20"/>
          <w:color w:val="auto"/>
        </w:rPr>
      </w:pPr>
      <w:r>
        <w:rPr>
          <w:rFonts w:ascii="Courier New" w:cs="Courier New" w:eastAsia="Courier New" w:hAnsi="Courier New"/>
          <w:sz w:val="15"/>
          <w:szCs w:val="15"/>
          <w:color w:val="auto"/>
        </w:rPr>
        <w:t>TSUKAMOTO,</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PH.D.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2001 183,800 --</w:t>
      </w:r>
    </w:p>
    <w:p>
      <w:pPr>
        <w:spacing w:after="0" w:line="3" w:lineRule="exact"/>
        <w:rPr>
          <w:sz w:val="20"/>
          <w:szCs w:val="20"/>
          <w:color w:val="auto"/>
        </w:rPr>
      </w:pPr>
    </w:p>
    <w:p>
      <w:pPr>
        <w:ind w:left="129" w:right="9039" w:firstLine="4"/>
        <w:spacing w:after="0" w:line="258" w:lineRule="auto"/>
        <w:tabs>
          <w:tab w:leader="none" w:pos="39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-- 45,500 6,430(4) VP, Scientific</w:t>
      </w:r>
    </w:p>
    <w:p>
      <w:pPr>
        <w:ind w:left="9"/>
        <w:spacing w:after="0" w:line="236" w:lineRule="auto"/>
        <w:rPr>
          <w:sz w:val="20"/>
          <w:szCs w:val="20"/>
          <w:color w:val="auto"/>
        </w:rPr>
      </w:pPr>
      <w:r>
        <w:rPr>
          <w:rFonts w:ascii="Courier New" w:cs="Courier New" w:eastAsia="Courier New" w:hAnsi="Courier New"/>
          <w:sz w:val="15"/>
          <w:szCs w:val="15"/>
          <w:color w:val="auto"/>
        </w:rPr>
        <w:t>Operations 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159,054 -- -- -</w:t>
      </w:r>
    </w:p>
    <w:p>
      <w:pPr>
        <w:spacing w:after="0" w:line="1" w:lineRule="exact"/>
        <w:rPr>
          <w:sz w:val="20"/>
          <w:szCs w:val="20"/>
          <w:color w:val="auto"/>
        </w:rPr>
      </w:pPr>
    </w:p>
    <w:p>
      <w:pPr>
        <w:ind w:left="269" w:hanging="180"/>
        <w:spacing w:after="0"/>
        <w:tabs>
          <w:tab w:leader="none" w:pos="2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-- 4,783(4)</w:t>
      </w:r>
    </w:p>
    <w:p>
      <w:pPr>
        <w:spacing w:after="0" w:line="3" w:lineRule="exact"/>
        <w:rPr>
          <w:rFonts w:ascii="Courier New" w:cs="Courier New" w:eastAsia="Courier New" w:hAnsi="Courier New"/>
          <w:sz w:val="15"/>
          <w:szCs w:val="15"/>
          <w:color w:val="auto"/>
        </w:rPr>
      </w:pPr>
    </w:p>
    <w:p>
      <w:pPr>
        <w:jc w:val="both"/>
        <w:ind w:left="89" w:right="8939" w:hanging="45"/>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RONNDA BARTEL, PH.D.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89,274 --</w:t>
      </w:r>
    </w:p>
    <w:p>
      <w:pPr>
        <w:ind w:left="569" w:hanging="258"/>
        <w:spacing w:after="0"/>
        <w:tabs>
          <w:tab w:leader="none" w:pos="56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7,441(6) VP,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Scientific 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129,668 -- -- -</w:t>
      </w:r>
    </w:p>
    <w:p>
      <w:pPr>
        <w:spacing w:after="0" w:line="1" w:lineRule="exact"/>
        <w:rPr>
          <w:sz w:val="20"/>
          <w:szCs w:val="20"/>
          <w:color w:val="auto"/>
        </w:rPr>
      </w:pPr>
    </w:p>
    <w:p>
      <w:pPr>
        <w:ind w:left="409" w:hanging="187"/>
        <w:spacing w:after="0"/>
        <w:tabs>
          <w:tab w:leader="none" w:pos="40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3,245(7)</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Development(5)</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9" w:right="3479" w:hanging="349"/>
        <w:spacing w:after="0" w:line="238"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McGlynn became President and Chief Executive Officer effective as of January 15, 2001.</w:t>
      </w:r>
    </w:p>
    <w:p>
      <w:pPr>
        <w:sectPr>
          <w:pgSz w:w="11900" w:h="16838" w:orient="portrait"/>
          <w:cols w:equalWidth="0" w:num="1">
            <w:col w:w="10228"/>
          </w:cols>
          <w:pgMar w:left="231" w:top="141" w:right="1440" w:bottom="0" w:gutter="0" w:footer="0" w:header="0"/>
        </w:sectPr>
      </w:pPr>
    </w:p>
    <w:bookmarkStart w:id="7" w:name="page8"/>
    <w:bookmarkEnd w:id="7"/>
    <w:p>
      <w:pPr>
        <w:spacing w:after="0" w:line="63" w:lineRule="exact"/>
        <w:rPr>
          <w:sz w:val="20"/>
          <w:szCs w:val="20"/>
          <w:color w:val="auto"/>
        </w:rPr>
      </w:pPr>
    </w:p>
    <w:p>
      <w:pPr>
        <w:ind w:left="349" w:right="3119" w:hanging="349"/>
        <w:spacing w:after="0" w:line="239"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relocation expense of $142,117 and $5,250 of fair market value of the company matching contributions of Common Stock to Mr. McGlynn's account in our 401 (k) Plan.</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5"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$5,250 and $4,783 of fair market value of the company matching contributions of Common Stock to Dr. Ann Tsukamoto's account in our 401(k) Plan for the years 2001 and 2000 respectively. The figure for 2001 also includes $1,180 which represents premiums we paid on a term life insurance policy for Dr. Tsukamoto.</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Ronnda Bartel resigned from her position on July 13, 2001.</w:t>
      </w:r>
    </w:p>
    <w:p>
      <w:pPr>
        <w:spacing w:after="0" w:line="174" w:lineRule="exact"/>
        <w:rPr>
          <w:rFonts w:ascii="Courier New" w:cs="Courier New" w:eastAsia="Courier New" w:hAnsi="Courier New"/>
          <w:sz w:val="15"/>
          <w:szCs w:val="15"/>
          <w:color w:val="auto"/>
        </w:rPr>
      </w:pPr>
    </w:p>
    <w:p>
      <w:pPr>
        <w:jc w:val="both"/>
        <w:ind w:left="349" w:right="3299" w:hanging="349"/>
        <w:spacing w:after="0" w:line="239"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relocation expense of $4,800 and $2,641 of fair market value of the company matching contributions of Common Stock to Dr. Bartel's account in our 401 (k) Plan.</w:t>
      </w:r>
    </w:p>
    <w:p>
      <w:pPr>
        <w:spacing w:after="0" w:line="175" w:lineRule="exact"/>
        <w:rPr>
          <w:rFonts w:ascii="Courier New" w:cs="Courier New" w:eastAsia="Courier New" w:hAnsi="Courier New"/>
          <w:sz w:val="15"/>
          <w:szCs w:val="15"/>
          <w:color w:val="auto"/>
        </w:rPr>
      </w:pPr>
    </w:p>
    <w:p>
      <w:pPr>
        <w:ind w:left="349" w:right="3119" w:hanging="349"/>
        <w:spacing w:after="0" w:line="271" w:lineRule="auto"/>
        <w:tabs>
          <w:tab w:leader="none" w:pos="34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$3,245 of fair market value of the company matching contributions of Common Stock to Dr. Ronnda Bartel's account in our 401 (k) Plan.</w:t>
      </w:r>
    </w:p>
    <w:p>
      <w:pPr>
        <w:spacing w:after="0" w:line="15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our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to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w:t>
      </w:r>
    </w:p>
    <w:p>
      <w:pPr>
        <w:spacing w:after="0" w:line="162"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Mr. McGlynn's employment is terminated as a result of his disability, he will receive up to six months' base salary. If we terminate Mr. McGlynn's employment for cause or if he resigns, he will not be entitled to any severance or other benefits.</w:t>
      </w:r>
    </w:p>
    <w:p>
      <w:pPr>
        <w:spacing w:after="0" w:line="176"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Dr. Ann Tsukamoto, Ph.D., joined the company in November 1997 as Senior Director, Scientific Operations, was appointed Vice President, Scientific Operations in June 1998, and Vice President, Research and Development in February 2002. Dr. Tsukamoto's base salary is no longer controlled by a formal agreement, and company policy now maintains a target cash bonus of 15% of base salary for employees at her level, although the agreement between Dr. Tsukamoto and us provides only for a 10% target bonus. Any bonus is in the Board's sole discretion. Our agreement with Dr. Tsukamoto, as amended in July 2000, provides that if her employment is terminated by us without cause at any time, she will be entitled to severance payments of current salary and benefits continuation under COBRA for a period of twelve months after the effective date of termination and to accelerated vesting of time-based options granted under our 1992 Equity Incentive Plan. If we terminate Dr. Tsukamoto's employment for cause or if she resigns, she will not be entitled to any severance or other benefits.</w:t>
      </w:r>
    </w:p>
    <w:p>
      <w:pPr>
        <w:spacing w:after="0" w:line="16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Under the terms of two agreements dated as of November 17, 1999 and effective as of November 8, 1999, the first between the company and ICEO, LLC ("ICEO") and the second between the company and George W. Dunbar, Jr., a member of ICEO, Mr. Dunbar agreed to serve as Acting President of StemCells California, Inc., the company's wholly owned subsidiary. Pursuant to the terms of his agreement with the company, Mr. Dunbar was entitled to an annual salary of $175,000 and was granted a stock option to purchase 48,000 shares of the company's Common Stock that vested at the rate of 4,000 shares per month commencing on December 6, 1999 and continuing until November 6, 2000. Pursuant to the terms of the agreement between ICEO and the company, ICEO was entitled to receive annual compensation of $75,000 for so long as Mr. Dunbar continued to serve in his role as Acting President of StemCells California, Inc. or in any other interim role with the company. In addition, ICEO was granted a stock option to purchase 48,000 shares of the company's Common Stock that vested at the rate of 4,000 shares per month commencing on December 6, 1999 and continuing until November 6, 2000. Additionally, the agreements provided that the Board consider once per quarter the grant of an option for an additional 3,000 shares for Mr. Dunbar and 3,000 for ICEO if it were determined that the services rendered by Mr. Dunbar during the</w:t>
      </w:r>
    </w:p>
    <w:p>
      <w:pPr>
        <w:spacing w:after="0" w:line="18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preceding quarter exceeded expectations. Options for 9,000 such additional shares were granted by the Board to each of ICEO and Mr. Dunbar. As a member of ICEO, Mr. Dunbar was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the company. Mr. Dunbar was also appointed Acting President and Chief Executive Officer of the company effective as of February 1, 2000, with no adjustment to his or ICEO's compensation or stock options. In the event that during the period of his service as Acting President and Chief Executive Officer or within 120 days from</w:t>
      </w:r>
    </w:p>
    <w:p>
      <w:pPr>
        <w:sectPr>
          <w:pgSz w:w="11900" w:h="16901" w:orient="portrait"/>
          <w:cols w:equalWidth="0" w:num="1">
            <w:col w:w="10228"/>
          </w:cols>
          <w:pgMar w:left="231" w:top="141" w:right="1440" w:bottom="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termination of such services, Mr. Dunbar were to have become a permanent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of the company in any capacity, the company would have been obligated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ICEO agreement to pay ICEO a fee equal to one-third of the then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targeted first year's compensation for Mr. Dunbar. As of November 6, 2000,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ICEO terminated, and the Board entered a new agreement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Dunbar under which he received a one-time cash bonus of $50,000, an option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purchase that number of shares equal to $50,000 divided by the difference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the closing price of one share of the company's Common Stock on the date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grant and $1.094, vesting immediately, compensation at the rate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 per year, and an option to purchase 8,000 shares per month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stock at $1.094 per share, vesting proportionally over the month so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 as he continued to serve as Acting President and CEO. Mr. Dunbar served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capacity until January 15, 2001. The Board extended the time for exercise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Mr. Dunbar's vested but unexercised options until October 15, 2001.</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REPORT OF THE AUDIT COMMITTEE</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As of the date hereof, the Audit Committee consists of Drs. Schwartz, Perlmutter and Levy. Each of the members of the Audit Committee is independent (as defined in the NASDAQ's listing standards). The Board of Directors has adopted a written charter for the Audit Committee.</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has reviewed and discussed with management the financial statements for fiscal year 2001 audited by Ernst &amp; Young LLP, the company's independent auditors. The Audit Committee has discussed with Ernst &amp; Young LLP various matters related to the financial statements, including those matters required to be discussed by SAS 61 (Codification of Statements on Auditing Standards, AU 380). The Audit Committee has also received the written disclosures and the letter from Ernst &amp; Young LLP required by Independence Standards Board Standard No. 1 (Independence Standards Board Standard No. 1, Independence Discussions with Audit Committees), and has discussed with Ernst &amp; Young LLP its independence. We received the following information concerning the fees of the independent accountants for the year ended December 31, 2001, and have considered whether the provision of these services is compatible with maintaining the independence of the independent accountants: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Audit Fees (including</w:t>
            </w:r>
          </w:p>
        </w:tc>
        <w:tc>
          <w:tcPr>
            <w:tcW w:w="34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review of 10-Qs)......................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169,456</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Systems Design and Implementation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All Other Fees (i.e.,</w:t>
            </w: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tax returns and review of other SEC</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filings)..................................................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53,284</w:t>
            </w:r>
          </w:p>
        </w:tc>
      </w:tr>
    </w:tbl>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Based upon such review and discussions the Audit Committee recommended to the Board of Directors that the audited financial statements be included in the company's Annual Report on Form 10-K for the fiscal year ending December 31, 2001 for filing with the Securities and Exchange Commission.</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AUDIT COMMITTEE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Schwartz</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Perlmutter</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Levy</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17 SHALL NOT BE INCORPORATED BY REFERENCE INTO ANY SUCH FILINGS.</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4" w:lineRule="exact"/>
        <w:rPr>
          <w:sz w:val="20"/>
          <w:szCs w:val="20"/>
          <w:color w:val="auto"/>
        </w:rPr>
      </w:pPr>
    </w:p>
    <w:p>
      <w:pPr>
        <w:ind w:right="4379" w:firstLine="355"/>
        <w:spacing w:after="0" w:line="238" w:lineRule="auto"/>
        <w:rPr>
          <w:sz w:val="20"/>
          <w:szCs w:val="20"/>
          <w:color w:val="auto"/>
        </w:rPr>
      </w:pPr>
      <w:r>
        <w:rPr>
          <w:rFonts w:ascii="Courier New" w:cs="Courier New" w:eastAsia="Courier New" w:hAnsi="Courier New"/>
          <w:sz w:val="15"/>
          <w:szCs w:val="15"/>
          <w:color w:val="auto"/>
        </w:rPr>
        <w:t>As of the date hereof, the Committee consists of Mr. Levin and Drs. Schwartz and Levy.</w:t>
      </w:r>
    </w:p>
    <w:p>
      <w:pPr>
        <w:spacing w:after="0" w:line="175" w:lineRule="exact"/>
        <w:rPr>
          <w:sz w:val="20"/>
          <w:szCs w:val="20"/>
          <w:color w:val="auto"/>
        </w:rPr>
      </w:pPr>
    </w:p>
    <w:p>
      <w:pPr>
        <w:jc w:val="both"/>
        <w:ind w:right="3219" w:firstLine="355"/>
        <w:spacing w:after="0" w:line="258" w:lineRule="auto"/>
        <w:rPr>
          <w:sz w:val="20"/>
          <w:szCs w:val="20"/>
          <w:color w:val="auto"/>
        </w:rPr>
      </w:pPr>
      <w:r>
        <w:rPr>
          <w:rFonts w:ascii="Courier New" w:cs="Courier New" w:eastAsia="Courier New" w:hAnsi="Courier New"/>
          <w:sz w:val="14"/>
          <w:szCs w:val="14"/>
          <w:color w:val="auto"/>
        </w:rPr>
        <w:t>The reorganization and rationalization of the company's operations begun in 2000 continued throughout 2001 and presented many unique challenges and periods of uncertainty for the company and its employees and executive officers.</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Throughout this period the company used it best efforts to continue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 For the fiscal year ended December 31, 2001, there were different levels of achievement</w:t>
      </w:r>
    </w:p>
    <w:p>
      <w:pPr>
        <w:sectPr>
          <w:pgSz w:w="11900" w:h="16901" w:orient="portrait"/>
          <w:cols w:equalWidth="0" w:num="1">
            <w:col w:w="10219"/>
          </w:cols>
          <w:pgMar w:left="240" w:top="139" w:right="1440" w:bottom="0" w:gutter="0" w:footer="0" w:header="0"/>
        </w:sectPr>
      </w:pPr>
    </w:p>
    <w:bookmarkStart w:id="9" w:name="page10"/>
    <w:bookmarkEnd w:id="9"/>
    <w:p>
      <w:pPr>
        <w:ind w:right="3119"/>
        <w:spacing w:after="0" w:line="264" w:lineRule="auto"/>
        <w:rPr>
          <w:sz w:val="20"/>
          <w:szCs w:val="20"/>
          <w:color w:val="auto"/>
        </w:rPr>
      </w:pPr>
      <w:r>
        <w:rPr>
          <w:rFonts w:ascii="Courier New" w:cs="Courier New" w:eastAsia="Courier New" w:hAnsi="Courier New"/>
          <w:sz w:val="14"/>
          <w:szCs w:val="14"/>
          <w:color w:val="auto"/>
        </w:rPr>
        <w:t>of strategic, scientific and business goals among the company's business units and the company attempted to ensure that rewards and compensation awarded to the company's employees, including executive officers, reflected those differences.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goals of the compensation program are to reward individual and team performance and to encourage future performance by aligning compensation with scientific and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72" w:lineRule="exact"/>
        <w:rPr>
          <w:sz w:val="20"/>
          <w:szCs w:val="20"/>
          <w:color w:val="auto"/>
        </w:rPr>
      </w:pPr>
    </w:p>
    <w:p>
      <w:pPr>
        <w:ind w:left="520" w:hanging="174"/>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pay competitively.</w:t>
      </w:r>
    </w:p>
    <w:p>
      <w:pPr>
        <w:spacing w:after="0" w:line="174"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committed to a compensation program that helps attract and retain the best people in the industry. To ensure that our compensation is competitive, we regularly compare our compensation levels with those companies we consider comparable and set our compensation parameters based on this review. We use the industry standard data from the Radford surveys to calibrate our cash compensation at approximately the 60th percentile of biotech companies' pay practices, in part reflecting the cost of living differential of the Bay Area. In 2001 we undertook a study to evaluate our competitiveness in the areas of base pay, incentive pay, and equity participation, and made appropriate adjustments to our compensation plan for 2002.</w:t>
      </w:r>
    </w:p>
    <w:p>
      <w:pPr>
        <w:spacing w:after="0" w:line="176"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compensate our executive officers for performance.</w:t>
      </w:r>
    </w:p>
    <w:p>
      <w:pPr>
        <w:spacing w:after="0" w:line="174" w:lineRule="exact"/>
        <w:rPr>
          <w:rFonts w:ascii="Courier New" w:cs="Courier New" w:eastAsia="Courier New" w:hAnsi="Courier New"/>
          <w:sz w:val="15"/>
          <w:szCs w:val="15"/>
          <w:color w:val="auto"/>
        </w:rPr>
      </w:pPr>
    </w:p>
    <w:p>
      <w:pPr>
        <w:ind w:left="520" w:right="3219" w:hanging="174"/>
        <w:spacing w:after="0" w:line="260"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6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currently used by the Committee.</w:t>
      </w:r>
    </w:p>
    <w:p>
      <w:pPr>
        <w:spacing w:after="0" w:line="159" w:lineRule="exact"/>
        <w:rPr>
          <w:sz w:val="20"/>
          <w:szCs w:val="20"/>
          <w:color w:val="auto"/>
        </w:rPr>
      </w:pPr>
    </w:p>
    <w:p>
      <w:pPr>
        <w:ind w:left="520" w:hanging="174"/>
        <w:spacing w:after="0"/>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strive for fairness in the administration of pay.</w:t>
      </w:r>
    </w:p>
    <w:p>
      <w:pPr>
        <w:spacing w:after="0" w:line="174"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strive to achieve a balance of the compensation paid to a particular individual and the compensation paid to other executive officers both inside the company and at comparable companies.</w:t>
      </w:r>
    </w:p>
    <w:p>
      <w:pPr>
        <w:spacing w:after="0" w:line="175"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believe that all employees, including executive officers, should understand and constructively participate in the performance evaluation process, which operates as follows:</w:t>
      </w:r>
    </w:p>
    <w:p>
      <w:pPr>
        <w:spacing w:after="0" w:line="175" w:lineRule="exact"/>
        <w:rPr>
          <w:rFonts w:ascii="Courier New" w:cs="Courier New" w:eastAsia="Courier New" w:hAnsi="Courier New"/>
          <w:sz w:val="15"/>
          <w:szCs w:val="15"/>
          <w:color w:val="auto"/>
        </w:rPr>
      </w:pPr>
    </w:p>
    <w:p>
      <w:pPr>
        <w:ind w:left="960" w:right="3299" w:hanging="348"/>
        <w:spacing w:after="0"/>
        <w:tabs>
          <w:tab w:leader="none" w:pos="9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74" w:lineRule="exact"/>
        <w:rPr>
          <w:rFonts w:ascii="Courier New" w:cs="Courier New" w:eastAsia="Courier New" w:hAnsi="Courier New"/>
          <w:sz w:val="15"/>
          <w:szCs w:val="15"/>
          <w:color w:val="auto"/>
        </w:rPr>
      </w:pPr>
    </w:p>
    <w:p>
      <w:pPr>
        <w:ind w:left="960" w:right="3219" w:hanging="348"/>
        <w:spacing w:after="0" w:line="238" w:lineRule="auto"/>
        <w:tabs>
          <w:tab w:leader="none" w:pos="9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about the employee's performance against established goals.</w:t>
      </w:r>
    </w:p>
    <w:p>
      <w:pPr>
        <w:spacing w:after="0" w:line="174" w:lineRule="exact"/>
        <w:rPr>
          <w:rFonts w:ascii="Courier New" w:cs="Courier New" w:eastAsia="Courier New" w:hAnsi="Courier New"/>
          <w:sz w:val="15"/>
          <w:szCs w:val="15"/>
          <w:color w:val="auto"/>
        </w:rPr>
      </w:pPr>
    </w:p>
    <w:p>
      <w:pPr>
        <w:jc w:val="both"/>
        <w:ind w:left="960" w:right="3299" w:hanging="348"/>
        <w:spacing w:after="0" w:line="239" w:lineRule="auto"/>
        <w:tabs>
          <w:tab w:leader="none" w:pos="9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175" w:lineRule="exact"/>
        <w:rPr>
          <w:rFonts w:ascii="Courier New" w:cs="Courier New" w:eastAsia="Courier New" w:hAnsi="Courier New"/>
          <w:sz w:val="15"/>
          <w:szCs w:val="15"/>
          <w:color w:val="auto"/>
        </w:rPr>
      </w:pPr>
    </w:p>
    <w:p>
      <w:pPr>
        <w:ind w:left="960" w:right="3119" w:hanging="348"/>
        <w:spacing w:after="0" w:line="238" w:lineRule="auto"/>
        <w:tabs>
          <w:tab w:leader="none" w:pos="9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evaluations of peers within the company.</w:t>
      </w:r>
    </w:p>
    <w:p>
      <w:pPr>
        <w:spacing w:after="0" w:line="174" w:lineRule="exact"/>
        <w:rPr>
          <w:rFonts w:ascii="Courier New" w:cs="Courier New" w:eastAsia="Courier New" w:hAnsi="Courier New"/>
          <w:sz w:val="15"/>
          <w:szCs w:val="15"/>
          <w:color w:val="auto"/>
        </w:rPr>
      </w:pPr>
    </w:p>
    <w:p>
      <w:pPr>
        <w:ind w:left="960" w:right="3119" w:hanging="348"/>
        <w:spacing w:after="0"/>
        <w:tabs>
          <w:tab w:leader="none" w:pos="9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Officer and the Human Resources Director review results of all evaluations except that of the Chief Executive Officer. These evaluations are subsequently discussed between the evaluating manager and the employee. In the case of the evaluation of the Chief Executive Officer, the Committee serves as the evaluating manager.</w:t>
      </w:r>
    </w:p>
    <w:p>
      <w:pPr>
        <w:spacing w:after="0" w:line="175" w:lineRule="exact"/>
        <w:rPr>
          <w:rFonts w:ascii="Courier New" w:cs="Courier New" w:eastAsia="Courier New" w:hAnsi="Courier New"/>
          <w:sz w:val="15"/>
          <w:szCs w:val="15"/>
          <w:color w:val="auto"/>
        </w:rPr>
      </w:pPr>
    </w:p>
    <w:p>
      <w:pPr>
        <w:ind w:left="960" w:right="3119" w:hanging="348"/>
        <w:spacing w:after="0" w:line="239" w:lineRule="auto"/>
        <w:tabs>
          <w:tab w:leader="none" w:pos="9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Committee, which reviews these results and approves (subject to their review) recommendations for compensation made by the Chief Executive Officer.</w:t>
      </w:r>
    </w:p>
    <w:p>
      <w:pPr>
        <w:spacing w:after="0" w:line="176" w:lineRule="exact"/>
        <w:rPr>
          <w:rFonts w:ascii="Courier New" w:cs="Courier New" w:eastAsia="Courier New" w:hAnsi="Courier New"/>
          <w:sz w:val="15"/>
          <w:szCs w:val="15"/>
          <w:color w:val="auto"/>
        </w:rPr>
      </w:pPr>
    </w:p>
    <w:p>
      <w:pPr>
        <w:ind w:left="960" w:right="3119" w:hanging="348"/>
        <w:spacing w:after="0" w:line="260" w:lineRule="auto"/>
        <w:tabs>
          <w:tab w:leader="none" w:pos="9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on cash compensation and, where appropriate, stock options or other long-term incentive compensation are based on the employee's evaluation compared with the evaluations of all employees of the company. Base pay decisions are also influenced by the employee's position relative to market compensation as reflected in the Radford surveys or other sources, in light of the company's policy of paying well-performing employees at approximately the 60th percentile of pay for comparable positions at biotech companies in the Bay Area.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VEHICLES</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w:t>
      </w:r>
    </w:p>
    <w:p>
      <w:pPr>
        <w:sectPr>
          <w:pgSz w:w="11900" w:h="16838" w:orient="portrait"/>
          <w:cols w:equalWidth="0" w:num="1">
            <w:col w:w="10219"/>
          </w:cols>
          <w:pgMar w:left="240" w:top="141" w:right="1440" w:bottom="0" w:gutter="0" w:footer="0" w:header="0"/>
        </w:sectPr>
      </w:pPr>
    </w:p>
    <w:bookmarkStart w:id="10" w:name="page11"/>
    <w:bookmarkEnd w:id="10"/>
    <w:p>
      <w:pPr>
        <w:spacing w:after="0" w:line="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jc w:val="both"/>
        <w:ind w:right="4199"/>
        <w:spacing w:after="0" w:line="271" w:lineRule="auto"/>
        <w:rPr>
          <w:sz w:val="20"/>
          <w:szCs w:val="20"/>
          <w:color w:val="auto"/>
        </w:rPr>
      </w:pPr>
      <w:r>
        <w:rPr>
          <w:rFonts w:ascii="Courier New" w:cs="Courier New" w:eastAsia="Courier New" w:hAnsi="Courier New"/>
          <w:sz w:val="14"/>
          <w:szCs w:val="14"/>
          <w:color w:val="auto"/>
        </w:rPr>
        <w:t>executive officers permits it to enhance shareholder value, motivate technological innovation and foster teamwork. The vehicles used are: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CASH-BASED COMPENSATION</w:t>
      </w:r>
    </w:p>
    <w:p>
      <w:pPr>
        <w:spacing w:after="0" w:line="174" w:lineRule="exact"/>
        <w:rPr>
          <w:sz w:val="20"/>
          <w:szCs w:val="20"/>
          <w:color w:val="auto"/>
        </w:rPr>
      </w:pPr>
    </w:p>
    <w:p>
      <w:pPr>
        <w:ind w:right="3299" w:firstLine="355"/>
        <w:spacing w:after="0" w:line="264" w:lineRule="auto"/>
        <w:rPr>
          <w:sz w:val="20"/>
          <w:szCs w:val="20"/>
          <w:color w:val="auto"/>
        </w:rPr>
      </w:pPr>
      <w:r>
        <w:rPr>
          <w:rFonts w:ascii="Courier New" w:cs="Courier New" w:eastAsia="Courier New" w:hAnsi="Courier New"/>
          <w:sz w:val="14"/>
          <w:szCs w:val="14"/>
          <w:color w:val="auto"/>
        </w:rPr>
        <w:t>SALARY--The company sets base salaries for executive officers by reviewing the base salary for individuals in competitive positions in the market and adjusting annually with increases that reflect individual performance.</w:t>
      </w:r>
    </w:p>
    <w:p>
      <w:pPr>
        <w:spacing w:after="0" w:line="159"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ANNUAL CASH BONUS--Executive officers and the Chief Executive Officer are eligible to receive an annual cash bonus upon the attainment of predetermined corporate objectives approved by the Committee at the beginning of the year, with progress against them reviewed at year-end to determine the appropriate bonus payment. At full achievement of objectives, the Chief Executive Officer would be targeted to receive a bonus of 25% of his annual base salary and the other executive officers to receive 15% of their respective annual base salaries. The amount actually paid in any one year may be more or less than the targeted bonus based on over or under achievement of objectives and the Committee's discretion. In 2001, the Chief Executive received a bonus of $68,750.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EQUITY-BASED COMPENSATION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STOCK OPTION PROGRAM--The purpose of our stock option program is to provide additional incentives to all employees including executive officers, to maximize shareholder value. We believe strongly in the use of stock options because they align employee interests directly with shareholder value. The option program also utilizes vesting periods to encourage executive officers to remain with the company and to encourage long-term increases in company stock value. We grant stock options to all employees upon hiring and anticipate that we will continue to use stock options as an incentive vehicle to encourage employee equity participation in our future. We have also implemented a program of cash awards for excellence in performance and attainment of goals.</w:t>
      </w:r>
    </w:p>
    <w:p>
      <w:pPr>
        <w:spacing w:after="0" w:line="166"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Although provided for under our incentive plans, we do not currently use stock appreciation rights as a compensation vehicle.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only executive officers of the company for the majority of 2001 were Martin McGlynn, who served as the company's President and CEO, and Ann Tsukamoto, who was Vice President, Scientific Operations and who has since been promoted to Vice President, Research and Development. Their compensation is described under "Employment and Severance Agreements" above.</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COMPENSATION AND STOCK OPTION COMMITTEE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Mark J. Levin</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Ricardo B. Levy</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John J. Schwartz</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STOCK PRICE PERFORMANCE.</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graph below compares the cumulative total returns on the company's Common Stock with the cumulative total returns of the Amex Biotechnology Stock Index and the S&amp;P 500 Index for the period from the company's initial public offering until December 31, 2001. (1)</w:t>
      </w:r>
    </w:p>
    <w:p>
      <w:pPr>
        <w:spacing w:after="0" w:line="17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COMPARISON OF CUMULATIVE TOTAL RETURNS ON COMMON STOCK OF STEMCELLS, INC., THE AMEX BIOTECHNOLOGY STOCK INDEX AND S&amp;P 500 INDEX FOR THE PERIOD FROM THE COMPANY'S INITIAL PUBLIC OFFERING UNTIL DECEMBER 31, 2001</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174"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4"/>
          <w:szCs w:val="14"/>
          <w:color w:val="auto"/>
        </w:rPr>
        <w:t>DOLLARS</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'95</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'00</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'01</w:t>
      </w:r>
    </w:p>
    <w:p>
      <w:pPr>
        <w:spacing w:after="0" w:line="3"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4"/>
          <w:szCs w:val="14"/>
          <w:color w:val="auto"/>
        </w:rPr>
        <w:t>COMPANY</w:t>
      </w:r>
    </w:p>
    <w:p>
      <w:pPr>
        <w:spacing w:after="0" w:line="9"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100</w:t>
      </w:r>
    </w:p>
    <w:p>
      <w:pPr>
        <w:sectPr>
          <w:pgSz w:w="11900" w:h="16893" w:orient="portrait"/>
          <w:cols w:equalWidth="0" w:num="1">
            <w:col w:w="10219"/>
          </w:cols>
          <w:pgMar w:left="240" w:top="139" w:right="1440" w:bottom="0" w:gutter="0" w:footer="0" w:header="0"/>
        </w:sectPr>
      </w:pPr>
    </w:p>
    <w:bookmarkStart w:id="11" w:name="page12"/>
    <w:bookmarkEnd w:id="11"/>
    <w:p>
      <w:pPr>
        <w:spacing w:after="0" w:line="55"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79.49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125.64</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46.15</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175.64</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92.31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41.03</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15.07</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15.07</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28.58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39.89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S&amp;P</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200</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INDEX</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110.41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121.53</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119.88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160.48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192.99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252.84</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263.53</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314.99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323.71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281.49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AMEX</w:t>
      </w:r>
    </w:p>
    <w:p>
      <w:pPr>
        <w:spacing w:after="0" w:line="3" w:lineRule="exact"/>
        <w:rPr>
          <w:sz w:val="20"/>
          <w:szCs w:val="20"/>
          <w:color w:val="auto"/>
        </w:rPr>
      </w:pPr>
    </w:p>
    <w:p>
      <w:pPr>
        <w:jc w:val="center"/>
        <w:ind w:right="9590"/>
        <w:spacing w:after="0"/>
        <w:rPr>
          <w:sz w:val="20"/>
          <w:szCs w:val="20"/>
          <w:color w:val="auto"/>
        </w:rPr>
      </w:pPr>
      <w:r>
        <w:rPr>
          <w:rFonts w:ascii="Courier New" w:cs="Courier New" w:eastAsia="Courier New" w:hAnsi="Courier New"/>
          <w:sz w:val="14"/>
          <w:szCs w:val="14"/>
          <w:color w:val="auto"/>
        </w:rPr>
        <w:t>BIOTECH</w:t>
      </w:r>
    </w:p>
    <w:p>
      <w:pPr>
        <w:spacing w:after="0" w:line="9"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INDEX</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94.41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64.07</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45.41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74.88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80</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89.88</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159.9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338.09</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343.1</w:t>
      </w:r>
    </w:p>
    <w:p>
      <w:pPr>
        <w:spacing w:after="0" w:line="1"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5"/>
          <w:szCs w:val="15"/>
          <w:color w:val="auto"/>
        </w:rPr>
        <w:t>314.03</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the company's Common Stock on the first day of trading on the NASDAQ National Market System. Cumulative total returns assume reinvestment of all dividends and a hypothetical investment of $100 on March 26, 1992.</w:t>
      </w:r>
    </w:p>
    <w:p>
      <w:pPr>
        <w:spacing w:after="0" w:line="174"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9" w:right="3479" w:firstLine="355"/>
        <w:spacing w:after="0" w:line="238" w:lineRule="auto"/>
        <w:rPr>
          <w:sz w:val="20"/>
          <w:szCs w:val="20"/>
          <w:color w:val="auto"/>
        </w:rPr>
      </w:pPr>
      <w:r>
        <w:rPr>
          <w:rFonts w:ascii="Courier New" w:cs="Courier New" w:eastAsia="Courier New" w:hAnsi="Courier New"/>
          <w:sz w:val="15"/>
          <w:szCs w:val="15"/>
          <w:color w:val="auto"/>
        </w:rPr>
        <w:t>The following table provides information on option grants in 2001 to the named executive officers.</w:t>
      </w:r>
    </w:p>
    <w:p>
      <w:pPr>
        <w:spacing w:after="0" w:line="172"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INDIVIDUAL GRANTS</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POTENTIAL REALIZABLE</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VALUE AT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ASSUMED ANNUAL NUMBER</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OF PERCENT OF RATES OF</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STOCK PRICE SECURITIES</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TOTAL OPTIONS EXERCISE</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APPRECIATION FOR</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OPTION UNDERLYING</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GRANTED TO OF BASE</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TERM(3) OPTIONS</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EMPLOYEES IN PRICE</w:t>
      </w:r>
    </w:p>
    <w:p>
      <w:pPr>
        <w:spacing w:after="0" w:line="1" w:lineRule="exact"/>
        <w:rPr>
          <w:sz w:val="20"/>
          <w:szCs w:val="20"/>
          <w:color w:val="auto"/>
        </w:rPr>
      </w:pPr>
    </w:p>
    <w:p>
      <w:pPr>
        <w:jc w:val="center"/>
        <w:ind w:right="8190"/>
        <w:spacing w:after="0"/>
        <w:rPr>
          <w:sz w:val="20"/>
          <w:szCs w:val="20"/>
          <w:color w:val="auto"/>
        </w:rPr>
      </w:pPr>
      <w:r>
        <w:rPr>
          <w:rFonts w:ascii="Courier New" w:cs="Courier New" w:eastAsia="Courier New" w:hAnsi="Courier New"/>
          <w:sz w:val="15"/>
          <w:szCs w:val="15"/>
          <w:color w:val="auto"/>
        </w:rPr>
        <w:t>EXPIRATION -----------</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NAME GRANTED FISCAL</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YEAR(1) ($/SHARE)(2)</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DATE 0% ($) 5% ($) 10%</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389" w:hanging="347"/>
        <w:spacing w:after="0"/>
        <w:tabs>
          <w:tab w:leader="none" w:pos="3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Martin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McGlynn................</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400,000 44.16% $2.875</w:t>
      </w:r>
    </w:p>
    <w:p>
      <w:pPr>
        <w:spacing w:after="0" w:line="1" w:lineRule="exact"/>
        <w:rPr>
          <w:sz w:val="20"/>
          <w:szCs w:val="20"/>
          <w:color w:val="auto"/>
        </w:rPr>
      </w:pPr>
    </w:p>
    <w:tbl>
      <w:tblPr>
        <w:tblLayout w:type="fixed"/>
        <w:tblInd w:w="49"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1/15/11</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-- 723,229</w:t>
            </w:r>
          </w:p>
        </w:tc>
      </w:tr>
      <w:tr>
        <w:trPr>
          <w:trHeight w:val="171"/>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1,832,804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8.28%</w:t>
            </w:r>
          </w:p>
        </w:tc>
      </w:tr>
      <w:tr>
        <w:trPr>
          <w:trHeight w:val="171"/>
        </w:trPr>
        <w:tc>
          <w:tcPr>
            <w:tcW w:w="19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$2.090 10/2/11 --</w:t>
            </w:r>
          </w:p>
        </w:tc>
      </w:tr>
      <w:tr>
        <w:trPr>
          <w:trHeight w:val="171"/>
        </w:trPr>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98,579 249,819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Ann</w:t>
            </w:r>
          </w:p>
        </w:tc>
      </w:tr>
      <w:tr>
        <w:trPr>
          <w:trHeight w:val="171"/>
        </w:trPr>
        <w:tc>
          <w:tcPr>
            <w:tcW w:w="1460" w:type="dxa"/>
            <w:vAlign w:val="bottom"/>
            <w:gridSpan w:val="2"/>
          </w:tcPr>
          <w:p>
            <w:pPr>
              <w:jc w:val="center"/>
              <w:ind w:left="406"/>
              <w:spacing w:after="0"/>
              <w:rPr>
                <w:sz w:val="20"/>
                <w:szCs w:val="20"/>
                <w:color w:val="auto"/>
              </w:rPr>
            </w:pPr>
            <w:r>
              <w:rPr>
                <w:rFonts w:ascii="Courier New" w:cs="Courier New" w:eastAsia="Courier New" w:hAnsi="Courier New"/>
                <w:sz w:val="15"/>
                <w:szCs w:val="15"/>
                <w:color w:val="auto"/>
                <w:w w:val="99"/>
              </w:rPr>
              <w:t>Tsukamoto,</w:t>
            </w:r>
          </w:p>
        </w:tc>
        <w:tc>
          <w:tcPr>
            <w:tcW w:w="480" w:type="dxa"/>
            <w:vAlign w:val="bottom"/>
          </w:tcPr>
          <w:p>
            <w:pPr>
              <w:spacing w:after="0"/>
              <w:rPr>
                <w:sz w:val="14"/>
                <w:szCs w:val="14"/>
                <w:color w:val="auto"/>
              </w:rPr>
            </w:pPr>
          </w:p>
        </w:tc>
      </w:tr>
    </w:tbl>
    <w:p>
      <w:pPr>
        <w:spacing w:after="0" w:line="171" w:lineRule="exact"/>
        <w:rPr>
          <w:sz w:val="20"/>
          <w:szCs w:val="20"/>
          <w:color w:val="auto"/>
        </w:rPr>
      </w:pPr>
    </w:p>
    <w:tbl>
      <w:tblPr>
        <w:tblLayout w:type="fixed"/>
        <w:tblInd w:w="49" w:type="dxa"/>
        <w:tblCellMar>
          <w:top w:w="0" w:type="dxa"/>
          <w:left w:w="0" w:type="dxa"/>
          <w:bottom w:w="0" w:type="dxa"/>
          <w:right w:w="0" w:type="dxa"/>
        </w:tblCellMar>
      </w:tblPr>
      <w:tr>
        <w:trPr>
          <w:trHeight w:val="170"/>
        </w:trPr>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w:t>
            </w:r>
          </w:p>
        </w:tc>
        <w:tc>
          <w:tcPr>
            <w:tcW w:w="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2"/>
              </w:rPr>
              <w:t>$3.100</w:t>
            </w:r>
          </w:p>
        </w:tc>
        <w:tc>
          <w:tcPr>
            <w:tcW w:w="720" w:type="dxa"/>
            <w:vAlign w:val="bottom"/>
          </w:tcPr>
          <w:p>
            <w:pPr>
              <w:ind w:left="20"/>
              <w:spacing w:after="0"/>
              <w:rPr>
                <w:sz w:val="20"/>
                <w:szCs w:val="20"/>
                <w:color w:val="auto"/>
              </w:rPr>
            </w:pPr>
            <w:r>
              <w:rPr>
                <w:rFonts w:ascii="Courier New" w:cs="Courier New" w:eastAsia="Courier New" w:hAnsi="Courier New"/>
                <w:sz w:val="15"/>
                <w:szCs w:val="15"/>
                <w:color w:val="auto"/>
              </w:rPr>
              <w:t>6/26/11</w:t>
            </w:r>
          </w:p>
        </w:tc>
      </w:tr>
      <w:tr>
        <w:trPr>
          <w:trHeight w:val="171"/>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19,375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55,930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112,011</w:t>
            </w:r>
          </w:p>
        </w:tc>
      </w:tr>
      <w:tr>
        <w:trPr>
          <w:trHeight w:val="171"/>
        </w:trPr>
        <w:tc>
          <w:tcPr>
            <w:tcW w:w="1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3,000 0.33%</w:t>
            </w:r>
          </w:p>
        </w:tc>
        <w:tc>
          <w:tcPr>
            <w:tcW w:w="720" w:type="dxa"/>
            <w:vAlign w:val="bottom"/>
          </w:tcPr>
          <w:p>
            <w:pPr>
              <w:ind w:left="20"/>
              <w:spacing w:after="0"/>
              <w:rPr>
                <w:sz w:val="20"/>
                <w:szCs w:val="20"/>
                <w:color w:val="auto"/>
              </w:rPr>
            </w:pPr>
            <w:r>
              <w:rPr>
                <w:rFonts w:ascii="Courier New" w:cs="Courier New" w:eastAsia="Courier New" w:hAnsi="Courier New"/>
                <w:sz w:val="15"/>
                <w:szCs w:val="15"/>
                <w:color w:val="auto"/>
              </w:rPr>
              <w:t>$4.290</w:t>
            </w:r>
          </w:p>
        </w:tc>
      </w:tr>
      <w:tr>
        <w:trPr>
          <w:trHeight w:val="171"/>
        </w:trPr>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8/2/11</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-- 8,094 20,511</w:t>
            </w:r>
          </w:p>
        </w:tc>
      </w:tr>
      <w:tr>
        <w:trPr>
          <w:trHeight w:val="171"/>
        </w:trPr>
        <w:tc>
          <w:tcPr>
            <w:tcW w:w="194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30,000 3.31% $2.620</w:t>
            </w:r>
          </w:p>
        </w:tc>
      </w:tr>
      <w:tr>
        <w:trPr>
          <w:trHeight w:val="171"/>
        </w:trPr>
        <w:tc>
          <w:tcPr>
            <w:tcW w:w="1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10/22/11 --</w:t>
            </w:r>
          </w:p>
        </w:tc>
        <w:tc>
          <w:tcPr>
            <w:tcW w:w="720" w:type="dxa"/>
            <w:vAlign w:val="bottom"/>
          </w:tcPr>
          <w:p>
            <w:pPr>
              <w:ind w:left="20"/>
              <w:spacing w:after="0"/>
              <w:rPr>
                <w:sz w:val="20"/>
                <w:szCs w:val="20"/>
                <w:color w:val="auto"/>
              </w:rPr>
            </w:pPr>
            <w:r>
              <w:rPr>
                <w:rFonts w:ascii="Courier New" w:cs="Courier New" w:eastAsia="Courier New" w:hAnsi="Courier New"/>
                <w:sz w:val="15"/>
                <w:szCs w:val="15"/>
                <w:color w:val="auto"/>
              </w:rPr>
              <w:t>49,431</w:t>
            </w:r>
          </w:p>
        </w:tc>
      </w:tr>
      <w:tr>
        <w:trPr>
          <w:trHeight w:val="171"/>
        </w:trPr>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125,268 Ronnda Bartel,</w:t>
            </w:r>
          </w:p>
        </w:tc>
      </w:tr>
      <w:tr>
        <w:trPr>
          <w:trHeight w:val="171"/>
        </w:trPr>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Ph.D...........</w:t>
            </w:r>
          </w:p>
        </w:tc>
        <w:tc>
          <w:tcPr>
            <w:tcW w:w="7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w:t>
            </w:r>
          </w:p>
        </w:tc>
      </w:tr>
    </w:tbl>
    <w:p>
      <w:pPr>
        <w:spacing w:after="0" w:line="1" w:lineRule="exact"/>
        <w:rPr>
          <w:sz w:val="20"/>
          <w:szCs w:val="20"/>
          <w:color w:val="auto"/>
        </w:rPr>
      </w:pPr>
    </w:p>
    <w:p>
      <w:pPr>
        <w:ind w:left="529" w:hanging="354"/>
        <w:spacing w:after="0"/>
        <w:tabs>
          <w:tab w:leader="none" w:pos="52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(4) (4) (4)</w:t>
      </w:r>
    </w:p>
    <w:p>
      <w:pPr>
        <w:ind w:left="789" w:hanging="348"/>
        <w:spacing w:after="0"/>
        <w:tabs>
          <w:tab w:leader="none" w:pos="789"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W.</w:t>
      </w:r>
    </w:p>
    <w:p>
      <w:pPr>
        <w:sectPr>
          <w:pgSz w:w="11900" w:h="16893" w:orient="portrait"/>
          <w:cols w:equalWidth="0" w:num="1">
            <w:col w:w="10228"/>
          </w:cols>
          <w:pgMar w:left="231" w:top="139" w:right="1440" w:bottom="0" w:gutter="0" w:footer="0" w:header="0"/>
        </w:sectPr>
      </w:pPr>
    </w:p>
    <w:bookmarkStart w:id="12" w:name="page13"/>
    <w:bookmarkEnd w:id="12"/>
    <w:p>
      <w:pPr>
        <w:spacing w:after="0" w:line="55" w:lineRule="exact"/>
        <w:rPr>
          <w:sz w:val="20"/>
          <w:szCs w:val="20"/>
          <w:color w:val="auto"/>
        </w:rPr>
      </w:pPr>
    </w:p>
    <w:tbl>
      <w:tblPr>
        <w:tblLayout w:type="fixed"/>
        <w:tblInd w:w="129" w:type="dxa"/>
        <w:tblCellMar>
          <w:top w:w="0" w:type="dxa"/>
          <w:left w:w="0" w:type="dxa"/>
          <w:bottom w:w="0" w:type="dxa"/>
          <w:right w:w="0" w:type="dxa"/>
        </w:tblCellMar>
      </w:tblPr>
      <w:tr>
        <w:trPr>
          <w:trHeight w:val="167"/>
        </w:trPr>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w w:val="70"/>
              </w:rPr>
              <w:t>Dunbar..............</w:t>
            </w:r>
          </w:p>
        </w:tc>
        <w:tc>
          <w:tcPr>
            <w:tcW w:w="480" w:type="dxa"/>
            <w:vAlign w:val="bottom"/>
          </w:tcPr>
          <w:p>
            <w:pPr>
              <w:spacing w:after="0"/>
              <w:rPr>
                <w:sz w:val="14"/>
                <w:szCs w:val="14"/>
                <w:color w:val="auto"/>
              </w:rPr>
            </w:pPr>
          </w:p>
        </w:tc>
      </w:tr>
      <w:tr>
        <w:trPr>
          <w:trHeight w:val="171"/>
        </w:trPr>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0.22% $1.094</w:t>
            </w:r>
          </w:p>
        </w:tc>
      </w:tr>
      <w:tr>
        <w:trPr>
          <w:trHeight w:val="171"/>
        </w:trPr>
        <w:tc>
          <w:tcPr>
            <w:tcW w:w="620" w:type="dxa"/>
            <w:vAlign w:val="bottom"/>
          </w:tcPr>
          <w:p>
            <w:pPr>
              <w:ind w:left="100"/>
              <w:spacing w:after="0"/>
              <w:rPr>
                <w:sz w:val="20"/>
                <w:szCs w:val="20"/>
                <w:color w:val="auto"/>
              </w:rPr>
            </w:pPr>
            <w:r>
              <w:rPr>
                <w:rFonts w:ascii="Courier New" w:cs="Courier New" w:eastAsia="Courier New" w:hAnsi="Courier New"/>
                <w:sz w:val="15"/>
                <w:szCs w:val="15"/>
                <w:color w:val="auto"/>
                <w:w w:val="92"/>
              </w:rPr>
              <w:t>1/8/11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2,188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6,263</w:t>
            </w:r>
          </w:p>
        </w:tc>
      </w:tr>
      <w:tr>
        <w:trPr>
          <w:trHeight w:val="171"/>
        </w:trPr>
        <w:tc>
          <w:tcPr>
            <w:tcW w:w="6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11,268</w:t>
            </w:r>
          </w:p>
        </w:tc>
        <w:tc>
          <w:tcPr>
            <w:tcW w:w="4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659" w:hanging="349"/>
        <w:spacing w:after="0" w:line="238"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covering 905,749 shares of Common Stock to employees in the fiscal year ended December 31, 2001.</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176" w:lineRule="exact"/>
        <w:rPr>
          <w:rFonts w:ascii="Courier New" w:cs="Courier New" w:eastAsia="Courier New" w:hAnsi="Courier New"/>
          <w:sz w:val="15"/>
          <w:szCs w:val="15"/>
          <w:color w:val="auto"/>
        </w:rPr>
      </w:pPr>
    </w:p>
    <w:p>
      <w:pPr>
        <w:ind w:left="349" w:right="3759" w:hanging="349"/>
        <w:spacing w:after="0" w:line="238"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Bartel was granted an option for 10,000 shares of Common Stock on June 26, 2001, but the option was subsequently cancelled.</w:t>
      </w:r>
    </w:p>
    <w:p>
      <w:pPr>
        <w:spacing w:after="0" w:line="17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AGGREGATED OPTION EXERCISES IN LAST FISCAL YEAR AND FISCAL</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YEAR-END OPTION VALUES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about option exercises in 2001 by the named executive officers and the value of such officers' unexercised options at December 31, 2001.</w:t>
      </w:r>
    </w:p>
    <w:p>
      <w:pPr>
        <w:spacing w:after="0" w:line="172"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NUMBER OF SECURITIES</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SHARES UNDERLYING</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UNEXERCISED VALUE OF</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UNEXERCISED IN-THE-</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ACQUIRED OPTIONS AT</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FISCAL YEAR END MONEY</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OPTIONS AT ON VALUE (1)</w:t>
      </w:r>
    </w:p>
    <w:p>
      <w:pPr>
        <w:spacing w:after="0" w:line="3" w:lineRule="exact"/>
        <w:rPr>
          <w:sz w:val="20"/>
          <w:szCs w:val="20"/>
          <w:color w:val="auto"/>
        </w:rPr>
      </w:pPr>
    </w:p>
    <w:p>
      <w:pPr>
        <w:ind w:left="349" w:right="8099" w:hanging="260"/>
        <w:spacing w:after="0" w:line="258" w:lineRule="auto"/>
        <w:tabs>
          <w:tab w:leader="none" w:pos="43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 ($) NAME EXERCISE (#)</w:t>
      </w:r>
    </w:p>
    <w:p>
      <w:pPr>
        <w:ind w:left="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REALIZED ($)</w:t>
      </w:r>
    </w:p>
    <w:p>
      <w:pPr>
        <w:spacing w:after="0" w:line="342" w:lineRule="exact"/>
        <w:rPr>
          <w:sz w:val="20"/>
          <w:szCs w:val="20"/>
          <w:color w:val="auto"/>
        </w:rPr>
      </w:pPr>
    </w:p>
    <w:p>
      <w:pPr>
        <w:ind w:left="449" w:hanging="360"/>
        <w:spacing w:after="0"/>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Martin McGlynn..........</w:t>
      </w:r>
    </w:p>
    <w:p>
      <w:pPr>
        <w:spacing w:after="0" w:line="3" w:lineRule="exact"/>
        <w:rPr>
          <w:rFonts w:ascii="Courier New" w:cs="Courier New" w:eastAsia="Courier New" w:hAnsi="Courier New"/>
          <w:sz w:val="15"/>
          <w:szCs w:val="15"/>
          <w:color w:val="auto"/>
        </w:rPr>
      </w:pPr>
    </w:p>
    <w:p>
      <w:pPr>
        <w:jc w:val="center"/>
        <w:ind w:left="49" w:right="8059" w:firstLine="4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0 -- 0/475,000 0/$351,000 Ann Tsukamoto, Ph.D..... 0 -</w:t>
      </w:r>
    </w:p>
    <w:p>
      <w:pPr>
        <w:ind w:left="569" w:hanging="170"/>
        <w:spacing w:after="0"/>
        <w:tabs>
          <w:tab w:leader="none" w:pos="569"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121,149/35,601</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$152,720/$37,381 Ronnda</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Bartel, Ph.D..... 23,541</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64,707 0/0 0/0 George W.</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Dunbar........ 45,031</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132,225 0/0 0/0</w:t>
      </w:r>
    </w:p>
    <w:p>
      <w:pPr>
        <w:spacing w:after="0" w:line="342" w:lineRule="exact"/>
        <w:rPr>
          <w:sz w:val="20"/>
          <w:szCs w:val="20"/>
          <w:color w:val="auto"/>
        </w:rPr>
      </w:pPr>
    </w:p>
    <w:p>
      <w:pPr>
        <w:ind w:left="169" w:hanging="169"/>
        <w:spacing w:after="0"/>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December 31, 2001.</w:t>
      </w:r>
    </w:p>
    <w:p>
      <w:pPr>
        <w:spacing w:after="0" w:line="174" w:lineRule="exact"/>
        <w:rPr>
          <w:sz w:val="20"/>
          <w:szCs w:val="20"/>
          <w:color w:val="auto"/>
        </w:rPr>
      </w:pPr>
    </w:p>
    <w:p>
      <w:pPr>
        <w:ind w:left="349" w:right="3119" w:hanging="349"/>
        <w:spacing w:after="0" w:line="239" w:lineRule="auto"/>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31, 2001 (the last trading day of 2001) on the NASDAQ National Market System was $3.49. The numbers shown reflect the value of options accumulated over all years of employment.</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PROPOSAL NUMBER 1</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number of directors is currently fixed at six. Our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II directors, as Class II directors for a term of three years expiring at the 2005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II directors and the incumbent Class I and III directors are as follows:</w:t>
      </w:r>
    </w:p>
    <w:p>
      <w:pPr>
        <w:spacing w:after="0" w:line="333"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NOMINEES FOR ELECTION AS CLASS II DIRECTORS -- TERMS EXPIRE 2005</w:t>
      </w:r>
    </w:p>
    <w:p>
      <w:pPr>
        <w:spacing w:after="0" w:line="17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PRINCIPAL</w:t>
      </w:r>
    </w:p>
    <w:p>
      <w:pPr>
        <w:spacing w:after="0" w:line="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OCCUPATION</w:t>
      </w:r>
    </w:p>
    <w:p>
      <w:pPr>
        <w:spacing w:after="0" w:line="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AGE</w:t>
      </w:r>
    </w:p>
    <w:p>
      <w:pPr>
        <w:spacing w:after="0" w:line="1" w:lineRule="exact"/>
        <w:rPr>
          <w:sz w:val="20"/>
          <w:szCs w:val="20"/>
          <w:color w:val="auto"/>
        </w:rPr>
      </w:pPr>
    </w:p>
    <w:p>
      <w:pPr>
        <w:jc w:val="center"/>
        <w:ind w:right="9250"/>
        <w:spacing w:after="0"/>
        <w:rPr>
          <w:sz w:val="20"/>
          <w:szCs w:val="20"/>
          <w:color w:val="auto"/>
        </w:rPr>
      </w:pPr>
      <w:r>
        <w:rPr>
          <w:rFonts w:ascii="Courier New" w:cs="Courier New" w:eastAsia="Courier New" w:hAnsi="Courier New"/>
          <w:sz w:val="15"/>
          <w:szCs w:val="15"/>
          <w:color w:val="auto"/>
        </w:rPr>
        <w:t>POSITION -</w:t>
      </w:r>
    </w:p>
    <w:p>
      <w:pPr>
        <w:spacing w:after="0" w:line="1" w:lineRule="exact"/>
        <w:rPr>
          <w:sz w:val="20"/>
          <w:szCs w:val="20"/>
          <w:color w:val="auto"/>
        </w:rPr>
      </w:pPr>
    </w:p>
    <w:p>
      <w:pPr>
        <w:ind w:left="489" w:hanging="449"/>
        <w:spacing w:after="0"/>
        <w:tabs>
          <w:tab w:leader="none" w:pos="48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93" w:orient="portrait"/>
          <w:cols w:equalWidth="0" w:num="1">
            <w:col w:w="10228"/>
          </w:cols>
          <w:pgMar w:left="231" w:top="141" w:right="1440" w:bottom="0" w:gutter="0" w:footer="0" w:header="0"/>
        </w:sectPr>
      </w:pPr>
    </w:p>
    <w:bookmarkStart w:id="13" w:name="page14"/>
    <w:bookmarkEnd w:id="13"/>
    <w:p>
      <w:pPr>
        <w:spacing w:after="0" w:line="7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 w:hanging="349"/>
        <w:spacing w:after="0"/>
        <w:tabs>
          <w:tab w:leader="none" w:pos="3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Irving</w:t>
      </w:r>
    </w:p>
    <w:p>
      <w:pPr>
        <w:spacing w:after="0" w:line="3" w:lineRule="exact"/>
        <w:rPr>
          <w:rFonts w:ascii="Courier New" w:cs="Courier New" w:eastAsia="Courier New" w:hAnsi="Courier New"/>
          <w:sz w:val="15"/>
          <w:szCs w:val="15"/>
          <w:color w:val="auto"/>
        </w:rPr>
      </w:pPr>
    </w:p>
    <w:p>
      <w:pPr>
        <w:jc w:val="center"/>
        <w:ind w:right="9259" w:firstLine="8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Weissman, M.D........</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Professor,</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Stanford</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62</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5"/>
          <w:szCs w:val="15"/>
          <w:color w:val="auto"/>
        </w:rPr>
      </w:pPr>
    </w:p>
    <w:p>
      <w:pPr>
        <w:jc w:val="both"/>
        <w:ind w:left="40" w:right="9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University Ricardo B.</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Levy,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Ph.D.......</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Board, 56</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Catalytica</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Energy</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Systems,</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w:t>
      </w:r>
    </w:p>
    <w:p>
      <w:pPr>
        <w:spacing w:after="0" w:line="345"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Irving L. Weissman, M.D. was elected to the Board of Directors of the company in September 1997. Dr. Weissman is the Karel and Avice Beekhuis Professor of Cancer Biology, Professor of Pathology and Professor of Developmental Biology at Stanford University. Dr. Weissman is a cofounder and was a member of the Scientific Advisory Board of SyStemix, Inc. He has also served on the Scientific Advisory Boards of Amgen Inc., DNAX and T-Cell Sciences, Inc., all of which are biotechnology companies. Dr. Weissman is a member of the National Academy of Sciences and also serves as Chairman of the Scientific Advisory Board of the company.</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Ricardo B. Levy is Chairman of the Board of Catalytica Energy</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Systems, Inc., and has been a member of its Board of Directors since June 1995, when the company was formed as a subsidiary of Catalytica, Inc. He also served as director of Catalytica Pharmaceuticals Inc. from 1995 to 2000. Dr. Levy was a founder of Catalytica, Inc. in 1974, serving as Chief Operating Officer from 1974 until 1991 and President and Chief Executive Officer until December 2000, when Catalytica, Inc. and Catalytica Pharmaceuticals Inc. were sold to DSM N.V. Before founding Catalytica, Inc., Dr. Levy was a founding member of Exxon's chemical physics research team, and prior to that served as Chief Executive Officer of Sudamericana C.A. in Quito, Ecuador. He currently also serves on the Board of Directors of Pharmacopeia, Inc. and NovoDynamics, Inc. Dr. Levy holds an M.S. from Princeton University, a Ph.D. in chemical engineering from Stanford University and is an alumnus of Harvard University's Executive Management Program.</w:t>
      </w:r>
    </w:p>
    <w:p>
      <w:pPr>
        <w:spacing w:after="0" w:line="180"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BOARD OF DIRECTORS RECOMMENDS THAT STOCKHOLDERS VOTE FOR THE ELECTION OF THE NOMINEES DESCRIBED ABOVE</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INCUMBENT CLASS I DIRECTORS -- TERMS EXPIRE 2004</w:t>
      </w:r>
    </w:p>
    <w:p>
      <w:pPr>
        <w:spacing w:after="0" w:line="17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NAME PRINCIPAL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OCCUPATION AGE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POSITION -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Mark 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Levin.............</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Chairman of the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Board and Chief</w:t>
      </w:r>
    </w:p>
    <w:p>
      <w:pPr>
        <w:spacing w:after="0" w:line="1" w:lineRule="exact"/>
        <w:rPr>
          <w:sz w:val="20"/>
          <w:szCs w:val="20"/>
          <w:color w:val="auto"/>
        </w:rPr>
      </w:pPr>
    </w:p>
    <w:p>
      <w:pPr>
        <w:ind w:left="560" w:hanging="261"/>
        <w:spacing w:after="0"/>
        <w:tabs>
          <w:tab w:leader="none" w:pos="5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Millennium</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Pharmaceuticals,</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 John J.</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Schwartz,</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Ph.D....</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ind w:left="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Quantum</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Strategies 68</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the</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Board</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w:t>
      </w:r>
    </w:p>
    <w:p>
      <w:pPr>
        <w:spacing w:after="0" w:line="177" w:lineRule="exact"/>
        <w:rPr>
          <w:sz w:val="20"/>
          <w:szCs w:val="20"/>
          <w:color w:val="auto"/>
        </w:rPr>
      </w:pPr>
    </w:p>
    <w:p>
      <w:pPr>
        <w:ind w:right="3119" w:firstLine="355"/>
        <w:spacing w:after="0" w:line="271" w:lineRule="auto"/>
        <w:rPr>
          <w:sz w:val="20"/>
          <w:szCs w:val="20"/>
          <w:color w:val="auto"/>
        </w:rPr>
      </w:pPr>
      <w:r>
        <w:rPr>
          <w:rFonts w:ascii="Courier New" w:cs="Courier New" w:eastAsia="Courier New" w:hAnsi="Courier New"/>
          <w:sz w:val="14"/>
          <w:szCs w:val="14"/>
          <w:color w:val="auto"/>
        </w:rPr>
        <w:t>John J. Schwartz, Ph.D. was elected to the Board of Directors of the company in December 1998 and was elected Chairman of the Board at the same time. He is</w:t>
      </w:r>
    </w:p>
    <w:p>
      <w:pPr>
        <w:sectPr>
          <w:pgSz w:w="11900" w:h="16913" w:orient="portrait"/>
          <w:cols w:equalWidth="0" w:num="1">
            <w:col w:w="10219"/>
          </w:cols>
          <w:pgMar w:left="240" w:top="139" w:right="1440" w:bottom="0" w:gutter="0" w:footer="0" w:header="0"/>
        </w:sectPr>
      </w:pPr>
    </w:p>
    <w:bookmarkStart w:id="14" w:name="page15"/>
    <w:bookmarkEnd w:id="14"/>
    <w:p>
      <w:pPr>
        <w:spacing w:after="0" w:line="5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former President and Chief Executive Officer of SyStemix, Inc. Dr. Schwartz is currently President of Quantum Strategies Management Company, a registered investment advisor located in Atherton,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1965.</w:t>
      </w:r>
    </w:p>
    <w:p>
      <w:pPr>
        <w:spacing w:after="0" w:line="17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INCUMBENT CLASS III DIRECTORS -- TERMS EXPIRE 2003</w:t>
      </w:r>
    </w:p>
    <w:p>
      <w:pPr>
        <w:spacing w:after="0" w:line="171"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5"/>
          <w:szCs w:val="15"/>
          <w:color w:val="auto"/>
        </w:rPr>
        <w:t>NAME PRINCIPAL</w:t>
      </w:r>
    </w:p>
    <w:p>
      <w:pPr>
        <w:spacing w:after="0" w:line="1"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5"/>
          <w:szCs w:val="15"/>
          <w:color w:val="auto"/>
        </w:rPr>
        <w:t>OCCUPATION AGE POSITION</w:t>
      </w:r>
    </w:p>
    <w:p>
      <w:pPr>
        <w:spacing w:after="0" w:line="1" w:lineRule="exact"/>
        <w:rPr>
          <w:sz w:val="20"/>
          <w:szCs w:val="20"/>
          <w:color w:val="auto"/>
        </w:rPr>
      </w:pPr>
    </w:p>
    <w:p>
      <w:pPr>
        <w:ind w:left="220" w:hanging="185"/>
        <w:spacing w:after="0"/>
        <w:tabs>
          <w:tab w:leader="none" w:pos="2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Martin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McGlynn..................</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and Chief 55</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Executive</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 Executive</w:t>
      </w:r>
    </w:p>
    <w:p>
      <w:pPr>
        <w:spacing w:after="0" w:line="3" w:lineRule="exact"/>
        <w:rPr>
          <w:rFonts w:ascii="Courier New" w:cs="Courier New" w:eastAsia="Courier New" w:hAnsi="Courier New"/>
          <w:sz w:val="15"/>
          <w:szCs w:val="15"/>
          <w:color w:val="auto"/>
        </w:rPr>
      </w:pPr>
    </w:p>
    <w:p>
      <w:pPr>
        <w:jc w:val="center"/>
        <w:ind w:left="40" w:right="80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 StemCells, Inc. Roger Perlmutter, M.D., Ph.D.... Vice President, Research, 49 Director Amgen, Inc.</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w:t>
      </w:r>
    </w:p>
    <w:p>
      <w:pPr>
        <w:spacing w:after="0" w:line="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has been a member of the board of directors of The Irvington Institute for Immunological Research since 1997 and of the Institute for Systems Biology since 1999.</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Dr. Perlmutter is licensed to practice medicine in the State of California and the State of Washington. He was graduated from Reed College in 1973 and received his M.D. and Ph.D. degrees from Washington University, St. Louis, Missouri in 1979.</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PROPOSAL NUMBER 2</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Company is asking the stockholders to ratify the selection of Ernst &amp; Young LLP as the Company's independent public accountants for the fiscal year ending December 31, 2002. The affirmative vote of the holders of a majority of the shares represented and voting at the Annual Meeting will be required to ratify the selection of Ernst &amp; Young LLP.</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 representative of Ernst &amp; Young LLP is expected to attend the Annual Meeting and is not expected to make a statement, but will be available to respond to appropriate questions and may make a statement if such representative desires to do so.</w:t>
      </w:r>
    </w:p>
    <w:p>
      <w:pPr>
        <w:spacing w:after="0" w:line="176"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THE BOARD OF DIRECTORS RECOMMENDS THAT STOCKHOLDERS VOTE FOR THE PROPOSAL TO RATIFY THE SELECTION OF ERNST &amp; YOUNG LLP AS THE COMPANY'S INDEPENDENT PUBLIC ACCOUNTANTS FOR THE FISCAL YEAR ENDING DECEMBER 31, 2002.</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PROPOSAL NUMBER 3</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February 12, 2002 the Board of Directors voted, subject to approval by the stockholders, to amend Article 4 of the Company's Certificate of Incorporation to increase the number of shares of Common Stock, par value $0.01 per share, the Company is authorized to issue from 45,000,000 to 75,000,000 shares (the "Share Amendment").</w:t>
      </w:r>
    </w:p>
    <w:p>
      <w:pPr>
        <w:sectPr>
          <w:pgSz w:w="11900" w:h="16893" w:orient="portrait"/>
          <w:cols w:equalWidth="0" w:num="1">
            <w:col w:w="10219"/>
          </w:cols>
          <w:pgMar w:left="240" w:top="141" w:right="1440" w:bottom="0" w:gutter="0" w:footer="0" w:header="0"/>
        </w:sectPr>
      </w:pPr>
    </w:p>
    <w:bookmarkStart w:id="15" w:name="page16"/>
    <w:bookmarkEnd w:id="15"/>
    <w:p>
      <w:pPr>
        <w:ind w:right="3119" w:firstLine="355"/>
        <w:spacing w:after="0"/>
        <w:rPr>
          <w:sz w:val="20"/>
          <w:szCs w:val="20"/>
          <w:color w:val="auto"/>
        </w:rPr>
      </w:pPr>
      <w:r>
        <w:rPr>
          <w:rFonts w:ascii="Courier New" w:cs="Courier New" w:eastAsia="Courier New" w:hAnsi="Courier New"/>
          <w:sz w:val="15"/>
          <w:szCs w:val="15"/>
          <w:color w:val="auto"/>
        </w:rPr>
        <w:t>On March 25, 2002, the Company had 24,220,618 shares of Common Stock outstanding and 14,931,031 shares of Common Stock reserved for specific purposes, including issuance upon exercise of outstanding stock options or for future awards under its equity incentive plans and 401(k) plan, conversion of either of the Company's series of preferred stock, the exercise of warrants to purchase Common Stock issued by the Company, and draws upon its equity line. On March 7, 2002, we filed a registration statement on Form S-3 covering the registration of 15,000,000 shares of our Common Stock (the "Shelf Registration"). Based on the number of outstanding and reserved shares set out above, if the shareholders do not approve the Share Amendment, we may not be able to issue all of the shares covered by the Shelf Registration. The Company currently does not have any definitive plans, commitments or understandings with respect to the issuance of the additional shares of Common Stock that would be authorized by the Share Amendment. The Board of Directors believes that it is desirable to have available a substantial number of authorized but unissued shares of Common Stock which may be issued from time to time, without further action by the stockholders, to provide for stock splits or stock dividends, stock options and other equity incentives, to be able to take advantage of acquisition opportunities, to facilitate the consummation of license, development or other similar agreements which would allow the Company to use third party technology, to meet future capital needs and for other general corporate purposes.</w:t>
      </w:r>
    </w:p>
    <w:p>
      <w:pPr>
        <w:spacing w:after="0" w:line="18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issuance of additional authorized shares of Common Stock may dilute the voting power and equity interest of present stockholders. It is not possible to predict in advance whether the issuance of additional shares will have a dilutive effect on earnings per share as it depends on the specific events associated with a particular transaction. Shares of authorized but unissued Common Stock may be issued from time to time by the Board of Directors without further stockholder action unless such action is required by Delaware law, under which the Company is incorporated, the Company's Certificate of Incorporation, or the rules of the Nasdaq National Market System ("NASDAQ"). Additional authorized but unissued shares of Common Stock might be used in the context of a defense against or response to possible or threatened hostile takeovers. The Board of Directors has concluded, however, that the advantages of the additional authorized shares outweigh any potential disadvantages. The Board of Directors believes that approval of the increase in the authorized shares is in the best interest of the stockholders because it would facilitate the Company's business and financial purposes in the future without the necessity of delaying such activities for further stockholder approvals, except as may be required in a particular case by Delaware law, the Company's Certificate of Incorporation, or the rules of NASDAQ.</w:t>
      </w:r>
    </w:p>
    <w:p>
      <w:pPr>
        <w:spacing w:after="0" w:line="333"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THE BOARD OF DIRECTORS RECOMMENDS THAT STOCKHOLDERS VOTE FOR THE PROPOSAL TO AMEND THE CERTIFICATE OF INCORPORATION TO INCREASE THE NUMBER OF SHARES OF COMMON STOCK THE COMPANY IS AUTHORIZED TO ISSUE FROM 45,000,000 TO 75,000,000.</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OTHER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MATTERS</w:t>
      </w:r>
    </w:p>
    <w:p>
      <w:pPr>
        <w:spacing w:after="0" w:line="174" w:lineRule="exact"/>
        <w:rPr>
          <w:sz w:val="20"/>
          <w:szCs w:val="20"/>
          <w:color w:val="auto"/>
        </w:rPr>
      </w:pPr>
    </w:p>
    <w:p>
      <w:pPr>
        <w:jc w:val="both"/>
        <w:ind w:right="3659" w:firstLine="355"/>
        <w:spacing w:after="0" w:line="239" w:lineRule="auto"/>
        <w:rPr>
          <w:sz w:val="20"/>
          <w:szCs w:val="20"/>
          <w:color w:val="auto"/>
        </w:rPr>
      </w:pPr>
      <w:r>
        <w:rPr>
          <w:rFonts w:ascii="Courier New" w:cs="Courier New" w:eastAsia="Courier New" w:hAnsi="Courier New"/>
          <w:sz w:val="15"/>
          <w:szCs w:val="15"/>
          <w:color w:val="auto"/>
        </w:rPr>
        <w:t>The Board of Directors has selected the independent accounting firm of Ernst &amp; Young LLP to audit the accounts of the Company for the year ending December 31, 2002.</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2001 is expected to be present at the Annual Meeting of Stockholders and will be afforded the opportunity to make a statement if he or she desires to do so and is expected to be available to reply to appropriate stockholder inquiries.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December 5, 2002.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COMPANY'S ANNUAL REPORT ON FORM 10-K FOR THE FISCAL 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(WITHOUT EXHIBITS), AS FILED WITH THE SECURITIES AND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IS AVAILABLE WITHOUT CHARGE UPON REQUEST BY WRITING TO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3155 PORTER DRIVE, PALO ALTO, CA 94304, ATTENTION: INVESTOR RELATIONS.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Based solely on the Company's review of copies of such forms it has received, the Company believes that all of its officers, directors and greater than ten percent beneficial owners complied on a timely basis with all filing requirements applicable to them for the year ended December 31,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0"/>
          <w:szCs w:val="20"/>
          <w:color w:val="auto"/>
        </w:rPr>
      </w:pPr>
    </w:p>
    <w:p>
      <w:pPr>
        <w:ind w:right="3479" w:firstLine="355"/>
        <w:spacing w:after="0" w:line="271" w:lineRule="auto"/>
        <w:rPr>
          <w:sz w:val="20"/>
          <w:szCs w:val="20"/>
          <w:color w:val="auto"/>
        </w:rPr>
      </w:pPr>
      <w:r>
        <w:rPr>
          <w:rFonts w:ascii="Courier New" w:cs="Courier New" w:eastAsia="Courier New" w:hAnsi="Courier New"/>
          <w:sz w:val="14"/>
          <w:szCs w:val="14"/>
          <w:color w:val="auto"/>
        </w:rPr>
        <w:t>Items 7, 7A, 8 and 9 of the Company's Annual Report on Form 10-K for the fiscal year ended December 31, 2001 are incorporated herein by reference.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w:t>
      </w:r>
    </w:p>
    <w:p>
      <w:pPr>
        <w:sectPr>
          <w:pgSz w:w="11900" w:h="16838" w:orient="portrait"/>
          <w:cols w:equalWidth="0" w:num="1">
            <w:col w:w="10219"/>
          </w:cols>
          <w:pgMar w:left="240" w:top="312" w:right="1440" w:bottom="0" w:gutter="0" w:footer="0" w:header="0"/>
        </w:sectPr>
      </w:pPr>
    </w:p>
    <w:bookmarkStart w:id="16" w:name="page17"/>
    <w:bookmarkEnd w:id="16"/>
    <w:p>
      <w:pPr>
        <w:spacing w:after="0" w:line="55" w:lineRule="exact"/>
        <w:rPr>
          <w:sz w:val="20"/>
          <w:szCs w:val="20"/>
          <w:color w:val="auto"/>
        </w:rPr>
      </w:pPr>
    </w:p>
    <w:p>
      <w:pPr>
        <w:ind w:left="9" w:right="4700" w:firstLine="355"/>
        <w:spacing w:after="0" w:line="239"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authority to act in their discretion.</w:t>
      </w:r>
    </w:p>
    <w:p>
      <w:pPr>
        <w:spacing w:after="0" w:line="174"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By Order</w:t>
      </w:r>
    </w:p>
    <w:p>
      <w:pPr>
        <w:spacing w:after="0" w:line="1"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of the</w:t>
      </w:r>
    </w:p>
    <w:p>
      <w:pPr>
        <w:spacing w:after="0" w:line="1"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Board of</w:t>
      </w:r>
    </w:p>
    <w:p>
      <w:pPr>
        <w:spacing w:after="0" w:line="3"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4"/>
          <w:szCs w:val="14"/>
          <w:color w:val="auto"/>
        </w:rPr>
        <w:t>Directors</w:t>
      </w:r>
    </w:p>
    <w:p>
      <w:pPr>
        <w:spacing w:after="0" w:line="9"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Iris</w:t>
      </w:r>
    </w:p>
    <w:p>
      <w:pPr>
        <w:spacing w:after="0" w:line="1"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Brest</w:t>
      </w:r>
    </w:p>
    <w:p>
      <w:pPr>
        <w:spacing w:after="0" w:line="3"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4"/>
          <w:szCs w:val="14"/>
          <w:color w:val="auto"/>
        </w:rPr>
        <w:t>SECRETARY</w:t>
      </w:r>
    </w:p>
    <w:p>
      <w:pPr>
        <w:spacing w:after="0" w:line="9"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April 4,</w:t>
      </w:r>
    </w:p>
    <w:p>
      <w:pPr>
        <w:spacing w:after="0" w:line="1" w:lineRule="exact"/>
        <w:rPr>
          <w:sz w:val="20"/>
          <w:szCs w:val="20"/>
          <w:color w:val="auto"/>
        </w:rPr>
      </w:pPr>
    </w:p>
    <w:p>
      <w:pPr>
        <w:jc w:val="center"/>
        <w:ind w:right="10731"/>
        <w:spacing w:after="0"/>
        <w:rPr>
          <w:sz w:val="20"/>
          <w:szCs w:val="20"/>
          <w:color w:val="auto"/>
        </w:rPr>
      </w:pPr>
      <w:r>
        <w:rPr>
          <w:rFonts w:ascii="Courier New" w:cs="Courier New" w:eastAsia="Courier New" w:hAnsi="Courier New"/>
          <w:sz w:val="15"/>
          <w:szCs w:val="15"/>
          <w:color w:val="auto"/>
        </w:rPr>
        <w:t>2002</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pacing w:after="0" w:line="342" w:lineRule="exact"/>
        <w:rPr>
          <w:sz w:val="20"/>
          <w:szCs w:val="20"/>
          <w:color w:val="auto"/>
        </w:rPr>
      </w:pPr>
    </w:p>
    <w:p>
      <w:pPr>
        <w:jc w:val="center"/>
        <w:ind w:right="4691"/>
        <w:spacing w:after="0"/>
        <w:rPr>
          <w:sz w:val="20"/>
          <w:szCs w:val="20"/>
          <w:color w:val="auto"/>
        </w:rPr>
      </w:pPr>
      <w:r>
        <w:rPr>
          <w:rFonts w:ascii="Courier New" w:cs="Courier New" w:eastAsia="Courier New" w:hAnsi="Courier New"/>
          <w:sz w:val="15"/>
          <w:szCs w:val="15"/>
          <w:color w:val="auto"/>
        </w:rPr>
        <w:t>DETACH HERE</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PROXY</w:t>
      </w:r>
    </w:p>
    <w:p>
      <w:pPr>
        <w:spacing w:after="0" w:line="17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ANNUAL MEETING OF STOCKHOLDERS, MAY 2, 2002</w:t>
      </w:r>
    </w:p>
    <w:p>
      <w:pPr>
        <w:spacing w:after="0" w:line="17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left="9" w:right="4700" w:firstLine="444"/>
        <w:spacing w:after="0"/>
        <w:rPr>
          <w:sz w:val="20"/>
          <w:szCs w:val="20"/>
          <w:color w:val="auto"/>
        </w:rPr>
      </w:pPr>
      <w:r>
        <w:rPr>
          <w:rFonts w:ascii="Courier New" w:cs="Courier New" w:eastAsia="Courier New" w:hAnsi="Courier New"/>
          <w:sz w:val="15"/>
          <w:szCs w:val="15"/>
          <w:color w:val="auto"/>
        </w:rPr>
        <w:t>The undersigned stockholder, by completing this card, hereby appoints Martin McGlynn and Iris Brest, or either of them with power of substitution to each, proxies of the undersigned to vote at the Annual Meeting of Stockholders of StemCells, Inc. to be held on May 2, 2002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matters as specified by the undersigned, and to vote in such manner as they may determine on any other matter that may properly come before the meeting.</w:t>
      </w:r>
    </w:p>
    <w:p>
      <w:pPr>
        <w:spacing w:after="0" w:line="176" w:lineRule="exact"/>
        <w:rPr>
          <w:sz w:val="20"/>
          <w:szCs w:val="20"/>
          <w:color w:val="auto"/>
        </w:rPr>
      </w:pPr>
    </w:p>
    <w:p>
      <w:pPr>
        <w:ind w:left="9"/>
        <w:spacing w:after="0"/>
        <w:tabs>
          <w:tab w:leader="none" w:pos="1569" w:val="left"/>
          <w:tab w:leader="none" w:pos="5929" w:val="left"/>
        </w:tabs>
        <w:rPr>
          <w:sz w:val="20"/>
          <w:szCs w:val="20"/>
          <w:color w:val="auto"/>
        </w:rPr>
      </w:pPr>
      <w:r>
        <w:rPr>
          <w:rFonts w:ascii="Courier New" w:cs="Courier New" w:eastAsia="Courier New" w:hAnsi="Courier New"/>
          <w:sz w:val="15"/>
          <w:szCs w:val="15"/>
          <w:color w:val="auto"/>
        </w:rPr>
        <w:t>SEE REVERSE</w:t>
      </w:r>
      <w:r>
        <w:rPr>
          <w:sz w:val="20"/>
          <w:szCs w:val="20"/>
          <w:color w:val="auto"/>
        </w:rPr>
        <w:tab/>
      </w:r>
      <w:r>
        <w:rPr>
          <w:rFonts w:ascii="Courier New" w:cs="Courier New" w:eastAsia="Courier New" w:hAnsi="Courier New"/>
          <w:sz w:val="15"/>
          <w:szCs w:val="15"/>
          <w:color w:val="auto"/>
        </w:rPr>
        <w:t>CONTINUED AND TO BE SIGNED ON REVERSE SIDE</w:t>
      </w:r>
      <w:r>
        <w:rPr>
          <w:sz w:val="20"/>
          <w:szCs w:val="20"/>
          <w:color w:val="auto"/>
        </w:rPr>
        <w:tab/>
      </w:r>
      <w:r>
        <w:rPr>
          <w:rFonts w:ascii="Courier New" w:cs="Courier New" w:eastAsia="Courier New" w:hAnsi="Courier New"/>
          <w:sz w:val="14"/>
          <w:szCs w:val="14"/>
          <w:color w:val="auto"/>
        </w:rPr>
        <w:t>SEE REVERSE</w:t>
      </w:r>
    </w:p>
    <w:p>
      <w:pPr>
        <w:spacing w:after="0" w:line="1" w:lineRule="exact"/>
        <w:rPr>
          <w:sz w:val="20"/>
          <w:szCs w:val="20"/>
          <w:color w:val="auto"/>
        </w:rPr>
      </w:pPr>
    </w:p>
    <w:p>
      <w:pPr>
        <w:ind w:left="269"/>
        <w:spacing w:after="0"/>
        <w:tabs>
          <w:tab w:leader="none" w:pos="6189" w:val="left"/>
        </w:tabs>
        <w:rPr>
          <w:sz w:val="20"/>
          <w:szCs w:val="20"/>
          <w:color w:val="auto"/>
        </w:rPr>
      </w:pPr>
      <w:r>
        <w:rPr>
          <w:rFonts w:ascii="Courier New" w:cs="Courier New" w:eastAsia="Courier New" w:hAnsi="Courier New"/>
          <w:sz w:val="15"/>
          <w:szCs w:val="15"/>
          <w:color w:val="auto"/>
        </w:rPr>
        <w:t>SIDE</w:t>
      </w:r>
      <w:r>
        <w:rPr>
          <w:sz w:val="20"/>
          <w:szCs w:val="20"/>
          <w:color w:val="auto"/>
        </w:rPr>
        <w:tab/>
      </w:r>
      <w:r>
        <w:rPr>
          <w:rFonts w:ascii="Courier New" w:cs="Courier New" w:eastAsia="Courier New" w:hAnsi="Courier New"/>
          <w:sz w:val="15"/>
          <w:szCs w:val="15"/>
          <w:color w:val="auto"/>
        </w:rPr>
        <w:t>SIDE</w:t>
      </w:r>
    </w:p>
    <w:p>
      <w:pPr>
        <w:sectPr>
          <w:pgSz w:w="11900" w:h="16893" w:orient="portrait"/>
          <w:cols w:equalWidth="0" w:num="1">
            <w:col w:w="11529"/>
          </w:cols>
          <w:pgMar w:left="231" w:top="141"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VOTE BY TELEPHONE</w:t>
      </w:r>
    </w:p>
    <w:p>
      <w:pPr>
        <w:spacing w:after="0" w:line="174" w:lineRule="exact"/>
        <w:rPr>
          <w:sz w:val="20"/>
          <w:szCs w:val="20"/>
          <w:color w:val="auto"/>
        </w:rPr>
      </w:pPr>
    </w:p>
    <w:p>
      <w:pPr>
        <w:ind w:left="9"/>
        <w:spacing w:after="0" w:line="264" w:lineRule="auto"/>
        <w:rPr>
          <w:sz w:val="20"/>
          <w:szCs w:val="20"/>
          <w:color w:val="auto"/>
        </w:rPr>
      </w:pPr>
      <w:r>
        <w:rPr>
          <w:rFonts w:ascii="Courier New" w:cs="Courier New" w:eastAsia="Courier New" w:hAnsi="Courier New"/>
          <w:sz w:val="14"/>
          <w:szCs w:val="14"/>
          <w:color w:val="auto"/>
        </w:rPr>
        <w:t>It's fast, convenient, and immediate! Call toll-free on a touch-tone phone 1-877-PRX-VOTE (1-877-779-8683).</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9" w:right="620" w:hanging="269"/>
        <w:spacing w:after="0" w:line="271" w:lineRule="auto"/>
        <w:tabs>
          <w:tab w:leader="none" w:pos="26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Read the accompanying Proxy Statement and Proxy Card.</w:t>
      </w:r>
    </w:p>
    <w:p>
      <w:pPr>
        <w:spacing w:after="0" w:line="151" w:lineRule="exact"/>
        <w:rPr>
          <w:rFonts w:ascii="Courier New" w:cs="Courier New" w:eastAsia="Courier New" w:hAnsi="Courier New"/>
          <w:sz w:val="14"/>
          <w:szCs w:val="14"/>
          <w:color w:val="auto"/>
        </w:rPr>
      </w:pPr>
    </w:p>
    <w:p>
      <w:pPr>
        <w:ind w:left="269" w:hanging="269"/>
        <w:spacing w:after="0"/>
        <w:tabs>
          <w:tab w:leader="none" w:pos="2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the toll-free number</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1-877-PRX-VOTE (1-877-779-8683).</w:t>
      </w:r>
    </w:p>
    <w:p>
      <w:pPr>
        <w:spacing w:after="0" w:line="174" w:lineRule="exact"/>
        <w:rPr>
          <w:rFonts w:ascii="Courier New" w:cs="Courier New" w:eastAsia="Courier New" w:hAnsi="Courier New"/>
          <w:sz w:val="15"/>
          <w:szCs w:val="15"/>
          <w:color w:val="auto"/>
        </w:rPr>
      </w:pPr>
    </w:p>
    <w:p>
      <w:pPr>
        <w:jc w:val="both"/>
        <w:ind w:left="269" w:right="100" w:hanging="269"/>
        <w:spacing w:after="0" w:line="239" w:lineRule="auto"/>
        <w:tabs>
          <w:tab w:leader="none" w:pos="2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2"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recorded instructions.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YOUR VOTE IS IMPORTANT!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Call 1-877-PRX-VOTE anytime!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INTERNET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fast, convenient, and your vote 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confirmed and posted.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0" w:right="5320" w:hanging="259"/>
        <w:spacing w:after="0" w:line="271"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Read the accompanying Proxy Statement and Proxy Card.</w:t>
      </w:r>
    </w:p>
    <w:p>
      <w:pPr>
        <w:spacing w:after="0" w:line="153" w:lineRule="exact"/>
        <w:rPr>
          <w:rFonts w:ascii="Courier New" w:cs="Courier New" w:eastAsia="Courier New" w:hAnsi="Courier New"/>
          <w:sz w:val="14"/>
          <w:szCs w:val="14"/>
          <w:color w:val="auto"/>
        </w:rPr>
      </w:pPr>
    </w:p>
    <w:p>
      <w:pPr>
        <w:ind w:left="260" w:right="4960" w:hanging="259"/>
        <w:spacing w:after="0" w:line="271"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 to the Website http://www.eproxyvote.com/stem.</w:t>
      </w:r>
    </w:p>
    <w:p>
      <w:pPr>
        <w:spacing w:after="0" w:line="153" w:lineRule="exact"/>
        <w:rPr>
          <w:rFonts w:ascii="Courier New" w:cs="Courier New" w:eastAsia="Courier New" w:hAnsi="Courier New"/>
          <w:sz w:val="14"/>
          <w:szCs w:val="14"/>
          <w:color w:val="auto"/>
        </w:rPr>
      </w:pPr>
    </w:p>
    <w:p>
      <w:pPr>
        <w:jc w:val="both"/>
        <w:ind w:left="260" w:right="4780" w:hanging="259"/>
        <w:spacing w:after="0" w:line="239" w:lineRule="auto"/>
        <w:tabs>
          <w:tab w:leader="none" w:pos="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2" w:lineRule="exact"/>
        <w:rPr>
          <w:rFonts w:ascii="Courier New" w:cs="Courier New" w:eastAsia="Courier New" w:hAnsi="Courier New"/>
          <w:sz w:val="15"/>
          <w:szCs w:val="15"/>
          <w:color w:val="auto"/>
        </w:rPr>
      </w:pPr>
    </w:p>
    <w:p>
      <w:pPr>
        <w:ind w:left="360" w:hanging="270"/>
        <w:spacing w:after="0"/>
        <w:tabs>
          <w:tab w:leader="none" w:pos="36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instructions provided.</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YOUR VOTE IS IMPORTANT!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 to http://www.eproxyvote.com/stem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anytime!</w:t>
      </w:r>
    </w:p>
    <w:p>
      <w:pPr>
        <w:spacing w:after="0" w:line="171" w:lineRule="exact"/>
        <w:rPr>
          <w:sz w:val="20"/>
          <w:szCs w:val="20"/>
          <w:color w:val="auto"/>
        </w:rPr>
      </w:pPr>
    </w:p>
    <w:p>
      <w:pPr>
        <w:sectPr>
          <w:pgSz w:w="11900" w:h="16893" w:orient="portrait"/>
          <w:cols w:equalWidth="0" w:num="2">
            <w:col w:w="3289" w:space="260"/>
            <w:col w:w="7980"/>
          </w:cols>
          <w:pgMar w:left="231" w:top="141" w:right="139" w:bottom="0" w:gutter="0" w:footer="0" w:header="0"/>
          <w:type w:val="continuous"/>
        </w:sectPr>
      </w:pPr>
    </w:p>
    <w:p>
      <w:pPr>
        <w:jc w:val="center"/>
        <w:ind w:right="4511"/>
        <w:spacing w:after="0"/>
        <w:rPr>
          <w:sz w:val="20"/>
          <w:szCs w:val="20"/>
          <w:color w:val="auto"/>
        </w:rPr>
      </w:pPr>
      <w:r>
        <w:rPr>
          <w:rFonts w:ascii="Courier New" w:cs="Courier New" w:eastAsia="Courier New" w:hAnsi="Courier New"/>
          <w:sz w:val="15"/>
          <w:szCs w:val="15"/>
          <w:color w:val="auto"/>
        </w:rPr>
        <w:t>DO NOT RETURN YOUR PROXY CARD IF YOU ARE VOTING BY TELEPHONE OR INTERNET.</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DETACH HERE</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/X/</w:t>
        <w:tab/>
        <w:t>Please mark</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votes as in</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this example.</w:t>
      </w:r>
    </w:p>
    <w:p>
      <w:pPr>
        <w:spacing w:after="0" w:line="174" w:lineRule="exact"/>
        <w:rPr>
          <w:sz w:val="20"/>
          <w:szCs w:val="20"/>
          <w:color w:val="auto"/>
        </w:rPr>
      </w:pPr>
    </w:p>
    <w:p>
      <w:pPr>
        <w:ind w:left="9" w:right="4700"/>
        <w:spacing w:after="0"/>
        <w:rPr>
          <w:sz w:val="20"/>
          <w:szCs w:val="20"/>
          <w:color w:val="auto"/>
        </w:rPr>
      </w:pPr>
      <w:r>
        <w:rPr>
          <w:rFonts w:ascii="Courier New" w:cs="Courier New" w:eastAsia="Courier New" w:hAnsi="Courier New"/>
          <w:sz w:val="15"/>
          <w:szCs w:val="15"/>
          <w:color w:val="auto"/>
        </w:rPr>
        <w:t>This proxy when properly executed will be voted in the manner specified by the undersigned stockholder(s), if no contrary direction is made, this proxy will be voted FOR The election of the nominees for director named below, FOR the ratification of the selection of public accountants, FOR the amendment of the Company's Certificate of Incorporation to increase the number of authorized shares of Common Stock and in the discretion of the named proxies as to any other matter that may come before the meeting.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7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ABSTAIN</w:t>
            </w:r>
          </w:p>
        </w:tc>
      </w:tr>
      <w:tr>
        <w:trPr>
          <w:trHeight w:val="171"/>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 To elect the following nominees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as Class II directors: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To ratify the selection of</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Ernst &amp; Young</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Nominees: (01)</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w w:val="99"/>
              </w:rPr>
              <w:t>Irving Weissman,</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M.D.,</w:t>
            </w:r>
          </w:p>
        </w:tc>
        <w:tc>
          <w:tcPr>
            <w:tcW w:w="540" w:type="dxa"/>
            <w:vAlign w:val="bottom"/>
          </w:tcPr>
          <w:p>
            <w:pPr>
              <w:spacing w:after="0"/>
              <w:rPr>
                <w:sz w:val="14"/>
                <w:szCs w:val="14"/>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LLP as independent public accountants of</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w:t>
            </w:r>
          </w:p>
        </w:tc>
      </w:tr>
      <w:tr>
        <w:trPr>
          <w:trHeight w:val="171"/>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w w:val="99"/>
              </w:rPr>
              <w:t>Ricardo B. Levy,</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Ph.D.</w:t>
            </w:r>
          </w:p>
        </w:tc>
        <w:tc>
          <w:tcPr>
            <w:tcW w:w="54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the Company for the fiscal</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year ending</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spacing w:after="0"/>
              <w:rPr>
                <w:sz w:val="14"/>
                <w:szCs w:val="14"/>
                <w:color w:val="auto"/>
              </w:rPr>
            </w:pPr>
          </w:p>
        </w:tc>
        <w:tc>
          <w:tcPr>
            <w:tcW w:w="3820" w:type="dxa"/>
            <w:vAlign w:val="bottom"/>
            <w:gridSpan w:val="2"/>
          </w:tcPr>
          <w:p>
            <w:pPr>
              <w:ind w:left="1380"/>
              <w:spacing w:after="0"/>
              <w:rPr>
                <w:sz w:val="20"/>
                <w:szCs w:val="20"/>
                <w:color w:val="auto"/>
              </w:rPr>
            </w:pPr>
            <w:r>
              <w:rPr>
                <w:rFonts w:ascii="Courier New" w:cs="Courier New" w:eastAsia="Courier New" w:hAnsi="Courier New"/>
                <w:sz w:val="15"/>
                <w:szCs w:val="15"/>
                <w:color w:val="auto"/>
              </w:rPr>
              <w:t>WITHHELD</w:t>
            </w:r>
          </w:p>
        </w:tc>
        <w:tc>
          <w:tcPr>
            <w:tcW w:w="54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December 31, 2002.</w:t>
            </w: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FOR</w:t>
            </w:r>
          </w:p>
        </w:tc>
        <w:tc>
          <w:tcPr>
            <w:tcW w:w="152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BOTH</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   / /</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BOTH</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To approve an amendment to</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the Company's</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93" w:orient="portrait"/>
          <w:cols w:equalWidth="0" w:num="1">
            <w:col w:w="11529"/>
          </w:cols>
          <w:pgMar w:left="231" w:top="141" w:right="139" w:bottom="0" w:gutter="0" w:footer="0" w:header="0"/>
          <w:type w:val="continuous"/>
        </w:sectPr>
      </w:pPr>
    </w:p>
    <w:bookmarkStart w:id="17" w:name="page18"/>
    <w:bookmarkEnd w:id="17"/>
    <w:p>
      <w:pPr>
        <w:ind w:left="960"/>
        <w:spacing w:after="0"/>
        <w:tabs>
          <w:tab w:leader="none" w:pos="2900" w:val="left"/>
        </w:tabs>
        <w:rPr>
          <w:sz w:val="20"/>
          <w:szCs w:val="20"/>
          <w:color w:val="auto"/>
        </w:rPr>
      </w:pP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5"/>
          <w:szCs w:val="15"/>
          <w:color w:val="auto"/>
        </w:rPr>
        <w:t>NOMINEES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260"/>
        <w:spacing w:after="0" w:line="239"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ind w:left="360"/>
        <w:spacing w:after="0"/>
        <w:tabs>
          <w:tab w:leader="none" w:pos="4060" w:val="left"/>
          <w:tab w:leader="none" w:pos="4680" w:val="left"/>
          <w:tab w:leader="none" w:pos="5480" w:val="left"/>
        </w:tabs>
        <w:rPr>
          <w:sz w:val="20"/>
          <w:szCs w:val="20"/>
          <w:color w:val="auto"/>
        </w:rPr>
      </w:pPr>
      <w:r>
        <w:rPr>
          <w:rFonts w:ascii="Courier New" w:cs="Courier New" w:eastAsia="Courier New" w:hAnsi="Courier New"/>
          <w:sz w:val="15"/>
          <w:szCs w:val="15"/>
          <w:color w:val="auto"/>
        </w:rPr>
        <w:t>Certificate of Incorporation to increase</w:t>
        <w:tab/>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number of authorized shares of</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 from 45,000,000 to</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75,000,000.</w:t>
      </w:r>
    </w:p>
    <w:p>
      <w:pPr>
        <w:spacing w:after="0" w:line="174" w:lineRule="exact"/>
        <w:rPr>
          <w:sz w:val="20"/>
          <w:szCs w:val="20"/>
          <w:color w:val="auto"/>
        </w:rPr>
      </w:pPr>
    </w:p>
    <w:p>
      <w:pPr>
        <w:ind w:left="360" w:hanging="269"/>
        <w:spacing w:after="0" w:line="239" w:lineRule="auto"/>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my signature below, I confer to the named proxies discretionary authority to vote upon such other business as may properly come before the meeting of any continuations and adjournments thereof.</w:t>
      </w:r>
    </w:p>
    <w:p>
      <w:pPr>
        <w:spacing w:after="0" w:line="176"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THE BOARD OF DIRECTORS OF STEMCELLS, INC. RECOMMENDS A VOTE FOR THE NOMINEES FOR DIRECTOR LISTED TO THE LEFT, A VOTE FOR RATIFICATION OF THE SELECTION OF INDEPENDENT PUBLIC ACCOUNTANTS AND A VOTE FOR THE AMENDMENT TO THE COMPANY'S CERTIFICATE OF INCORPORATION TO INCREASE THE NUMBER OF AUTHORIZED SHARES OF COMMON STOCK.</w:t>
      </w:r>
    </w:p>
    <w:p>
      <w:pPr>
        <w:spacing w:after="0" w:line="159" w:lineRule="exact"/>
        <w:rPr>
          <w:sz w:val="20"/>
          <w:szCs w:val="20"/>
          <w:color w:val="auto"/>
        </w:rPr>
      </w:pPr>
    </w:p>
    <w:p>
      <w:pPr>
        <w:sectPr>
          <w:pgSz w:w="11900" w:h="16838" w:orient="portrait"/>
          <w:cols w:equalWidth="0" w:num="2">
            <w:col w:w="4860" w:space="720"/>
            <w:col w:w="5940"/>
          </w:cols>
          <w:pgMar w:left="240" w:top="139" w:right="139" w:bottom="1440" w:gutter="0" w:footer="0" w:header="0"/>
        </w:sectPr>
      </w:pPr>
    </w:p>
    <w:p>
      <w:pPr>
        <w:ind w:left="5580"/>
        <w:spacing w:after="0"/>
        <w:tabs>
          <w:tab w:leader="none" w:pos="11060" w:val="left"/>
        </w:tabs>
        <w:rPr>
          <w:sz w:val="20"/>
          <w:szCs w:val="20"/>
          <w:color w:val="auto"/>
        </w:rPr>
      </w:pPr>
      <w:r>
        <w:rPr>
          <w:rFonts w:ascii="Courier New" w:cs="Courier New" w:eastAsia="Courier New" w:hAnsi="Courier New"/>
          <w:sz w:val="15"/>
          <w:szCs w:val="15"/>
          <w:color w:val="auto"/>
        </w:rPr>
        <w:t>MARK HERE FOR ADDRESS CHANGE AND NOTE AT LEFT</w:t>
      </w:r>
      <w:r>
        <w:rPr>
          <w:sz w:val="20"/>
          <w:szCs w:val="20"/>
          <w:color w:val="auto"/>
        </w:rPr>
        <w:tab/>
      </w:r>
      <w:r>
        <w:rPr>
          <w:rFonts w:ascii="Courier New" w:cs="Courier New" w:eastAsia="Courier New" w:hAnsi="Courier New"/>
          <w:sz w:val="15"/>
          <w:szCs w:val="15"/>
          <w:color w:val="auto"/>
        </w:rPr>
        <w:t>/ /</w:t>
      </w:r>
    </w:p>
    <w:p>
      <w:pPr>
        <w:spacing w:after="0" w:line="345"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Note: Please sign exactly as name appears on this card. All joint owners should sign. 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172" w:lineRule="exact"/>
        <w:rPr>
          <w:sz w:val="20"/>
          <w:szCs w:val="20"/>
          <w:color w:val="auto"/>
        </w:rPr>
      </w:pPr>
    </w:p>
    <w:p>
      <w:pPr>
        <w:spacing w:after="0"/>
        <w:tabs>
          <w:tab w:leader="none" w:pos="3440" w:val="left"/>
          <w:tab w:leader="none" w:pos="5300" w:val="left"/>
          <w:tab w:leader="none" w:pos="8760" w:val="left"/>
        </w:tabs>
        <w:rPr>
          <w:sz w:val="20"/>
          <w:szCs w:val="20"/>
          <w:color w:val="auto"/>
        </w:rPr>
      </w:pPr>
      <w:r>
        <w:rPr>
          <w:rFonts w:ascii="Courier New" w:cs="Courier New" w:eastAsia="Courier New" w:hAnsi="Courier New"/>
          <w:sz w:val="15"/>
          <w:szCs w:val="15"/>
          <w:color w:val="auto"/>
        </w:rPr>
        <w:t>Signature:___________________________</w:t>
        <w:tab/>
        <w:t>Date:______________</w:t>
        <w:tab/>
        <w:t>Signature:___________________________</w:t>
      </w:r>
      <w:r>
        <w:rPr>
          <w:sz w:val="20"/>
          <w:szCs w:val="20"/>
          <w:color w:val="auto"/>
        </w:rPr>
        <w:tab/>
      </w:r>
      <w:r>
        <w:rPr>
          <w:rFonts w:ascii="Courier New" w:cs="Courier New" w:eastAsia="Courier New" w:hAnsi="Courier New"/>
          <w:sz w:val="14"/>
          <w:szCs w:val="14"/>
          <w:color w:val="auto"/>
        </w:rPr>
        <w:t>Date:______________</w:t>
      </w:r>
    </w:p>
    <w:sectPr>
      <w:pgSz w:w="11900" w:h="16838" w:orient="portrait"/>
      <w:cols w:equalWidth="0" w:num="1">
        <w:col w:w="11520"/>
      </w:cols>
      <w:pgMar w:left="240" w:top="13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lvl w:ilvl="1">
      <w:lvlJc w:val="left"/>
      <w:lvlText w:val="(%2)"/>
      <w:numFmt w:val="decimal"/>
      <w:start w:val="1"/>
    </w:lvl>
  </w:abstractNum>
  <w:abstractNum w:abstractNumId="4">
    <w:nsid w:val="436C6125"/>
    <w:multiLevelType w:val="hybridMultilevel"/>
    <w:lvl w:ilvl="0">
      <w:lvlJc w:val="left"/>
      <w:lvlText w:val="/"/>
      <w:numFmt w:val="bullet"/>
      <w:start w:val="1"/>
    </w:lvl>
    <w:lvl w:ilvl="1">
      <w:lvlJc w:val="left"/>
      <w:lvlText w:val="(%2)"/>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lowerRoman"/>
      <w:start w:val="2"/>
    </w:lvl>
  </w:abstractNum>
  <w:abstractNum w:abstractNumId="7">
    <w:nsid w:val="721DA317"/>
    <w:multiLevelType w:val="hybridMultilevel"/>
    <w:lvl w:ilvl="0">
      <w:lvlJc w:val="left"/>
      <w:lvlText w:val="(%1)"/>
      <w:numFmt w:val="lowerRoman"/>
      <w:start w:val="2"/>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8"/>
    </w:lvl>
  </w:abstractNum>
  <w:abstractNum w:abstractNumId="13">
    <w:nsid w:val="79838CB2"/>
    <w:multiLevelType w:val="hybridMultilevel"/>
    <w:lvl w:ilvl="0">
      <w:lvlJc w:val="left"/>
      <w:lvlText w:val="-"/>
      <w:numFmt w:val="bullet"/>
      <w:start w:val="1"/>
    </w:lvl>
    <w:lvl w:ilvl="1">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lvl w:ilvl="1">
      <w:lvlJc w:val="left"/>
      <w:lvlText w:val="--"/>
      <w:numFmt w:val="bullet"/>
      <w:start w:val="1"/>
    </w:lvl>
  </w:abstractNum>
  <w:abstractNum w:abstractNumId="16">
    <w:nsid w:val="189A769B"/>
    <w:multiLevelType w:val="hybridMultilevel"/>
    <w:lvl w:ilvl="0">
      <w:lvlJc w:val="left"/>
      <w:lvlText w:val="-"/>
      <w:numFmt w:val="bullet"/>
      <w:start w:val="1"/>
    </w:lvl>
    <w:lvl w:ilvl="1">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2"/>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lvl w:ilvl="1">
      <w:lvlJc w:val="left"/>
      <w:lvlText w:val="%2."/>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4"/>
    </w:lvl>
    <w:lvl w:ilvl="1">
      <w:lvlJc w:val="left"/>
      <w:lvlText w:val="(%2)"/>
      <w:numFmt w:val="decimal"/>
      <w:start w:val="4"/>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2"/>
    </w:lvl>
    <w:lvl w:ilvl="1">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2"/>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5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lvl w:ilvl="1">
      <w:lvlJc w:val="left"/>
      <w:lvlText w:val="%2."/>
      <w:numFmt w:val="decimal"/>
      <w:start w:val="4"/>
    </w:lvl>
  </w:abstractNum>
  <w:abstractNum w:abstractNumId="35">
    <w:nsid w:val="507236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2019-12-13T21:51:34Z</dcterms:created>
  <dcterms:modified xsi:type="dcterms:W3CDTF">2019-12-13T21:51:34Z</dcterms:modified>
</cp:coreProperties>
</file>