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10-k.htm"/>
      <w:bookmarkStart w:id="1" w:name="ksform10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30101__20"/>
      <w:bookmarkEnd w:id="2"/>
      <w:r>
        <w:rPr>
          <w:rFonts w:ascii="Times New Roman;Times;Serif" w:hAnsi="Times New Roman;Times;Serif"/>
          <w:b/>
          <w:i w:val="false"/>
          <w:caps w:val="false"/>
          <w:smallCaps w:val="false"/>
          <w:sz w:val="36"/>
        </w:rPr>
        <w:t>10-K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jc w:val="both"/>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245"/>
        <w:gridCol w:w="9470"/>
      </w:tblGrid>
      <w:tr>
        <w:trPr/>
        <w:tc>
          <w:tcPr>
            <w:tcW w:w="245" w:type="dxa"/>
            <w:tcBorders/>
            <w:vAlign w:val="center"/>
          </w:tcPr>
          <w:p>
            <w:pPr>
              <w:pStyle w:val="TableContents"/>
              <w:bidi w:val="0"/>
              <w:spacing w:before="0" w:after="283"/>
              <w:jc w:val="center"/>
              <w:rPr>
                <w:caps w:val="false"/>
                <w:smallCaps w:val="false"/>
              </w:rPr>
            </w:pPr>
            <w:bookmarkStart w:id="3" w:name="xdx_905_edei--DocumentAnnualReport_c2023"/>
            <w:bookmarkEnd w:id="3"/>
            <w:r>
              <w:rPr>
                <w:caps w:val="false"/>
                <w:smallCaps w:val="false"/>
              </w:rPr>
              <w:t>☒</w:t>
            </w:r>
          </w:p>
        </w:tc>
        <w:tc>
          <w:tcPr>
            <w:tcW w:w="94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 PURSUANT TO SECTION 13 OR 15(d) OF THE SECURITIES EXCHANGE ACT OF 1934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4" w:name="xdx_904_edei--CurrentFiscalYearEndDate_c"/>
      <w:bookmarkStart w:id="5" w:name="xdx_90F_edei--DocumentPeriodEndDate_c202"/>
      <w:bookmarkEnd w:id="4"/>
      <w:bookmarkEnd w:id="5"/>
      <w:r>
        <w:rPr>
          <w:rFonts w:ascii="Times New Roman;Times;Serif" w:hAnsi="Times New Roman;Times;Serif"/>
          <w:b/>
          <w:i w:val="false"/>
          <w:caps w:val="false"/>
          <w:smallCaps w:val="false"/>
          <w:sz w:val="20"/>
        </w:rPr>
        <w:t xml:space="preserve">December 31, </w:t>
      </w:r>
      <w:bookmarkStart w:id="6" w:name="xdx_90A_edei--DocumentFiscalYearFocus_c2"/>
      <w:bookmarkEnd w:id="6"/>
      <w:r>
        <w:rPr>
          <w:rFonts w:ascii="Times New Roman;Times;Serif" w:hAnsi="Times New Roman;Times;Serif"/>
          <w:b/>
          <w:i w:val="false"/>
          <w:caps w:val="false"/>
          <w:smallCaps w:val="false"/>
          <w:sz w:val="20"/>
        </w:rPr>
        <w:t>2023</w:t>
      </w:r>
    </w:p>
    <w:p>
      <w:pPr>
        <w:pStyle w:val="TextBody"/>
        <w:bidi w:val="0"/>
        <w:spacing w:before="0" w:after="0"/>
        <w:jc w:val="center"/>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245"/>
        <w:gridCol w:w="9920"/>
      </w:tblGrid>
      <w:tr>
        <w:trPr/>
        <w:tc>
          <w:tcPr>
            <w:tcW w:w="245" w:type="dxa"/>
            <w:tcBorders/>
            <w:vAlign w:val="center"/>
          </w:tcPr>
          <w:p>
            <w:pPr>
              <w:pStyle w:val="TableContents"/>
              <w:bidi w:val="0"/>
              <w:spacing w:before="0" w:after="283"/>
              <w:jc w:val="center"/>
              <w:rPr>
                <w:caps w:val="false"/>
                <w:smallCaps w:val="false"/>
              </w:rPr>
            </w:pPr>
            <w:bookmarkStart w:id="7" w:name="xdx_90A_edei--DocumentTransitionReport_c"/>
            <w:bookmarkEnd w:id="7"/>
            <w:r>
              <w:rPr>
                <w:caps w:val="false"/>
                <w:smallCaps w:val="false"/>
              </w:rPr>
              <w:t>☐</w:t>
            </w:r>
          </w:p>
        </w:tc>
        <w:tc>
          <w:tcPr>
            <w:tcW w:w="9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 to 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8" w:name="xdx_90D_edei--EntityFileNumber_c20230101"/>
      <w:bookmarkEnd w:id="8"/>
      <w:r>
        <w:rPr>
          <w:rFonts w:ascii="Times New Roman;Times;Serif" w:hAnsi="Times New Roman;Times;Serif"/>
          <w:b/>
          <w:i w:val="false"/>
          <w:caps w:val="false"/>
          <w:smallCaps w:val="false"/>
          <w:sz w:val="20"/>
        </w:rPr>
        <w:t>000-19871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9" w:name="xdx_909_edei--EntityRegistrantName_c2023"/>
      <w:bookmarkEnd w:id="9"/>
      <w:r>
        <w:rPr>
          <w:rFonts w:ascii="Times New Roman;Times;Serif" w:hAnsi="Times New Roman;Times;Serif"/>
          <w:b/>
          <w:i w:val="false"/>
          <w:caps w:val="false"/>
          <w:smallCaps w:val="false"/>
          <w:sz w:val="36"/>
        </w:rPr>
        <w:t>MICROBOT MEDICAL INC.</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435" w:type="dxa"/>
        <w:jc w:val="left"/>
        <w:tblInd w:w="0" w:type="dxa"/>
        <w:tblLayout w:type="fixed"/>
        <w:tblCellMar>
          <w:top w:w="0" w:type="dxa"/>
          <w:left w:w="0" w:type="dxa"/>
          <w:bottom w:w="28" w:type="dxa"/>
          <w:right w:w="0" w:type="dxa"/>
        </w:tblCellMar>
      </w:tblPr>
      <w:tblGrid>
        <w:gridCol w:w="2825"/>
        <w:gridCol w:w="60"/>
        <w:gridCol w:w="1550"/>
      </w:tblGrid>
      <w:tr>
        <w:trPr/>
        <w:tc>
          <w:tcPr>
            <w:tcW w:w="282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A_edei--EntityIncorporationStateCo"/>
            <w:bookmarkEnd w:id="10"/>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5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C_edei--EntityTaxIdentificationNum"/>
            <w:bookmarkEnd w:id="11"/>
            <w:r>
              <w:rPr>
                <w:rFonts w:ascii="Times New Roman;Times;Serif" w:hAnsi="Times New Roman;Times;Serif"/>
                <w:b/>
                <w:i w:val="false"/>
                <w:caps w:val="false"/>
                <w:smallCaps w:val="false"/>
                <w:sz w:val="20"/>
              </w:rPr>
              <w:t>94-3078125</w:t>
            </w:r>
          </w:p>
        </w:tc>
      </w:tr>
      <w:tr>
        <w:trPr/>
        <w:tc>
          <w:tcPr>
            <w:tcW w:w="2825" w:type="dxa"/>
            <w:tcBorders/>
            <w:tcMar>
              <w:bottom w:w="0" w:type="dxa"/>
            </w:tcMar>
            <w:vAlign w:val="center"/>
          </w:tcPr>
          <w:p>
            <w:pPr>
              <w:pStyle w:val="TableContents"/>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w:t>
            </w:r>
          </w:p>
          <w:p>
            <w:pPr>
              <w:pStyle w:val="TableContents"/>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 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(I.R.S. Employer</w:t>
            </w:r>
          </w:p>
          <w:p>
            <w:pPr>
              <w:pStyle w:val="TableContents"/>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12" w:name="xdx_904_edei--EntityAddressAddressLine1_"/>
      <w:bookmarkEnd w:id="12"/>
      <w:r>
        <w:rPr>
          <w:rFonts w:ascii="Times New Roman;Times;Serif" w:hAnsi="Times New Roman;Times;Serif"/>
          <w:b/>
          <w:i w:val="false"/>
          <w:caps w:val="false"/>
          <w:smallCaps w:val="false"/>
          <w:sz w:val="20"/>
        </w:rPr>
        <w:t xml:space="preserve">288 Grove Street, </w:t>
      </w:r>
      <w:bookmarkStart w:id="13" w:name="xdx_905_edei--EntityAddressAddressLine2_"/>
      <w:bookmarkEnd w:id="13"/>
      <w:r>
        <w:rPr>
          <w:rFonts w:ascii="Times New Roman;Times;Serif" w:hAnsi="Times New Roman;Times;Serif"/>
          <w:b/>
          <w:i w:val="false"/>
          <w:caps w:val="false"/>
          <w:smallCaps w:val="false"/>
          <w:sz w:val="20"/>
        </w:rPr>
        <w:t>Suite 388</w:t>
      </w:r>
    </w:p>
    <w:p>
      <w:pPr>
        <w:pStyle w:val="TextBody"/>
        <w:bidi w:val="0"/>
        <w:spacing w:before="0" w:after="0"/>
        <w:jc w:val="center"/>
        <w:rPr>
          <w:rFonts w:ascii="Times New Roman;Times;Serif" w:hAnsi="Times New Roman;Times;Serif"/>
          <w:b/>
          <w:i w:val="false"/>
          <w:caps w:val="false"/>
          <w:smallCaps w:val="false"/>
          <w:sz w:val="20"/>
        </w:rPr>
      </w:pPr>
      <w:bookmarkStart w:id="14" w:name="xdx_905_edei--EntityAddressCityOrTown_c2"/>
      <w:bookmarkEnd w:id="14"/>
      <w:r>
        <w:rPr>
          <w:rFonts w:ascii="Times New Roman;Times;Serif" w:hAnsi="Times New Roman;Times;Serif"/>
          <w:b/>
          <w:i w:val="false"/>
          <w:caps w:val="false"/>
          <w:smallCaps w:val="false"/>
          <w:sz w:val="20"/>
        </w:rPr>
        <w:t xml:space="preserve">Braintree, </w:t>
      </w:r>
      <w:bookmarkStart w:id="15" w:name="xdx_90D_edei--EntityAddressStateOrProvin"/>
      <w:bookmarkEnd w:id="15"/>
      <w:r>
        <w:rPr>
          <w:rFonts w:ascii="Times New Roman;Times;Serif" w:hAnsi="Times New Roman;Times;Serif"/>
          <w:b/>
          <w:i w:val="false"/>
          <w:caps w:val="false"/>
          <w:smallCaps w:val="false"/>
          <w:sz w:val="20"/>
        </w:rPr>
        <w:t xml:space="preserve">MA </w:t>
      </w:r>
      <w:bookmarkStart w:id="16" w:name="xdx_90D_edei--EntityAddressPostalZipCode"/>
      <w:bookmarkEnd w:id="16"/>
      <w:r>
        <w:rPr>
          <w:rFonts w:ascii="Times New Roman;Times;Serif" w:hAnsi="Times New Roman;Times;Serif"/>
          <w:b/>
          <w:i w:val="false"/>
          <w:caps w:val="false"/>
          <w:smallCaps w:val="false"/>
          <w:sz w:val="20"/>
        </w:rPr>
        <w:t>02184</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including zip code of registrant’s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7" w:name="xdx_902_edei--CityAreaCode_c20230101__20"/>
      <w:bookmarkEnd w:id="17"/>
      <w:r>
        <w:rPr>
          <w:rFonts w:ascii="Times New Roman;Times;Serif" w:hAnsi="Times New Roman;Times;Serif"/>
          <w:b/>
          <w:i w:val="false"/>
          <w:caps w:val="false"/>
          <w:smallCaps w:val="false"/>
          <w:sz w:val="20"/>
        </w:rPr>
        <w:t xml:space="preserve">(781) </w:t>
      </w:r>
      <w:bookmarkStart w:id="18" w:name="xdx_905_edei--LocalPhoneNumber_c20230101"/>
      <w:bookmarkEnd w:id="18"/>
      <w:r>
        <w:rPr>
          <w:rFonts w:ascii="Times New Roman;Times;Serif" w:hAnsi="Times New Roman;Times;Serif"/>
          <w:b/>
          <w:i w:val="false"/>
          <w:caps w:val="false"/>
          <w:smallCaps w:val="false"/>
          <w:sz w:val="20"/>
        </w:rPr>
        <w:t>875-3605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under Section 12(b) of the Act:</w:t>
      </w:r>
    </w:p>
    <w:p>
      <w:pPr>
        <w:pStyle w:val="TextBody"/>
        <w:bidi w:val="0"/>
        <w:spacing w:before="0" w:after="0"/>
        <w:jc w:val="center"/>
        <w:rPr>
          <w:caps w:val="false"/>
          <w:smallCaps w:val="false"/>
        </w:rPr>
      </w:pPr>
      <w:r>
        <w:rPr>
          <w:caps w:val="false"/>
          <w:smallCaps w:val="false"/>
        </w:rPr>
        <w:t> </w:t>
      </w:r>
    </w:p>
    <w:tbl>
      <w:tblPr>
        <w:tblW w:w="8010" w:type="dxa"/>
        <w:jc w:val="left"/>
        <w:tblInd w:w="0" w:type="dxa"/>
        <w:tblLayout w:type="fixed"/>
        <w:tblCellMar>
          <w:top w:w="0" w:type="dxa"/>
          <w:left w:w="0" w:type="dxa"/>
          <w:bottom w:w="28" w:type="dxa"/>
          <w:right w:w="0" w:type="dxa"/>
        </w:tblCellMar>
      </w:tblPr>
      <w:tblGrid>
        <w:gridCol w:w="2645"/>
        <w:gridCol w:w="60"/>
        <w:gridCol w:w="1535"/>
        <w:gridCol w:w="60"/>
        <w:gridCol w:w="3710"/>
      </w:tblGrid>
      <w:tr>
        <w:trPr/>
        <w:tc>
          <w:tcPr>
            <w:tcW w:w="264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6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B_edei--Security12bTitle_c20230101"/>
            <w:bookmarkEnd w:id="19"/>
            <w:r>
              <w:rPr>
                <w:rFonts w:ascii="Times New Roman;Times;Serif" w:hAnsi="Times New Roman;Times;Serif"/>
                <w:b w:val="false"/>
                <w:i w:val="false"/>
                <w:caps w:val="false"/>
                <w:smallCaps w:val="false"/>
                <w:sz w:val="20"/>
              </w:rPr>
              <w:t>Common Stock, Par value $0.01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0_edei--TradingSymbol_c20230101__2"/>
            <w:bookmarkEnd w:id="20"/>
            <w:r>
              <w:rPr>
                <w:rFonts w:ascii="Times New Roman;Times;Serif" w:hAnsi="Times New Roman;Times;Serif"/>
                <w:b w:val="false"/>
                <w:i w:val="false"/>
                <w:caps w:val="false"/>
                <w:smallCaps w:val="false"/>
                <w:sz w:val="20"/>
              </w:rPr>
              <w:t>MBOT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F_edei--SecurityExchangeName_c2023"/>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under Section 12(g) of the Act: None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Yes ☐ </w:t>
      </w:r>
      <w:bookmarkStart w:id="22" w:name="xdx_905_edei--EntityWellKnownSeasonedIss"/>
      <w:bookmarkEnd w:id="22"/>
      <w:r>
        <w:rPr>
          <w:rFonts w:ascii="Times New Roman;Times;Serif" w:hAnsi="Times New Roman;Times;Serif"/>
          <w:b w:val="false"/>
          <w:i w:val="false"/>
          <w:caps w:val="false"/>
          <w:smallCaps w:val="false"/>
          <w:sz w:val="20"/>
        </w:rPr>
        <w:t>No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Section 15(d) of the Act. Yes ☐ </w:t>
      </w:r>
      <w:bookmarkStart w:id="23" w:name="xdx_90F_edei--EntityVoluntaryFilers_c202"/>
      <w:bookmarkEnd w:id="23"/>
      <w:r>
        <w:rPr>
          <w:rFonts w:ascii="Times New Roman;Times;Serif" w:hAnsi="Times New Roman;Times;Serif"/>
          <w:b w:val="false"/>
          <w:i w:val="false"/>
          <w:caps w:val="false"/>
          <w:smallCaps w:val="false"/>
          <w:sz w:val="20"/>
        </w:rPr>
        <w:t>No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4" w:name="xdx_907_edei--EntityCurrentReportingStat"/>
      <w:bookmarkEnd w:id="24"/>
      <w:r>
        <w:rPr>
          <w:rFonts w:ascii="Times New Roman;Times;Serif" w:hAnsi="Times New Roman;Times;Serif"/>
          <w:b w:val="false"/>
          <w:i w:val="false"/>
          <w:caps w:val="false"/>
          <w:smallCaps w:val="false"/>
          <w:sz w:val="20"/>
        </w:rPr>
        <w:t>Yes ☒ No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5" w:name="xdx_903_edei--EntityInteractiveDataCurre"/>
      <w:bookmarkEnd w:id="25"/>
      <w:r>
        <w:rPr>
          <w:rFonts w:ascii="Times New Roman;Times;Serif" w:hAnsi="Times New Roman;Times;Serif"/>
          <w:b w:val="false"/>
          <w:i w:val="false"/>
          <w:caps w:val="false"/>
          <w:smallCaps w:val="false"/>
          <w:sz w:val="20"/>
        </w:rPr>
        <w:t>Yes ☒ No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2060"/>
        <w:gridCol w:w="2540"/>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6" w:name="xdx_903_edei--EntityFilerCategory_c20230"/>
            <w:bookmarkEnd w:id="26"/>
            <w:r>
              <w:rPr>
                <w:rFonts w:ascii="Times New Roman;Times;Serif" w:hAnsi="Times New Roman;Times;Serif"/>
                <w:b w:val="false"/>
                <w:i w:val="false"/>
                <w:caps w:val="false"/>
                <w:smallCaps w:val="false"/>
                <w:sz w:val="20"/>
              </w:rPr>
              <w:t>Non-accelerated filer ☒</w:t>
            </w:r>
          </w:p>
        </w:tc>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7" w:name="xdx_90B_edei--EntitySmallBusiness_c20230"/>
            <w:bookmarkEnd w:id="27"/>
            <w:r>
              <w:rPr>
                <w:rFonts w:ascii="Times New Roman;Times;Serif" w:hAnsi="Times New Roman;Times;Serif"/>
                <w:b w:val="false"/>
                <w:i w:val="false"/>
                <w:caps w:val="false"/>
                <w:smallCaps w:val="false"/>
                <w:sz w:val="20"/>
              </w:rPr>
              <w:t>☒</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8" w:name="xdx_90E_edei--EntityEmergingGrowthCompan"/>
            <w:bookmarkEnd w:id="28"/>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29" w:name="xdx_90B_edei--IcfrAuditorAttestationFlag"/>
      <w:bookmarkEnd w:id="29"/>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30" w:name="xdx_900_edei--DocumentFinStmtErrorCorrec"/>
      <w:bookmarkEnd w:id="30"/>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31" w:name="xdx_90F_edei--EntityShellCompany_dbF_c20"/>
      <w:bookmarkEnd w:id="31"/>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approximately $</w:t>
      </w:r>
      <w:bookmarkStart w:id="32" w:name="xdx_90D_edei--EntityPublicFloat_iI_c2023"/>
      <w:bookmarkEnd w:id="32"/>
      <w:r>
        <w:rPr>
          <w:rFonts w:ascii="Times New Roman;Times;Serif" w:hAnsi="Times New Roman;Times;Serif"/>
          <w:b w:val="false"/>
          <w:i w:val="false"/>
          <w:caps w:val="false"/>
          <w:smallCaps w:val="false"/>
          <w:sz w:val="20"/>
        </w:rPr>
        <w:t>38,134,642.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Common stock outstanding as of March 25, 2024: </w:t>
      </w:r>
      <w:bookmarkStart w:id="33" w:name="xdx_907_edei--EntityCommonStockSharesOut"/>
      <w:bookmarkEnd w:id="33"/>
      <w:r>
        <w:rPr>
          <w:rFonts w:ascii="Times New Roman;Times;Serif" w:hAnsi="Times New Roman;Times;Serif"/>
          <w:b w:val="false"/>
          <w:i w:val="false"/>
          <w:caps w:val="false"/>
          <w:smallCaps w:val="false"/>
          <w:sz w:val="20"/>
        </w:rPr>
        <w:t>14,398,964 shares</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CONCERNING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report contains forward-looking statements. Forward-looking statements are projections in respect of future events or our future financial performance. In some cases, you can identify forward-looking statements by terminology such as “may”, “should”, “intends”, “expects”, “will”, “plans”, “anticipates”, “believes”, “estimates”, “predicts”, “potential”, or “continue” or the negative of these terms or other comparable terminology. These statements are only predictions and involve known and unknown risks, uncertainties and other factors, including the risks listed under the section entitled “Risk Factors” commencing on page 13 of this report, which may cause our or our industry’s actual results, levels of activity or performance to be materially different from any future results, levels of activity or performance expressed or implied by these forward-looking statements.</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shd w:fill="FFFFFF" w:val="clear"/>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9"/>
        <w:gridCol w:w="8925"/>
        <w:gridCol w:w="60"/>
        <w:gridCol w:w="501"/>
      </w:tblGrid>
      <w:tr>
        <w:trPr/>
        <w:tc>
          <w:tcPr>
            <w:tcW w:w="719" w:type="dxa"/>
            <w:tcBorders/>
            <w:vAlign w:val="center"/>
          </w:tcPr>
          <w:p>
            <w:pPr>
              <w:pStyle w:val="TableContents"/>
              <w:bidi w:val="0"/>
              <w:spacing w:before="0" w:after="283"/>
              <w:jc w:val="center"/>
              <w:rPr>
                <w:caps w:val="false"/>
                <w:smallCaps w:val="false"/>
              </w:rPr>
            </w:pPr>
            <w:r>
              <w:rPr>
                <w:caps w:val="false"/>
                <w:smallCaps w:val="false"/>
              </w:rPr>
              <w:t> </w:t>
            </w:r>
          </w:p>
        </w:tc>
        <w:tc>
          <w:tcPr>
            <w:tcW w:w="89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1"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Page </w:t>
            </w:r>
          </w:p>
        </w:tc>
      </w:tr>
      <w:tr>
        <w:trPr/>
        <w:tc>
          <w:tcPr>
            <w:tcW w:w="7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5" w:type="dxa"/>
            <w:tcBorders/>
            <w:shd w:fill="CCEEFF" w:val="clear"/>
            <w:vAlign w:val="center"/>
          </w:tcPr>
          <w:p>
            <w:pPr>
              <w:pStyle w:val="TableContents"/>
              <w:bidi w:val="0"/>
              <w:spacing w:before="0" w:after="283"/>
              <w:jc w:val="center"/>
              <w:rPr/>
            </w:pPr>
            <w:hyperlink w:anchor="Na_001">
              <w:r>
                <w:rPr>
                  <w:rStyle w:val="InternetLink"/>
                  <w:rFonts w:ascii="Times New Roman;Times;Serif" w:hAnsi="Times New Roman;Times;Serif"/>
                  <w:b/>
                  <w:i w:val="false"/>
                  <w:caps w:val="false"/>
                  <w:smallCaps w:val="false"/>
                  <w:sz w:val="20"/>
                  <w:u w:val="single"/>
                </w:rPr>
                <w:t>PART I</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925" w:type="dxa"/>
            <w:tcBorders/>
            <w:shd w:fill="FFFFFF" w:val="clear"/>
            <w:vAlign w:val="center"/>
          </w:tcPr>
          <w:p>
            <w:pPr>
              <w:pStyle w:val="TableContents"/>
              <w:bidi w:val="0"/>
              <w:spacing w:before="0" w:after="283"/>
              <w:jc w:val="left"/>
              <w:rPr/>
            </w:pPr>
            <w:hyperlink w:anchor="Na_002">
              <w:r>
                <w:rPr>
                  <w:rStyle w:val="InternetLink"/>
                  <w:rFonts w:ascii="Times New Roman;Times;Serif" w:hAnsi="Times New Roman;Times;Serif"/>
                  <w:b w:val="false"/>
                  <w:i w:val="false"/>
                  <w:caps w:val="false"/>
                  <w:smallCaps w:val="false"/>
                  <w:sz w:val="20"/>
                  <w:u w:val="single"/>
                </w:rPr>
                <w:t>Business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8925" w:type="dxa"/>
            <w:tcBorders/>
            <w:shd w:fill="CCEEFF" w:val="clear"/>
            <w:vAlign w:val="center"/>
          </w:tcPr>
          <w:p>
            <w:pPr>
              <w:pStyle w:val="TableContents"/>
              <w:bidi w:val="0"/>
              <w:spacing w:before="0" w:after="283"/>
              <w:jc w:val="left"/>
              <w:rPr/>
            </w:pPr>
            <w:hyperlink w:anchor="Na_003">
              <w:r>
                <w:rPr>
                  <w:rStyle w:val="InternetLink"/>
                  <w:rFonts w:ascii="Times New Roman;Times;Serif" w:hAnsi="Times New Roman;Times;Serif"/>
                  <w:b w:val="false"/>
                  <w:i w:val="false"/>
                  <w:caps w:val="false"/>
                  <w:smallCaps w:val="false"/>
                  <w:sz w:val="20"/>
                  <w:u w:val="single"/>
                </w:rPr>
                <w:t>Risk Factors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7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1B.</w:t>
            </w:r>
          </w:p>
        </w:tc>
        <w:tc>
          <w:tcPr>
            <w:tcW w:w="8925" w:type="dxa"/>
            <w:tcBorders/>
            <w:shd w:fill="FFFFFF" w:val="clear"/>
            <w:vAlign w:val="center"/>
          </w:tcPr>
          <w:p>
            <w:pPr>
              <w:pStyle w:val="TableContents"/>
              <w:bidi w:val="0"/>
              <w:spacing w:before="0" w:after="283"/>
              <w:jc w:val="left"/>
              <w:rPr/>
            </w:pPr>
            <w:hyperlink w:anchor="Na_004">
              <w:r>
                <w:rPr>
                  <w:rStyle w:val="InternetLink"/>
                  <w:rFonts w:ascii="Times New Roman;Times;Serif" w:hAnsi="Times New Roman;Times;Serif"/>
                  <w:b w:val="false"/>
                  <w:i w:val="false"/>
                  <w:caps w:val="false"/>
                  <w:smallCaps w:val="false"/>
                  <w:sz w:val="20"/>
                  <w:u w:val="single"/>
                </w:rPr>
                <w:t>Unresolved Staff Comments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1C</w:t>
            </w:r>
          </w:p>
        </w:tc>
        <w:tc>
          <w:tcPr>
            <w:tcW w:w="8925" w:type="dxa"/>
            <w:tcBorders/>
            <w:shd w:fill="CCEEFF" w:val="clear"/>
            <w:vAlign w:val="center"/>
          </w:tcPr>
          <w:p>
            <w:pPr>
              <w:pStyle w:val="TableContents"/>
              <w:bidi w:val="0"/>
              <w:spacing w:before="0" w:after="283"/>
              <w:jc w:val="left"/>
              <w:rPr/>
            </w:pPr>
            <w:hyperlink w:anchor="Na_005">
              <w:r>
                <w:rPr>
                  <w:rStyle w:val="InternetLink"/>
                  <w:rFonts w:ascii="Times New Roman;Times;Serif" w:hAnsi="Times New Roman;Times;Serif"/>
                  <w:b w:val="false"/>
                  <w:i w:val="false"/>
                  <w:caps w:val="false"/>
                  <w:smallCaps w:val="false"/>
                  <w:sz w:val="20"/>
                </w:rPr>
                <w:t>Cybersecurity</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925" w:type="dxa"/>
            <w:tcBorders/>
            <w:shd w:fill="FFFFFF" w:val="clear"/>
            <w:vAlign w:val="center"/>
          </w:tcPr>
          <w:p>
            <w:pPr>
              <w:pStyle w:val="TableContents"/>
              <w:bidi w:val="0"/>
              <w:spacing w:before="0" w:after="283"/>
              <w:jc w:val="left"/>
              <w:rPr/>
            </w:pPr>
            <w:hyperlink w:anchor="Na_006">
              <w:r>
                <w:rPr>
                  <w:rStyle w:val="InternetLink"/>
                  <w:rFonts w:ascii="Times New Roman;Times;Serif" w:hAnsi="Times New Roman;Times;Serif"/>
                  <w:b w:val="false"/>
                  <w:i w:val="false"/>
                  <w:caps w:val="false"/>
                  <w:smallCaps w:val="false"/>
                  <w:sz w:val="20"/>
                  <w:u w:val="single"/>
                </w:rPr>
                <w:t>Description of Property</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925" w:type="dxa"/>
            <w:tcBorders/>
            <w:shd w:fill="CCEEFF" w:val="clear"/>
            <w:vAlign w:val="center"/>
          </w:tcPr>
          <w:p>
            <w:pPr>
              <w:pStyle w:val="TableContents"/>
              <w:bidi w:val="0"/>
              <w:spacing w:before="0" w:after="283"/>
              <w:jc w:val="left"/>
              <w:rPr/>
            </w:pPr>
            <w:hyperlink w:anchor="Na_007">
              <w:r>
                <w:rPr>
                  <w:rStyle w:val="InternetLink"/>
                  <w:rFonts w:ascii="Times New Roman;Times;Serif" w:hAnsi="Times New Roman;Times;Serif"/>
                  <w:b w:val="false"/>
                  <w:i w:val="false"/>
                  <w:caps w:val="false"/>
                  <w:smallCaps w:val="false"/>
                  <w:sz w:val="20"/>
                  <w:u w:val="single"/>
                </w:rPr>
                <w:t>Legal Proceedings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925" w:type="dxa"/>
            <w:tcBorders/>
            <w:shd w:fill="FFFFFF" w:val="clear"/>
            <w:vAlign w:val="center"/>
          </w:tcPr>
          <w:p>
            <w:pPr>
              <w:pStyle w:val="TableContents"/>
              <w:bidi w:val="0"/>
              <w:spacing w:before="0" w:after="283"/>
              <w:jc w:val="left"/>
              <w:rPr/>
            </w:pPr>
            <w:hyperlink w:anchor="Na_008">
              <w:r>
                <w:rPr>
                  <w:rStyle w:val="InternetLink"/>
                  <w:rFonts w:ascii="Times New Roman;Times;Serif" w:hAnsi="Times New Roman;Times;Serif"/>
                  <w:b w:val="false"/>
                  <w:i w:val="false"/>
                  <w:caps w:val="false"/>
                  <w:smallCaps w:val="false"/>
                  <w:sz w:val="20"/>
                  <w:u w:val="single"/>
                </w:rPr>
                <w:t>Mine Safety Disclosures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5" w:type="dxa"/>
            <w:tcBorders/>
            <w:shd w:fill="FFFFFF" w:val="clear"/>
            <w:vAlign w:val="center"/>
          </w:tcPr>
          <w:p>
            <w:pPr>
              <w:pStyle w:val="TableContents"/>
              <w:bidi w:val="0"/>
              <w:spacing w:before="0" w:after="283"/>
              <w:jc w:val="center"/>
              <w:rPr/>
            </w:pPr>
            <w:hyperlink w:anchor="Na_009">
              <w:r>
                <w:rPr>
                  <w:rStyle w:val="InternetLink"/>
                  <w:rFonts w:ascii="Times New Roman;Times;Serif" w:hAnsi="Times New Roman;Times;Serif"/>
                  <w:b/>
                  <w:i w:val="false"/>
                  <w:caps w:val="false"/>
                  <w:smallCaps w:val="false"/>
                  <w:sz w:val="20"/>
                  <w:u w:val="single"/>
                </w:rPr>
                <w:t>PART II</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8925" w:type="dxa"/>
            <w:tcBorders/>
            <w:shd w:fill="CCEEFF" w:val="clear"/>
            <w:vAlign w:val="center"/>
          </w:tcPr>
          <w:p>
            <w:pPr>
              <w:pStyle w:val="TableContents"/>
              <w:bidi w:val="0"/>
              <w:spacing w:before="0" w:after="283"/>
              <w:jc w:val="left"/>
              <w:rPr/>
            </w:pPr>
            <w:hyperlink w:anchor="Na_010">
              <w:r>
                <w:rPr>
                  <w:rStyle w:val="InternetLink"/>
                  <w:rFonts w:ascii="Times New Roman;Times;Serif" w:hAnsi="Times New Roman;Times;Serif"/>
                  <w:b w:val="false"/>
                  <w:i w:val="false"/>
                  <w:caps w:val="false"/>
                  <w:smallCaps w:val="false"/>
                  <w:sz w:val="20"/>
                  <w:u w:val="single"/>
                </w:rPr>
                <w:t>Market for Registrant’s Common Equity, Related Stockholder Matters and Issuer Purchases of Equity Securities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7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8925" w:type="dxa"/>
            <w:tcBorders/>
            <w:shd w:fill="FFFFFF" w:val="clear"/>
            <w:vAlign w:val="center"/>
          </w:tcPr>
          <w:p>
            <w:pPr>
              <w:pStyle w:val="TableContents"/>
              <w:bidi w:val="0"/>
              <w:spacing w:before="0" w:after="283"/>
              <w:jc w:val="left"/>
              <w:rPr/>
            </w:pPr>
            <w:hyperlink w:anchor="Na_011">
              <w:r>
                <w:rPr>
                  <w:rStyle w:val="InternetLink"/>
                  <w:rFonts w:ascii="Times New Roman;Times;Serif" w:hAnsi="Times New Roman;Times;Serif"/>
                  <w:b w:val="false"/>
                  <w:i w:val="false"/>
                  <w:caps w:val="false"/>
                  <w:smallCaps w:val="false"/>
                  <w:sz w:val="20"/>
                  <w:u w:val="single"/>
                </w:rPr>
                <w:t>[Reserved]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7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w:t>
            </w:r>
          </w:p>
        </w:tc>
        <w:tc>
          <w:tcPr>
            <w:tcW w:w="8925" w:type="dxa"/>
            <w:tcBorders/>
            <w:shd w:fill="CCEEFF" w:val="clear"/>
            <w:vAlign w:val="center"/>
          </w:tcPr>
          <w:p>
            <w:pPr>
              <w:pStyle w:val="TableContents"/>
              <w:bidi w:val="0"/>
              <w:spacing w:before="0" w:after="283"/>
              <w:jc w:val="left"/>
              <w:rPr/>
            </w:pPr>
            <w:hyperlink w:anchor="Na_012">
              <w:r>
                <w:rPr>
                  <w:rStyle w:val="InternetLink"/>
                  <w:rFonts w:ascii="Times New Roman;Times;Serif" w:hAnsi="Times New Roman;Times;Serif"/>
                  <w:b w:val="false"/>
                  <w:i w:val="false"/>
                  <w:caps w:val="false"/>
                  <w:smallCaps w:val="false"/>
                  <w:sz w:val="20"/>
                  <w:u w:val="single"/>
                </w:rPr>
                <w:t>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7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7A.</w:t>
            </w:r>
          </w:p>
        </w:tc>
        <w:tc>
          <w:tcPr>
            <w:tcW w:w="8925" w:type="dxa"/>
            <w:tcBorders/>
            <w:shd w:fill="FFFFFF" w:val="clear"/>
            <w:vAlign w:val="center"/>
          </w:tcPr>
          <w:p>
            <w:pPr>
              <w:pStyle w:val="TableContents"/>
              <w:bidi w:val="0"/>
              <w:spacing w:before="0" w:after="283"/>
              <w:jc w:val="left"/>
              <w:rPr/>
            </w:pPr>
            <w:hyperlink w:anchor="Na_013">
              <w:r>
                <w:rPr>
                  <w:rStyle w:val="InternetLink"/>
                  <w:rFonts w:ascii="Times New Roman;Times;Serif" w:hAnsi="Times New Roman;Times;Serif"/>
                  <w:b w:val="false"/>
                  <w:i w:val="false"/>
                  <w:caps w:val="false"/>
                  <w:smallCaps w:val="false"/>
                  <w:sz w:val="20"/>
                  <w:u w:val="single"/>
                </w:rPr>
                <w:t>Quantitative and Qualitative Disclosures about Market Risk</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8.</w:t>
            </w:r>
          </w:p>
        </w:tc>
        <w:tc>
          <w:tcPr>
            <w:tcW w:w="8925" w:type="dxa"/>
            <w:tcBorders/>
            <w:shd w:fill="CCEEFF" w:val="clear"/>
            <w:vAlign w:val="center"/>
          </w:tcPr>
          <w:p>
            <w:pPr>
              <w:pStyle w:val="TableContents"/>
              <w:bidi w:val="0"/>
              <w:spacing w:before="0" w:after="283"/>
              <w:jc w:val="left"/>
              <w:rPr/>
            </w:pPr>
            <w:hyperlink w:anchor="Na_014">
              <w:r>
                <w:rPr>
                  <w:rStyle w:val="InternetLink"/>
                  <w:rFonts w:ascii="Times New Roman;Times;Serif" w:hAnsi="Times New Roman;Times;Serif"/>
                  <w:b w:val="false"/>
                  <w:i w:val="false"/>
                  <w:caps w:val="false"/>
                  <w:smallCaps w:val="false"/>
                  <w:sz w:val="20"/>
                  <w:u w:val="single"/>
                </w:rPr>
                <w:t>Financial Statements and Supplementary Data</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w:t>
            </w:r>
          </w:p>
        </w:tc>
        <w:tc>
          <w:tcPr>
            <w:tcW w:w="8925" w:type="dxa"/>
            <w:tcBorders/>
            <w:shd w:fill="FFFFFF" w:val="clear"/>
            <w:vAlign w:val="center"/>
          </w:tcPr>
          <w:p>
            <w:pPr>
              <w:pStyle w:val="TableContents"/>
              <w:bidi w:val="0"/>
              <w:spacing w:before="0" w:after="283"/>
              <w:jc w:val="left"/>
              <w:rPr/>
            </w:pPr>
            <w:hyperlink w:anchor="Na_015">
              <w:r>
                <w:rPr>
                  <w:rStyle w:val="InternetLink"/>
                  <w:rFonts w:ascii="Times New Roman;Times;Serif" w:hAnsi="Times New Roman;Times;Serif"/>
                  <w:b w:val="false"/>
                  <w:i w:val="false"/>
                  <w:caps w:val="false"/>
                  <w:smallCaps w:val="false"/>
                  <w:sz w:val="20"/>
                  <w:u w:val="single"/>
                </w:rPr>
                <w:t>Changes in and Disagreements with Accountants on Accounting and Financial Disclosure</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9A.</w:t>
            </w:r>
          </w:p>
        </w:tc>
        <w:tc>
          <w:tcPr>
            <w:tcW w:w="8925" w:type="dxa"/>
            <w:tcBorders/>
            <w:shd w:fill="CCEEFF" w:val="clear"/>
            <w:vAlign w:val="center"/>
          </w:tcPr>
          <w:p>
            <w:pPr>
              <w:pStyle w:val="TableContents"/>
              <w:bidi w:val="0"/>
              <w:spacing w:before="0" w:after="283"/>
              <w:jc w:val="left"/>
              <w:rPr/>
            </w:pPr>
            <w:hyperlink w:anchor="Na_016">
              <w:r>
                <w:rPr>
                  <w:rStyle w:val="InternetLink"/>
                  <w:rFonts w:ascii="Times New Roman;Times;Serif" w:hAnsi="Times New Roman;Times;Serif"/>
                  <w:b w:val="false"/>
                  <w:i w:val="false"/>
                  <w:caps w:val="false"/>
                  <w:smallCaps w:val="false"/>
                  <w:sz w:val="20"/>
                  <w:u w:val="single"/>
                </w:rPr>
                <w:t>Controls and Procedures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7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9B.</w:t>
            </w:r>
          </w:p>
        </w:tc>
        <w:tc>
          <w:tcPr>
            <w:tcW w:w="8925" w:type="dxa"/>
            <w:tcBorders/>
            <w:shd w:fill="FFFFFF" w:val="clear"/>
            <w:vAlign w:val="center"/>
          </w:tcPr>
          <w:p>
            <w:pPr>
              <w:pStyle w:val="TableContents"/>
              <w:bidi w:val="0"/>
              <w:spacing w:before="0" w:after="283"/>
              <w:jc w:val="left"/>
              <w:rPr/>
            </w:pPr>
            <w:hyperlink w:anchor="Na_017">
              <w:r>
                <w:rPr>
                  <w:rStyle w:val="InternetLink"/>
                  <w:rFonts w:ascii="Times New Roman;Times;Serif" w:hAnsi="Times New Roman;Times;Serif"/>
                  <w:b w:val="false"/>
                  <w:i w:val="false"/>
                  <w:caps w:val="false"/>
                  <w:smallCaps w:val="false"/>
                  <w:sz w:val="20"/>
                  <w:u w:val="single"/>
                </w:rPr>
                <w:t>Other Information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7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9C.</w:t>
            </w:r>
          </w:p>
        </w:tc>
        <w:tc>
          <w:tcPr>
            <w:tcW w:w="8925" w:type="dxa"/>
            <w:tcBorders/>
            <w:shd w:fill="CCEEFF" w:val="clear"/>
            <w:vAlign w:val="center"/>
          </w:tcPr>
          <w:p>
            <w:pPr>
              <w:pStyle w:val="TableContents"/>
              <w:bidi w:val="0"/>
              <w:spacing w:before="0" w:after="283"/>
              <w:jc w:val="left"/>
              <w:rPr/>
            </w:pPr>
            <w:hyperlink w:anchor="Na_018">
              <w:r>
                <w:rPr>
                  <w:rStyle w:val="InternetLink"/>
                  <w:rFonts w:ascii="Times New Roman;Times;Serif" w:hAnsi="Times New Roman;Times;Serif"/>
                  <w:b w:val="false"/>
                  <w:i w:val="false"/>
                  <w:caps w:val="false"/>
                  <w:smallCaps w:val="false"/>
                  <w:sz w:val="20"/>
                  <w:u w:val="single"/>
                </w:rPr>
                <w:t>Disclosure Regarding Foreign Jurisdictions that Prevent Inspections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5" w:type="dxa"/>
            <w:tcBorders/>
            <w:shd w:fill="CCEEFF" w:val="clear"/>
            <w:vAlign w:val="center"/>
          </w:tcPr>
          <w:p>
            <w:pPr>
              <w:pStyle w:val="TableContents"/>
              <w:bidi w:val="0"/>
              <w:spacing w:before="0" w:after="283"/>
              <w:jc w:val="center"/>
              <w:rPr/>
            </w:pPr>
            <w:hyperlink w:anchor="Na_019">
              <w:r>
                <w:rPr>
                  <w:rStyle w:val="InternetLink"/>
                  <w:rFonts w:ascii="Times New Roman;Times;Serif" w:hAnsi="Times New Roman;Times;Serif"/>
                  <w:b/>
                  <w:i w:val="false"/>
                  <w:caps w:val="false"/>
                  <w:smallCaps w:val="false"/>
                  <w:sz w:val="20"/>
                  <w:u w:val="single"/>
                </w:rPr>
                <w:t>PART III</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10.</w:t>
            </w:r>
          </w:p>
        </w:tc>
        <w:tc>
          <w:tcPr>
            <w:tcW w:w="8925" w:type="dxa"/>
            <w:tcBorders/>
            <w:shd w:fill="FFFFFF" w:val="clear"/>
            <w:vAlign w:val="center"/>
          </w:tcPr>
          <w:p>
            <w:pPr>
              <w:pStyle w:val="TableContents"/>
              <w:bidi w:val="0"/>
              <w:spacing w:before="0" w:after="283"/>
              <w:jc w:val="left"/>
              <w:rPr/>
            </w:pPr>
            <w:hyperlink w:anchor="Na_020">
              <w:r>
                <w:rPr>
                  <w:rStyle w:val="InternetLink"/>
                  <w:rFonts w:ascii="Times New Roman;Times;Serif" w:hAnsi="Times New Roman;Times;Serif"/>
                  <w:b w:val="false"/>
                  <w:i w:val="false"/>
                  <w:caps w:val="false"/>
                  <w:smallCaps w:val="false"/>
                  <w:sz w:val="20"/>
                  <w:u w:val="single"/>
                </w:rPr>
                <w:t>Directors, Executive Officers and Corporate Governance</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11.</w:t>
            </w:r>
          </w:p>
        </w:tc>
        <w:tc>
          <w:tcPr>
            <w:tcW w:w="8925" w:type="dxa"/>
            <w:tcBorders/>
            <w:shd w:fill="CCEEFF" w:val="clear"/>
            <w:vAlign w:val="center"/>
          </w:tcPr>
          <w:p>
            <w:pPr>
              <w:pStyle w:val="TableContents"/>
              <w:bidi w:val="0"/>
              <w:spacing w:before="0" w:after="283"/>
              <w:jc w:val="left"/>
              <w:rPr/>
            </w:pPr>
            <w:hyperlink w:anchor="Na_021">
              <w:r>
                <w:rPr>
                  <w:rStyle w:val="InternetLink"/>
                  <w:rFonts w:ascii="Times New Roman;Times;Serif" w:hAnsi="Times New Roman;Times;Serif"/>
                  <w:b w:val="false"/>
                  <w:i w:val="false"/>
                  <w:caps w:val="false"/>
                  <w:smallCaps w:val="false"/>
                  <w:sz w:val="20"/>
                  <w:u w:val="single"/>
                </w:rPr>
                <w:t>Executive Compensation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12.</w:t>
            </w:r>
          </w:p>
        </w:tc>
        <w:tc>
          <w:tcPr>
            <w:tcW w:w="8925" w:type="dxa"/>
            <w:tcBorders/>
            <w:shd w:fill="FFFFFF" w:val="clear"/>
            <w:vAlign w:val="center"/>
          </w:tcPr>
          <w:p>
            <w:pPr>
              <w:pStyle w:val="TableContents"/>
              <w:bidi w:val="0"/>
              <w:spacing w:before="0" w:after="283"/>
              <w:jc w:val="left"/>
              <w:rPr/>
            </w:pPr>
            <w:hyperlink w:anchor="Na_022">
              <w:r>
                <w:rPr>
                  <w:rStyle w:val="InternetLink"/>
                  <w:rFonts w:ascii="Times New Roman;Times;Serif" w:hAnsi="Times New Roman;Times;Serif"/>
                  <w:b w:val="false"/>
                  <w:i w:val="false"/>
                  <w:caps w:val="false"/>
                  <w:smallCaps w:val="false"/>
                  <w:sz w:val="20"/>
                  <w:u w:val="single"/>
                </w:rPr>
                <w:t>Security Ownership of Certain Beneficial Owners and Management and Related Stockholder Matters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13.</w:t>
            </w:r>
          </w:p>
        </w:tc>
        <w:tc>
          <w:tcPr>
            <w:tcW w:w="8925" w:type="dxa"/>
            <w:tcBorders/>
            <w:shd w:fill="CCEEFF" w:val="clear"/>
            <w:vAlign w:val="center"/>
          </w:tcPr>
          <w:p>
            <w:pPr>
              <w:pStyle w:val="TableContents"/>
              <w:bidi w:val="0"/>
              <w:spacing w:before="0" w:after="283"/>
              <w:jc w:val="left"/>
              <w:rPr/>
            </w:pPr>
            <w:hyperlink w:anchor="Na_023">
              <w:r>
                <w:rPr>
                  <w:rStyle w:val="InternetLink"/>
                  <w:rFonts w:ascii="Times New Roman;Times;Serif" w:hAnsi="Times New Roman;Times;Serif"/>
                  <w:b w:val="false"/>
                  <w:i w:val="false"/>
                  <w:caps w:val="false"/>
                  <w:smallCaps w:val="false"/>
                  <w:sz w:val="20"/>
                  <w:u w:val="single"/>
                </w:rPr>
                <w:t>Certain Relationships and Related Transactions, and Director Independence</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7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14.</w:t>
            </w:r>
          </w:p>
        </w:tc>
        <w:tc>
          <w:tcPr>
            <w:tcW w:w="8925" w:type="dxa"/>
            <w:tcBorders/>
            <w:shd w:fill="FFFFFF" w:val="clear"/>
            <w:vAlign w:val="center"/>
          </w:tcPr>
          <w:p>
            <w:pPr>
              <w:pStyle w:val="TableContents"/>
              <w:bidi w:val="0"/>
              <w:spacing w:before="0" w:after="283"/>
              <w:jc w:val="left"/>
              <w:rPr/>
            </w:pPr>
            <w:hyperlink w:anchor="Na_024">
              <w:r>
                <w:rPr>
                  <w:rStyle w:val="InternetLink"/>
                  <w:rFonts w:ascii="Times New Roman;Times;Serif" w:hAnsi="Times New Roman;Times;Serif"/>
                  <w:b w:val="false"/>
                  <w:i w:val="false"/>
                  <w:caps w:val="false"/>
                  <w:smallCaps w:val="false"/>
                  <w:sz w:val="20"/>
                  <w:u w:val="single"/>
                </w:rPr>
                <w:t>Principal Accountant Fees and Services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7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5" w:type="dxa"/>
            <w:tcBorders/>
            <w:shd w:fill="FFFFFF" w:val="clear"/>
            <w:vAlign w:val="center"/>
          </w:tcPr>
          <w:p>
            <w:pPr>
              <w:pStyle w:val="TableContents"/>
              <w:bidi w:val="0"/>
              <w:spacing w:before="0" w:after="283"/>
              <w:jc w:val="center"/>
              <w:rPr/>
            </w:pPr>
            <w:hyperlink w:anchor="Na_025">
              <w:r>
                <w:rPr>
                  <w:rStyle w:val="InternetLink"/>
                  <w:rFonts w:ascii="Times New Roman;Times;Serif" w:hAnsi="Times New Roman;Times;Serif"/>
                  <w:b/>
                  <w:i w:val="false"/>
                  <w:caps w:val="false"/>
                  <w:smallCaps w:val="false"/>
                  <w:sz w:val="20"/>
                  <w:u w:val="single"/>
                </w:rPr>
                <w:t>PART IV</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15.</w:t>
            </w:r>
          </w:p>
        </w:tc>
        <w:tc>
          <w:tcPr>
            <w:tcW w:w="8925" w:type="dxa"/>
            <w:tcBorders/>
            <w:shd w:fill="CCEEFF" w:val="clear"/>
            <w:vAlign w:val="center"/>
          </w:tcPr>
          <w:p>
            <w:pPr>
              <w:pStyle w:val="TableContents"/>
              <w:bidi w:val="0"/>
              <w:spacing w:before="0" w:after="283"/>
              <w:jc w:val="left"/>
              <w:rPr/>
            </w:pPr>
            <w:hyperlink w:anchor="Na_026">
              <w:r>
                <w:rPr>
                  <w:rStyle w:val="InternetLink"/>
                  <w:rFonts w:ascii="Times New Roman;Times;Serif" w:hAnsi="Times New Roman;Times;Serif"/>
                  <w:b w:val="false"/>
                  <w:i w:val="false"/>
                  <w:caps w:val="false"/>
                  <w:smallCaps w:val="false"/>
                  <w:sz w:val="20"/>
                  <w:u w:val="single"/>
                </w:rPr>
                <w:t>Exhibits and Financial Statement Schedules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7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w:t>
            </w:r>
          </w:p>
        </w:tc>
        <w:tc>
          <w:tcPr>
            <w:tcW w:w="8925" w:type="dxa"/>
            <w:tcBorders/>
            <w:shd w:fill="FFFFFF" w:val="clear"/>
            <w:vAlign w:val="center"/>
          </w:tcPr>
          <w:p>
            <w:pPr>
              <w:pStyle w:val="TableContents"/>
              <w:bidi w:val="0"/>
              <w:spacing w:before="0" w:after="283"/>
              <w:jc w:val="left"/>
              <w:rPr/>
            </w:pPr>
            <w:hyperlink w:anchor="Na_027">
              <w:r>
                <w:rPr>
                  <w:rStyle w:val="InternetLink"/>
                  <w:rFonts w:ascii="Times New Roman;Times;Serif" w:hAnsi="Times New Roman;Times;Serif"/>
                  <w:b w:val="false"/>
                  <w:i w:val="false"/>
                  <w:caps w:val="false"/>
                  <w:smallCaps w:val="false"/>
                  <w:sz w:val="20"/>
                  <w:u w:val="single"/>
                </w:rPr>
                <w:t>Form 10-K Summary</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bl>
    <w:p>
      <w:pPr>
        <w:pStyle w:val="TextBody"/>
        <w:shd w:fill="FFFFFF" w:val="clear"/>
        <w:bidi w:val="0"/>
        <w:spacing w:before="0" w:after="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REGARDING REFERENCES TO OUR COMPANY</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Form 10-K, the words “we,” “us,” “our,” the “Company” and “Microbot” refer to Microbot Medical Inc., including our directly and indirectly wholly owned subsidiary. Unless the context otherwise requires, the historical business, financial statements and operations of Microbot include Microbot Medical Ltd., an Israeli corporation (“Microbot Israel”) which became a wholly owned subsidiary of the Company on November 28, 2016. The capitalized term “Merger” refers to the November 28, 2016 merger of C&amp;RD Israel Ltd, a then wholly owned subsidiary of the Company, with and into Microbot Israel, with Microbot Israel surviving as a wholly owned subsidiary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 Summary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principal risks that could adversely affect our business, operations, and financial results. A more thorough discussion of these and other risks are listed under the section entitled “Risk Factors” commencing on page 13.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Microbot’s Financial Position and Need for Additional Capital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4"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doubt regarding our ability to continue as a going concern.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4" w:type="dxa"/>
            <w:tcBorders/>
            <w:vAlign w:val="center"/>
          </w:tcPr>
          <w:p>
            <w:pPr>
              <w:pStyle w:val="TableContents"/>
              <w:bidi w:val="0"/>
              <w:spacing w:before="0" w:after="283"/>
              <w:jc w:val="both"/>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4"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4" w:type="dxa"/>
            <w:tcBorders/>
            <w:vAlign w:val="center"/>
          </w:tcPr>
          <w:p>
            <w:pPr>
              <w:pStyle w:val="TableContents"/>
              <w:bidi w:val="0"/>
              <w:spacing w:before="0" w:after="283"/>
              <w:jc w:val="both"/>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4"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a limited operating history outside of being a research and development-stage company, which may make it difficult to evaluate the prospects for the Company’s future viability.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4" w:type="dxa"/>
            <w:tcBorders/>
            <w:vAlign w:val="center"/>
          </w:tcPr>
          <w:p>
            <w:pPr>
              <w:pStyle w:val="TableContents"/>
              <w:bidi w:val="0"/>
              <w:spacing w:before="0" w:after="283"/>
              <w:jc w:val="both"/>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4" w:type="dxa"/>
            <w:tcBorders/>
            <w:vAlign w:val="center"/>
          </w:tcPr>
          <w:p>
            <w:pPr>
              <w:pStyle w:val="TableContents"/>
              <w:bidi w:val="0"/>
              <w:spacing w:before="0" w:after="283"/>
              <w:jc w:val="both"/>
              <w:rPr>
                <w:caps w:val="false"/>
                <w:smallCaps w:val="false"/>
              </w:rPr>
            </w:pPr>
            <w:r>
              <w:rPr>
                <w:caps w:val="false"/>
                <w:smallCaps w:val="false"/>
              </w:rPr>
              <w:t>●</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will need additional funding. If Microbot is unable to raise capital when needed, it could be forced to delay, reduce or eliminate its product development programs or commercialization efforts.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the Development and Commercialization of Microbot’s Product Candidates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7" w:type="dxa"/>
            <w:tcBorders/>
            <w:vAlign w:val="center"/>
          </w:tcPr>
          <w:p>
            <w:pPr>
              <w:pStyle w:val="TableContents"/>
              <w:bidi w:val="0"/>
              <w:spacing w:before="0" w:after="283"/>
              <w:jc w:val="both"/>
              <w:rPr>
                <w:caps w:val="false"/>
                <w:smallCaps w:val="false"/>
              </w:rPr>
            </w:pPr>
            <w:r>
              <w:rPr>
                <w:caps w:val="false"/>
                <w:smallCaps w:val="false"/>
              </w:rPr>
              <w:t>●</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Unsuccessful animal studies, clinical trials or procedures relating to product candidates under development could have a material adverse effect on Microbot’s prospects.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7" w:type="dxa"/>
            <w:tcBorders/>
            <w:vAlign w:val="center"/>
          </w:tcPr>
          <w:p>
            <w:pPr>
              <w:pStyle w:val="TableContents"/>
              <w:bidi w:val="0"/>
              <w:spacing w:before="0" w:after="283"/>
              <w:jc w:val="both"/>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7"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business depends heavily on the success of its sole lead product candidate,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If Microbot is unable to commercialize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or experiences significant delays in doing so, Microbot’s business will be materially harmed.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7" w:type="dxa"/>
            <w:tcBorders/>
            <w:vAlign w:val="center"/>
          </w:tcPr>
          <w:p>
            <w:pPr>
              <w:pStyle w:val="TableContents"/>
              <w:bidi w:val="0"/>
              <w:spacing w:before="0" w:after="283"/>
              <w:jc w:val="both"/>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7"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Microbot’s research and development efforts are uncertain and there can be no assurance of the commercial success of Microbot’s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7" w:type="dxa"/>
            <w:tcBorders/>
            <w:vAlign w:val="center"/>
          </w:tcPr>
          <w:p>
            <w:pPr>
              <w:pStyle w:val="TableContents"/>
              <w:bidi w:val="0"/>
              <w:spacing w:before="0" w:after="283"/>
              <w:jc w:val="both"/>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7" w:type="dxa"/>
            <w:tcBorders/>
            <w:vAlign w:val="center"/>
          </w:tcPr>
          <w:p>
            <w:pPr>
              <w:pStyle w:val="TableContents"/>
              <w:bidi w:val="0"/>
              <w:spacing w:before="0" w:after="283"/>
              <w:jc w:val="both"/>
              <w:rPr>
                <w:caps w:val="false"/>
                <w:smallCaps w:val="false"/>
              </w:rPr>
            </w:pPr>
            <w:r>
              <w:rPr>
                <w:caps w:val="false"/>
                <w:smallCaps w:val="false"/>
              </w:rPr>
              <w:t>●</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may not meet its development and commercialization objectives in a timely manner or at all.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7" w:type="dxa"/>
            <w:tcBorders/>
            <w:vAlign w:val="center"/>
          </w:tcPr>
          <w:p>
            <w:pPr>
              <w:pStyle w:val="TableContents"/>
              <w:bidi w:val="0"/>
              <w:spacing w:before="0" w:after="283"/>
              <w:jc w:val="both"/>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7"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ability to expand its technology platforms for other uses may be limited.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7" w:type="dxa"/>
            <w:tcBorders/>
            <w:vAlign w:val="center"/>
          </w:tcPr>
          <w:p>
            <w:pPr>
              <w:pStyle w:val="TableContents"/>
              <w:bidi w:val="0"/>
              <w:spacing w:before="0" w:after="283"/>
              <w:jc w:val="both"/>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7"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time, Microbot does not know the extent of the clinical trial that the FDA will require it to submit in support of its future marketing applications for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which creates uncertainty for Microbot as well as the possibility of increased product development costs and time to market.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7" w:type="dxa"/>
            <w:tcBorders/>
            <w:vAlign w:val="center"/>
          </w:tcPr>
          <w:p>
            <w:pPr>
              <w:pStyle w:val="TableContents"/>
              <w:bidi w:val="0"/>
              <w:spacing w:before="0" w:after="283"/>
              <w:jc w:val="both"/>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7"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technology acquired from CardioSert and part of its One &amp; Done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feature is subject to a buy-back clause which was triggered, thus causing us to lose rights to the technology.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7" w:type="dxa"/>
            <w:tcBorders/>
            <w:vAlign w:val="center"/>
          </w:tcPr>
          <w:p>
            <w:pPr>
              <w:pStyle w:val="TableContents"/>
              <w:bidi w:val="0"/>
              <w:spacing w:before="0" w:after="283"/>
              <w:jc w:val="both"/>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7"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7" w:type="dxa"/>
            <w:tcBorders/>
            <w:vAlign w:val="center"/>
          </w:tcPr>
          <w:p>
            <w:pPr>
              <w:pStyle w:val="TableContents"/>
              <w:bidi w:val="0"/>
              <w:spacing w:before="0" w:after="283"/>
              <w:jc w:val="both"/>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7"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program is dependent on the availability of certain components from suppliers, the delay in delivery of which could materially adversely affect our ongoing development and ability to manufacture and package devices in the timeframes currently expected.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7" w:type="dxa"/>
            <w:tcBorders/>
            <w:vAlign w:val="center"/>
          </w:tcPr>
          <w:p>
            <w:pPr>
              <w:pStyle w:val="TableContents"/>
              <w:bidi w:val="0"/>
              <w:spacing w:before="0" w:after="283"/>
              <w:jc w:val="both"/>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7"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commercial opportunity for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and any other commercial products that may be developed by Microbot is smaller than Microbot anticipates, Microbot’s future revenue from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and such other products will be adversely affected and Microbot’s business will suffer.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7" w:type="dxa"/>
            <w:tcBorders/>
            <w:vAlign w:val="center"/>
          </w:tcPr>
          <w:p>
            <w:pPr>
              <w:pStyle w:val="TableContents"/>
              <w:bidi w:val="0"/>
              <w:spacing w:before="0" w:after="283"/>
              <w:jc w:val="both"/>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7"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will be unlikely to buy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or any other product candidates unless Microbot can demonstrate that they can be produced for sale to consumers at attractive prices.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7" w:type="dxa"/>
            <w:tcBorders/>
            <w:vAlign w:val="center"/>
          </w:tcPr>
          <w:p>
            <w:pPr>
              <w:pStyle w:val="TableContents"/>
              <w:bidi w:val="0"/>
              <w:spacing w:before="0" w:after="283"/>
              <w:jc w:val="both"/>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7"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relied on, and intends to continue to rely on, third-party manufacturers to produce its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7" w:type="dxa"/>
            <w:tcBorders/>
            <w:vAlign w:val="center"/>
          </w:tcPr>
          <w:p>
            <w:pPr>
              <w:pStyle w:val="TableContents"/>
              <w:bidi w:val="0"/>
              <w:spacing w:before="0" w:after="283"/>
              <w:jc w:val="both"/>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7"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Microbot’s product candidates are not considered to be a safe and effective alternative to existing technologies, Microbot will not be commercially successful.</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120" w:after="283"/>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4"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may be subject to penalties and may be precluded from marketing its product candidates if Microbot fails to comply with extensive governmental regulations.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4" w:type="dxa"/>
            <w:tcBorders/>
            <w:vAlign w:val="center"/>
          </w:tcPr>
          <w:p>
            <w:pPr>
              <w:pStyle w:val="TableContents"/>
              <w:bidi w:val="0"/>
              <w:spacing w:before="0" w:after="283"/>
              <w:jc w:val="both"/>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4" w:type="dxa"/>
            <w:tcBorders/>
            <w:vAlign w:val="center"/>
          </w:tcPr>
          <w:p>
            <w:pPr>
              <w:pStyle w:val="TableContents"/>
              <w:bidi w:val="0"/>
              <w:spacing w:before="0" w:after="283"/>
              <w:jc w:val="both"/>
              <w:rPr>
                <w:caps w:val="false"/>
                <w:smallCaps w:val="false"/>
              </w:rPr>
            </w:pPr>
            <w:r>
              <w:rPr>
                <w:caps w:val="false"/>
                <w:smallCaps w:val="false"/>
              </w:rPr>
              <w:t>●</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4" w:type="dxa"/>
            <w:tcBorders/>
            <w:vAlign w:val="center"/>
          </w:tcPr>
          <w:p>
            <w:pPr>
              <w:pStyle w:val="TableContents"/>
              <w:bidi w:val="0"/>
              <w:spacing w:before="0" w:after="283"/>
              <w:jc w:val="both"/>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4"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outcome studies for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may not provide sufficient data to make Microbot’s product candidates the standard of care.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4" w:type="dxa"/>
            <w:tcBorders/>
            <w:vAlign w:val="center"/>
          </w:tcPr>
          <w:p>
            <w:pPr>
              <w:pStyle w:val="TableContents"/>
              <w:bidi w:val="0"/>
              <w:spacing w:before="0" w:after="283"/>
              <w:jc w:val="both"/>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4"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products may in the future be subject to mandatory product recalls that could harm its reputation, business and financial results.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4" w:type="dxa"/>
            <w:tcBorders/>
            <w:vAlign w:val="center"/>
          </w:tcPr>
          <w:p>
            <w:pPr>
              <w:pStyle w:val="TableContents"/>
              <w:bidi w:val="0"/>
              <w:spacing w:before="0" w:after="283"/>
              <w:jc w:val="both"/>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4"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Microbot’s future commercialized products cause or contribute to a death or a serious injury, Microbot will be subject to Medical Device Reporting regulations, which can result in voluntary corrective actions or agency enforcement actions.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4" w:type="dxa"/>
            <w:tcBorders/>
            <w:vAlign w:val="center"/>
          </w:tcPr>
          <w:p>
            <w:pPr>
              <w:pStyle w:val="TableContents"/>
              <w:bidi w:val="0"/>
              <w:spacing w:before="0" w:after="283"/>
              <w:jc w:val="both"/>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4"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could be exposed to significant liability claims if Microbot is unable to obtain insurance at acceptable costs and adequate levels or otherwise protect itself against potential product liability claims.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4" w:type="dxa"/>
            <w:tcBorders/>
            <w:vAlign w:val="center"/>
          </w:tcPr>
          <w:p>
            <w:pPr>
              <w:pStyle w:val="TableContents"/>
              <w:bidi w:val="0"/>
              <w:spacing w:before="0" w:after="283"/>
              <w:jc w:val="both"/>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4"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Microbot fails to retain certain of its key personnel and attract and retain additional qualified personnel, Microbot might not be able to pursue its growth strategy effectively.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International Business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4"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Microbot fails to obtain regulatory clearances in other countries for its product candidates under development, Microbot will not be able to commercialize these product candidates in those countries.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4" w:type="dxa"/>
            <w:tcBorders/>
            <w:vAlign w:val="center"/>
          </w:tcPr>
          <w:p>
            <w:pPr>
              <w:pStyle w:val="TableContents"/>
              <w:bidi w:val="0"/>
              <w:spacing w:before="0" w:after="283"/>
              <w:jc w:val="both"/>
              <w:rPr>
                <w:caps w:val="false"/>
                <w:smallCaps w:val="false"/>
              </w:rPr>
            </w:pPr>
            <w:r>
              <w:rPr>
                <w:caps w:val="false"/>
                <w:smallCaps w:val="false"/>
              </w:rPr>
              <w:t> </w:t>
            </w:r>
          </w:p>
        </w:tc>
        <w:tc>
          <w:tcPr>
            <w:tcW w:w="99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4"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operations in international markets involve inherent risks that Microbot may not be able to control.</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Microbot’s Intellectual Property</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4"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litigation and infringement claims could cause Microbot to incur significant expenses or prevent Microbot from selling certain of its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4" w:type="dxa"/>
            <w:tcBorders/>
            <w:vAlign w:val="center"/>
          </w:tcPr>
          <w:p>
            <w:pPr>
              <w:pStyle w:val="TableContents"/>
              <w:bidi w:val="0"/>
              <w:spacing w:before="0" w:after="283"/>
              <w:jc w:val="both"/>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4"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4" w:type="dxa"/>
            <w:tcBorders/>
            <w:vAlign w:val="center"/>
          </w:tcPr>
          <w:p>
            <w:pPr>
              <w:pStyle w:val="TableContents"/>
              <w:bidi w:val="0"/>
              <w:spacing w:before="0" w:after="283"/>
              <w:jc w:val="both"/>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4"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Dependence on patent and other proprietary rights and failing to protect such rights or to be successful in litigation related to such rights may result in Microbot’s payment of significant monetary damages or impact offerings in its product portfolios.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Operations in Israel</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and historical risks relating to our operations in Israel are being exacerbated by the current military actions and operations, and related activities, that commenced with the surprise attack on the State of Israel on October 7, 2023.</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facilities located in Israel, and therefore, political conditions in Israel may affect Microbot’s operations and results.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relations could limit Microbot’s ability to sell or buy internationally.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Israel’s economy may become unstable.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rate fluctuations between the U.S. dollar and the NIS currencies may negatively affect Microbot’s operating costs.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Funding and other benefits provided by Israeli government programs may be terminated or reduced in the future and the terms of such funding may have a significant impact on future corporate decisions.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9"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Microbot’s employees are obligated to perform military reserve duty in Israel.</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Risks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9"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shares upon exercise of outstanding warrants and options could cause immediate and substantial dilution to existing stockholders.</w:t>
            </w:r>
          </w:p>
        </w:tc>
      </w:tr>
    </w:tbl>
    <w:p>
      <w:pPr>
        <w:pStyle w:val="TextBody"/>
        <w:bidi w:val="0"/>
        <w:spacing w:before="0" w:after="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4" w:name="Na_001"/>
      <w:bookmarkEnd w:id="34"/>
      <w:r>
        <w:rPr>
          <w:rFonts w:ascii="Times New Roman;Times;Serif" w:hAnsi="Times New Roman;Times;Serif"/>
          <w:b/>
          <w:i w:val="false"/>
          <w:caps w:val="false"/>
          <w:smallCaps w:val="false"/>
          <w:sz w:val="20"/>
        </w:rPr>
        <w:t>PART 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5" w:name="Na_002"/>
      <w:bookmarkEnd w:id="35"/>
      <w:r>
        <w:rPr>
          <w:rFonts w:ascii="Times New Roman;Times;Serif" w:hAnsi="Times New Roman;Times;Serif"/>
          <w:b/>
          <w:i w:val="false"/>
          <w:caps w:val="false"/>
          <w:smallCaps w:val="false"/>
          <w:sz w:val="20"/>
        </w:rPr>
        <w:t xml:space="preserve">Item 1. </w:t>
      </w:r>
      <w:r>
        <w:rPr>
          <w:rFonts w:ascii="Times New Roman;Times;Serif" w:hAnsi="Times New Roman;Times;Serif"/>
          <w:b/>
          <w:i w:val="false"/>
          <w:caps w:val="false"/>
          <w:smallCaps w:val="false"/>
          <w:sz w:val="20"/>
          <w:u w:val="single"/>
        </w:rPr>
        <w:t>Description of Business.</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our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we are developing the first ever fully disposable robot for various endovascular interventional procedures.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Technological Platforms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LIBERTY</w:t>
      </w:r>
      <w:r>
        <w:rPr>
          <w:rFonts w:ascii="Times New Roman;Times;Serif" w:hAnsi="Times New Roman;Times;Serif"/>
          <w:b/>
          <w:i/>
          <w:caps w:val="false"/>
          <w:smallCaps w:val="false"/>
          <w:position w:val="7"/>
          <w:sz w:val="16"/>
          <w:sz w:val="20"/>
        </w:rPr>
        <w:t xml:space="preserve">® </w:t>
      </w:r>
      <w:r>
        <w:rPr>
          <w:rFonts w:ascii="Times New Roman;Times;Serif" w:hAnsi="Times New Roman;Times;Serif"/>
          <w:b/>
          <w:i/>
          <w:caps w:val="false"/>
          <w:smallCaps w:val="false"/>
          <w:sz w:val="20"/>
        </w:rPr>
        <w:t>Endovascular Robotic Surgical System</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2020, Microbot unveiled what it believes is the world’s first fully disposable robotic system for use in endovascular interventional procedures, such as cardiovascular, peripheral and neurovascular.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addressable markets for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are the Interventional Cardiology, Interventional Radiology and Interventional Neuroradiology markets.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unique characteristics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 compact, mobile, disposable and remotely controlled - open the opportunity of expanding telerobotic interventions to patients with limited access to life-saving procedures, such as mechanical thrombectomy in ischemic stroke.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is being designed to have the following attributes:</w:t>
      </w:r>
    </w:p>
    <w:p>
      <w:pPr>
        <w:pStyle w:val="TextBody"/>
        <w:shd w:fill="FFFFFF" w:val="clear"/>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8"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Compact size - Eliminates the need for large capital equipment in dedicated cath-lab rooms with dedicated staff.</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8" w:type="dxa"/>
            <w:tcBorders/>
            <w:vAlign w:val="center"/>
          </w:tcPr>
          <w:p>
            <w:pPr>
              <w:pStyle w:val="TableContents"/>
              <w:bidi w:val="0"/>
              <w:spacing w:before="0" w:after="283"/>
              <w:jc w:val="both"/>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8"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 disposable - To our knowledge, the first fully disposable, robotic system for endovascular procedures.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8" w:type="dxa"/>
            <w:tcBorders/>
            <w:vAlign w:val="center"/>
          </w:tcPr>
          <w:p>
            <w:pPr>
              <w:pStyle w:val="TableContents"/>
              <w:bidi w:val="0"/>
              <w:spacing w:before="0" w:after="283"/>
              <w:jc w:val="both"/>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8"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&amp; Done</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 Can be made compatible with Microbot’s NitiLoop’s NovaCross® products or possibly other guidewire/microcatheter technologies, that combines guidewire and microcatheter into a single device.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8" w:type="dxa"/>
            <w:tcBorders/>
            <w:vAlign w:val="center"/>
          </w:tcPr>
          <w:p>
            <w:pPr>
              <w:pStyle w:val="TableContents"/>
              <w:bidi w:val="0"/>
              <w:spacing w:before="0" w:after="283"/>
              <w:jc w:val="both"/>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8"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the art maneuverability - Provides linear and rotational control of its guidewire, as well as linear and rotational control of a guide catheter, and the linear motion for an additional “over the wire” device.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8" w:type="dxa"/>
            <w:tcBorders/>
            <w:vAlign w:val="center"/>
          </w:tcPr>
          <w:p>
            <w:pPr>
              <w:pStyle w:val="TableContents"/>
              <w:bidi w:val="0"/>
              <w:spacing w:before="0" w:after="283"/>
              <w:jc w:val="both"/>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8"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Compatibility with a wide range of commercially-available guidewires, microcatheters and guide-catheters.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8" w:type="dxa"/>
            <w:tcBorders/>
            <w:vAlign w:val="center"/>
          </w:tcPr>
          <w:p>
            <w:pPr>
              <w:pStyle w:val="TableContents"/>
              <w:bidi w:val="0"/>
              <w:spacing w:before="0" w:after="283"/>
              <w:jc w:val="both"/>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8"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Enhanced operator safety and comfort - Aims to reduce exposure to ionizing radiation and the need for heavy lead vests otherwise to be worn during procedures, as well as reducing the exposure to Hospital Acquired Infections (HAI).</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8" w:type="dxa"/>
            <w:tcBorders/>
            <w:vAlign w:val="center"/>
          </w:tcPr>
          <w:p>
            <w:pPr>
              <w:pStyle w:val="TableContents"/>
              <w:bidi w:val="0"/>
              <w:spacing w:before="0" w:after="283"/>
              <w:jc w:val="both"/>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8"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Ease of use - Its intuitive remote controls aims to simplify advanced procedures while shortening the physician’s learning curve.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8" w:type="dxa"/>
            <w:tcBorders/>
            <w:vAlign w:val="center"/>
          </w:tcPr>
          <w:p>
            <w:pPr>
              <w:pStyle w:val="TableContents"/>
              <w:bidi w:val="0"/>
              <w:spacing w:before="0" w:after="283"/>
              <w:jc w:val="both"/>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8"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Telemedicine compatible - Capable of supporting tele-catheterization, carried out remotely by highly trained specialists.</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2020, Microbot announced the successful conclusion of its feasibility animal study using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pStyle w:val="TextBody"/>
        <w:shd w:fill="FFFFFF" w:val="clear"/>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 2023, we announced that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System’s remote operation capabilities, to pre-determined vascular targets, with a 100% success rate of reaching the intended target with no observable on-site complications.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announced the successful initial outcomes from our pivotal preclinical study with the LIBERTY® Endovascular Robotic Surgical System. The pivotal study was conducted by three leading interventional radiologists that utilized the LIBERTY® Endovascular Robotic Surgical System to reach a total of 48 animal targets. A total of 6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Systems were used in the study. All 6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IDE submission to the FDA to commence human clinical study. On January 29, 2024, the Company submitted an Investigational Device Exemption (IDE) application with the U.S. Food and Drug Administration, in order to commence its pivotal clinical trial in humans, and as of the filing date of this Annual Report on Form 10-K, we are continuing our interaction with the FDA regarding our IDE submission process. See “–Government Regulation–U.S. Regulation–Description of the IDE process” below.</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2023, we announced that we received confirmation for the commencement of the process to support our future CE Mark approval, and to ultimately allow us to market the LIBERTY®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NovaCross</w:t>
      </w:r>
      <w:r>
        <w:rPr>
          <w:rFonts w:ascii="Times New Roman;Times;Serif" w:hAnsi="Times New Roman;Times;Serif"/>
          <w:b/>
          <w:i/>
          <w:caps w:val="false"/>
          <w:smallCaps w:val="false"/>
          <w:position w:val="7"/>
          <w:sz w:val="16"/>
          <w:sz w:val="20"/>
        </w:rPr>
        <w: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feature.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Technologies and Platforms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and third quarters of 2023, as a result of our core-business focus program and our cost reduction plan, described below, we ceased research and development activities relating to the technology we acquired from CardioSert, and with respect to our SCS and TipCat platforms. As a result, we terminated the Company’s agreement with CardioSert for that technology, ceased maintaining the intellectual property with respect to that technology, and are returning the acquired intellectual property to CardioSert, and returned intellectual property relating to the SCS (ViRob) and TipCat to Technion Research and Development Foundation.</w:t>
      </w:r>
    </w:p>
    <w:p>
      <w:pPr>
        <w:pStyle w:val="TextBody"/>
        <w:shd w:fill="FFFFFF" w:val="clear"/>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Settlement of Lawsuit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26, 2024 (the “Effective Date”), we entered into a Settlement Agreement and Release (the “Settlement Agreement”) with Empery Asset Master Ltd., Empery Tax Efficient, LP, Empery Tax Efficient III, LP and Hudson Bay Master Fund Ltd. (collectively, “Plaintiffs”), which resolved and settled the below referenced litigation between the Company and Plaintiffs. The Company previously announced that it was a defendant in a lawsuit captioned Empery Asset Master Ltd., Empery Tax Efficient, LP, Empery Tax Efficient II, LP, Hudson Bay Master Fund Ltd., Plaintiffs, against Microbot Medical Inc., Defendant, in the Supreme Court of the State of New York, County of New York (Index No. 651182/2020) (the “Lawsuit”), pursuant to which the Plaintiffs alleged, among other things, that the Company breached multiple representations and warranties contained in the Securities Purchase Agreement (the “SPA”) related to the Company’s June 8, 2017 equity financing (the “Financing”), of which the Plaintiffs participated, and fraudulently induced Plaintiffs into signing the SPA. The complaint sought rescission of the SPA and return of the Plaintiffs’ $6.75 million purchase price with respect to the Financing.</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Settlement Agreement, the Company paid Plaintiffs an aggregate of $2,154,000 (the “Total Settlement Amount”), consisting of a cash payment covered by the Company’s insurance carrier of $1,100,000 and 1,005,965 shares of restricted Company common stock (the “Shares”), which Shares represent the whole number of restricted shares of Company common stock calculated pursuant to the following formula: $1,054,000/[closing price of Company common stock on the Effective Date * 0.825]. Additionally, the Plaintiffs and the Company each agreed to fully release the other from all claims arising out of the Financing, the SPA and/or the allegations and claims asserted in the Lawsuit, subject to customary carve-outs.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the Plaintiffs filed a stipulation discontinuing the Lawsuit with prejudice.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agreed, pursuant to a Registration Rights Agreement (the “Registration Rights Agreement”), to file a registration statement on Form S-1 or Form S-3 covering the resale of the Shares (the “Resale Registration Statement”), within 30 calendar days following the Effective Date, and to use reasonable best efforts to have such Resale Registration Statement declared effective by the SEC within 60 days (or, in the event of a “full review” by the Securities and Exchange Commission, within 90 days) following the Effective Date. We shall be required to make cash payments to the Plaintiffs in the event we fail to register the Shares and keep the Resale Registration Statement effective pursuant to the terms of the Registration Rights Agreement, and if we fail to remove the restrictions on the Shares pursuant to the terms of the Settlement Agreement.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Investment Option Inducement Transaction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Preferred Investment Option Exercise and Inducement Letter on December 29, 2023 (the “Inducement Letter”) with certain selling stockholders (the “Stockholders”), the registered holders of existing (i) Series A preferred investment options to purchase shares of the Company’s common stock at an exercise price of $2.20 per share, issued on October 25, 2022, as amended on May 24, 2023, (ii) Series C preferred investment options to purchase shares of the Company’s common stock at an exercise price of $2.075 per share, issued on June 6, 2023, and (iii) Series D preferred investment options to purchase shares of the Company’s common stock at an exercise price of $3.19 per share issued on June 26, 2023 (the “Existing Investment Options”), pursuant to which the Stockholders agreed to exercise for cash their Existing Investment Options to purchase an aggregate of 1,685,682 shares of the Company’s common stock, at a reduced exercised price of $1.62 per share, in consideration for the Company’s agreement to issue new preferred investment options (the “Inducement Investment Options”) to purchase up to an aggregate of 1,685,682 shares of the Company’s common stock at an exercise price of $1.50 per share. The closings of the transactions contemplated by the Inducement Letter occurred on January 3, 2024. The Inducement Investment Options are immediately exercisable from the date of issuance until five and one-half (5.5) years following the date of issuance. No other changes to the Existing Investment Options were made.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Core-Business Focus Program</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2023, the Board of Directors of the Company authorized, and the Company commenced, a core-business focus program while the Company seeks to raise additional capital to continue development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This core-business focus program includes the cessation of research and development activities not related to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including terminating the Company’s agreement with CardioSert for, and returning and ceasing the maintenance of, that technology, and returning intellectual property relating to the SCS (ViRob) and TipCat to Technion Research and Development Foundation.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Reduction Plan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core-business focus program described above, the Board of Directors of the Company authorized, and the Company commenced, a cost reduction plan while the Company seeks to raise additional capital to continue development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and June 2023 and in January 2024, we raised sufficient capital that, together with the savings from the cost reduction plan, enabled us to continue our operations, including completion of the V&amp;V study, perform the GLP study and submit the IDE to the U.S. Food &amp; Drug Administration. We also, as of November 1, 2023, recommenced paying Rachel Vaknin, our CFO, and Simon Sharon, our CTO and General Manager, their regular salaries and benefits that were previously reduced as a result of the cost reduction plan, and as of January 1, 2024, recommenced paying Harel Gadot, our CEO, and the independent directors of our Board their regular salaries and benefits, or fees as the case may be, that were previously reduced as a result of the cost reduction plan. We continue to seek new sources of capital to stabilize our finances and provide operating runway. In the event the Company is not successful in raising additional capital, or if the results of the V&amp;V study and first-in-human trials are not promising, the Company may be forced to take more drastic actions to conserve capital or shut down operations entirely.</w:t>
      </w:r>
    </w:p>
    <w:p>
      <w:pPr>
        <w:pStyle w:val="TextBody"/>
        <w:shd w:fill="FFFFFF" w:val="clear"/>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First-In-Human Clinical Cases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29, 2024, we submitted an Investigational Device Exemption (IDE) application with the U.S. Food and Drug Administration, in order to commence our pivotal clinical trial in humans, and as of the filing date of this Annual Report on Form 10-K, we are continuing our interaction with the FDA regarding our IDE submission process. See “–Government Regulation–U.S. Regulation–Description of the IDE process” below.</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Israel-Hamas War</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filing date of this Annual Report on Form 10-K.</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considered various ongoing risks relating to the military operation and related matters, including:</w:t>
      </w:r>
    </w:p>
    <w:p>
      <w:pPr>
        <w:pStyle w:val="TextBody"/>
        <w:shd w:fill="FFFFFF" w:val="clear"/>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4"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some of the Company’s Israeli subcontractors, vendors, suppliers and other companies in which the Company relies, are currently only partially active, as instructed by the relevant authorities;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4" w:type="dxa"/>
            <w:tcBorders/>
            <w:vAlign w:val="center"/>
          </w:tcPr>
          <w:p>
            <w:pPr>
              <w:pStyle w:val="TableContents"/>
              <w:bidi w:val="0"/>
              <w:spacing w:before="0" w:after="283"/>
              <w:jc w:val="both"/>
              <w:rPr>
                <w:caps w:val="false"/>
                <w:smallCaps w:val="false"/>
              </w:rPr>
            </w:pPr>
            <w:r>
              <w:rPr>
                <w:caps w:val="false"/>
                <w:smallCaps w:val="false"/>
              </w:rPr>
              <w:t> </w:t>
            </w:r>
          </w:p>
        </w:tc>
        <w:tc>
          <w:tcPr>
            <w:tcW w:w="99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4"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slowdown in the number of international flights in and out of Israel.</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filing date of this Annual Report on Form 10-K,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Overview</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Minimally Invasive Robot-Assisted Endovascular Interventions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Minimally Invasive Surgery, or MIS, refers to surgical procedures performed through tiny incisions instead of a single large opening. Because the incisions are small, patients tend to have quicker recovery times and experience less trauma than with conventional surgery. The global MIS surgery is expected to grow from $24 billion in 2020 to $42 billion in 2026, representing a CAGR of 9.85%. MIS involves three major categories of devices: surgical, monitoring and visualization, and endoscopy. The market for surgical devices, including ablation, electrosurgery and medical robotic systems, accounts for the largest share of revenue and is also expected to show the highest rate of growth. According to the Society of Robotic Surgery, the U.S. market growth in endoluminal robotic surgery is projected to be 15-25% by 2025.</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Vascular disease is the most common precursor to ischemic heart disease and stroke, which are two of the leading causes of death worldwide. Advances in endovascular intervention in recent years have transformed patient survival rates and post-surgical quality of life. It is estimated that more than three million percutaneous coronary interventions (PCI) and over two million of peripheral vascular interventions are performed annually worldwide. The incidence of stroke in the U.S. alone is estimated at 900,000 cases annually. Compared to open surgery, it has the advantages of faster recovery, reduced need for general anesthesia, reduced blood loss and significantly lower mortality. However, the current practice of endovascular procedures, which virtually has remained unchanged since the introduction of Intervention four decades ago, is limited by a number of factors, including physical strain and exposure to X-Ray radiation of the operator, and involves complex maneuvering of intervention tools, such as guidewires and catheters, to reach target areas in the vasculature. Despite recent advancements in technology and devices, manual procedures are still highly dependent on the technical skills and training of the operator, what makes the access to expert medical centers and advanced emergent treatments, such as endovascular thrombectomy for acute ischemic stroke, geographically limited. In addition, we believe that demand for physicians continues to grow faster than supply.</w:t>
      </w:r>
    </w:p>
    <w:p>
      <w:pPr>
        <w:pStyle w:val="TextBody"/>
        <w:shd w:fill="FFFFFF" w:val="clear"/>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Endovascular robotic systems are aimed to increase the stability and precision of guidewires and catheters, protecting the physicians from ionizing radiation and physical strain by removing them from the radiation source, helping in closing shortages of skilled physicians and skill gaps and enable tele-interventions (e.g. the Hub &amp; Spoke hospital model).</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there are only a few commercially available robotic systems for endovascular interventions. We believe these systems have major drawbacks, such as limited maneuverability, the requirement to exchange and use multiple expensive surgical tools, being cumbersome to set-up and operate, and requiring significant up-front capital expenditures.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believes that with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coupled with its own NovaCross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products and other off-the-shelf products, it is well-positioned to deliver a value-added endovascular robotic system, with a focus on improving the ease and access and enhancing the safety of endovascular interventions.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Strategy</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goal is to generate sales of its products, once they have received regulatory approval, by establishing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as the standard-of-care in the eyes of medical practitioners, patients and medical facilities, as well as getting the support of payors and insurance companies. Microbot believes that it can achieve this objective by working with health care providers and systems to demonstrate the key benefits of its products. Microbot’s strategy includes the following key elements:</w:t>
      </w:r>
    </w:p>
    <w:p>
      <w:pPr>
        <w:pStyle w:val="TextBody"/>
        <w:shd w:fill="FFFFFF" w:val="clear"/>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1"/>
        <w:gridCol w:w="994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1"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refine existing product candidates and develop additional surgical robotic solutions. As Microbot prepares to bring its initial product through the support of preclinical and clinical trials, it continues gathering patients, patient and clinical data, and patient and physician feedback post-market. Microbot also expects to continue to innovate in the surgical robotics field by continuing to find ways of using its core technology to solve unmet needs, with the overarching goal of providing a safer, more effective and more efficient surgical environment for patients and physicians.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1" w:type="dxa"/>
            <w:tcBorders/>
            <w:vAlign w:val="center"/>
          </w:tcPr>
          <w:p>
            <w:pPr>
              <w:pStyle w:val="TableContents"/>
              <w:bidi w:val="0"/>
              <w:spacing w:before="0" w:after="283"/>
              <w:jc w:val="both"/>
              <w:rPr>
                <w:caps w:val="false"/>
                <w:smallCaps w:val="false"/>
              </w:rPr>
            </w:pPr>
            <w:r>
              <w:rPr>
                <w:caps w:val="false"/>
                <w:smallCaps w:val="false"/>
              </w:rPr>
              <w:t> </w:t>
            </w:r>
          </w:p>
        </w:tc>
        <w:tc>
          <w:tcPr>
            <w:tcW w:w="99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1"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and leverage relationships with key institutions and leading clinicians. Microbot’s objective will be to maintain clinical focus with leading hospitals and clinics so as to establish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as well as possibly other future products, as the standard of care in such institutions for their respective procedures. Microbot also expects to identify Key Opinion Leaders (KOLs) with the relevant specialties (for instance interventional radiology) with the expectation that such clinical focus will accelerate the adoption of its candidate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1" w:type="dxa"/>
            <w:tcBorders/>
            <w:vAlign w:val="center"/>
          </w:tcPr>
          <w:p>
            <w:pPr>
              <w:pStyle w:val="TableContents"/>
              <w:bidi w:val="0"/>
              <w:spacing w:before="0" w:after="283"/>
              <w:jc w:val="both"/>
              <w:rPr>
                <w:caps w:val="false"/>
                <w:smallCaps w:val="false"/>
              </w:rPr>
            </w:pPr>
            <w:r>
              <w:rPr>
                <w:caps w:val="false"/>
                <w:smallCaps w:val="false"/>
              </w:rPr>
              <w:t> </w:t>
            </w:r>
          </w:p>
        </w:tc>
        <w:tc>
          <w:tcPr>
            <w:tcW w:w="99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1"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Continuously invest in research and development. Microbot’s most significant expense has historically been research and development, and Microbot expects to continue investing in research and development activities, including expenses it expects to incur to improve on its prototype products in order to respond to clinical data, to develop additional applications using its technologies and to develop future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1" w:type="dxa"/>
            <w:tcBorders/>
            <w:vAlign w:val="center"/>
          </w:tcPr>
          <w:p>
            <w:pPr>
              <w:pStyle w:val="TableContents"/>
              <w:bidi w:val="0"/>
              <w:spacing w:before="0" w:after="283"/>
              <w:jc w:val="both"/>
              <w:rPr>
                <w:caps w:val="false"/>
                <w:smallCaps w:val="false"/>
              </w:rPr>
            </w:pPr>
            <w:r>
              <w:rPr>
                <w:caps w:val="false"/>
                <w:smallCaps w:val="false"/>
              </w:rPr>
              <w:t> </w:t>
            </w:r>
          </w:p>
        </w:tc>
        <w:tc>
          <w:tcPr>
            <w:tcW w:w="99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1"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Explore partnerships for the introduction of Microbot’s products. In parallel to its efforts to establish direct sales and marketing capabilities, Microbot intends to continue its efforts on pursuing collaborations with global medical device companies that have established sales and distribution networks. Microbot will seek to enter collaborations and partnerships with strategic players that offer synergies with Microbot’s product candidates and expertise.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1" w:type="dxa"/>
            <w:tcBorders/>
            <w:vAlign w:val="center"/>
          </w:tcPr>
          <w:p>
            <w:pPr>
              <w:pStyle w:val="TableContents"/>
              <w:bidi w:val="0"/>
              <w:spacing w:before="0" w:after="283"/>
              <w:jc w:val="both"/>
              <w:rPr>
                <w:caps w:val="false"/>
                <w:smallCaps w:val="false"/>
              </w:rPr>
            </w:pPr>
            <w:r>
              <w:rPr>
                <w:caps w:val="false"/>
                <w:smallCaps w:val="false"/>
              </w:rPr>
              <w:t> </w:t>
            </w:r>
          </w:p>
        </w:tc>
        <w:tc>
          <w:tcPr>
            <w:tcW w:w="99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1"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additional IP and technologies to complement and strengthen Microbot’s current IP portfolio. Microbot intends to continue exploring new technologies, IP and know-how to add to its current portfolio through licensing, mergers and/or acquisitions and to allow Microbot to enter new spaces and strengthen its overall product portfolio.</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LIBERTY</w:t>
      </w:r>
      <w:r>
        <w:rPr>
          <w:rFonts w:ascii="Times New Roman;Times;Serif" w:hAnsi="Times New Roman;Times;Serif"/>
          <w:b/>
          <w:i/>
          <w:caps w:val="false"/>
          <w:smallCaps w:val="false"/>
          <w:position w:val="7"/>
          <w:sz w:val="16"/>
          <w:sz w:val="20"/>
        </w:rPr>
        <w:t xml:space="preserve">® </w:t>
      </w:r>
      <w:r>
        <w:rPr>
          <w:rFonts w:ascii="Times New Roman;Times;Serif" w:hAnsi="Times New Roman;Times;Serif"/>
          <w:b/>
          <w:i/>
          <w:caps w:val="false"/>
          <w:smallCaps w:val="false"/>
          <w:sz w:val="20"/>
        </w:rPr>
        <w:t>Competitive Landscape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main competitor to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is the CorPath GRX vascular robotics system by Corindus Vascular Robotics, a Siemens Healthineers company. To our knowledge, CorPath GRX system is FDA-approved and CE-marked for percutaneous coronary and vascular procedures, is CE-marked for neurovascular interventions and is pending FDA approval for neurovascular interventions. Another competitor is Robocath (CE Marked for PCI only). We believe these systems have drawbacks, such as limited maneuverability, the requirement to exchange and use multiple expensive surgical tools, being cumbersome to set-up and operate, and requiring significant upfront capital expenditures. We also expect that we could be competing with other technologies that are in different stages of development, including preclinical and without CE/FDA approvals, such as LN Robotics and Endoways, of which additional competitive data will be required to better explore their respective positioning in the competitive landscape.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existing and planned products could also be rendered obsolete or uneconomical by technological advances developed in the future by existing or new competitors. Some of Microbot’s competitors currently have significantly greater resources than Microbot does; have established relationships with healthcare professionals, customers and third-party payors; and have long-term contracts with group purchasing organizations in the United States. In addition, some of Microbot’s competitors have established distributor networks, greater resources for product development, sales and marketing, additional lines of products and the ability to offer financial incentives such as rebates, bundled products or discounts on other product lines that Microbot cannot provide.</w:t>
      </w:r>
    </w:p>
    <w:p>
      <w:pPr>
        <w:pStyle w:val="TextBody"/>
        <w:shd w:fill="FFFFFF" w:val="clear"/>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System’s core technology is co-owned by Microbot and The Technion Research and Development Foundation Ltd., or TRDF. The NovaCross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device is based on technologies acquired by Microbot from Nitiloop Ltd. Microbot may develop other medical-robotic solutions through internal research and development, to strengthen its intellectual property position, and to continue exploring strategic collaborations and accretive acquisition opportunities. Microbot currently holds an intellectual property portfolio of 12 patents issued/allowed and 47 patent applications pending worldwide. Microbot also holds 10 design patents issued/allowed and 5 design patents pending worldwide. It also has registered trademarks in Israel, Europe, UK and the U.S. relating to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and also has trademarks relating to its proprietary Microbot Medical wordmark and logo registered in Israel, Europe, and UK, and pending in the U.S. and China, in addition to having registered trademarks for the “One &amp; Done” wordmark in Israel, Europe, the U.S., UK, and Japan. Microbot also has a registered trademark in the U.S. for the NovaCross trademark.</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relies or intends to rely on intellectual property licensed or developed, including patents, trade secrets, trademarks, technical innovations, laws of unfair competition and various licensing agreements, to provide its future growth, to build its competitive position and to protect its technology. As Microbot continues to expand its intellectual property portfolio, it is critical for Microbot to continue to invest in filing patent applications to protect its technology, inventions, and improvements.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requires its employees and consultants to execute confidentiality agreements in connection with their employment or consulting relationships with Microbot. Microbot also requires its employees and consultants who work on its product candidates to agree to disclose and assign to Microbot all inventions conceived during the term of their service, while using Microbot property, or which relate to Microbot’s business.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applications in the United States and in foreign countries are maintained in secrecy for a period of time after filing, which results in a delay between the filing date of the patent applications and the time when they are published. Patents issued and patent applications filed relating to medical devices are numerous, and there can be no assurance that current and potential competitors and other third parties have not filed or in the future will not file applications for, or have not received or in the future will not receive, patents or obtain additional proprietary rights relating to product candidates, products, devices or processes used or proposed to be used by Microbot. Microbot believes that the technologies it employs in its products and systems do not infringe the valid claims of any third-party patents. There can be no assurance, however, that third parties will not seek to assert that Microbot devices and systems infringe their patents or seek to expand their patent claims to cover aspects of Microbot’s products and systems.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medical device industry in general has been characterized by substantial litigation regarding patents and other intellectual property rights. Any such claims, regardless of their merit, could be time-consuming and expensive to respond to and could divert Microbot’s technical and management personnel. Microbot may be involved in litigation to defend against claims of infringement by other patent holders, to enforce patents issued to Microbot, or to protect Microbot’s trade secrets. If any relevant claims of third-party patents are upheld as valid and enforceable in any litigation or administrative proceeding, Microbot could be prevented from practicing the subject matter claimed in such patents, or would be required to obtain licenses from the patent owners of each such patent, or to redesign Microbot’s products, devices or processes to avoid infringement. There can be no assurance that such licenses would be available or, if available, would be available on terms acceptable to Microbot or that Microbot would be successful in any attempt to redesign products or processes to avoid infringement. Accordingly, an adverse determination in a judicial or administrative proceeding or failure to obtain necessary licenses, could potentially prevent Microbot from manufacturing and selling its products.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issued U.S. patents, which cover Microbot’s product candidates, will expire between 2032 and 2040, not including any patent term adjustments that may be available. Issued patents outside of the United States directed to Microbot’s product candidates will expire between 2032 and 2040.</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License Agreement with the Technion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2012, Microbot entered into a license agreement with TRDF, the technology transfer subsidiary of The Technion Institute of Technology, pursuant to which it obtained an exclusive, worldwide, royalty-bearing, sub-licensable license to certain patents and inventions relating to the SCS and TipCAT technology platforms invented by Professor Moshe Shoham, a former director of and an advisor to the Company, and in certain circumstances other TRDF-related persons. During the second and third quarters of 2023, as a result of our core-business focus program and our cost reduction plan, we ceased research and development activities relating to the SCS and TipCat platforms. As a result, we returned intellectual property relating to the SCS (ViRob) and TipCat to TRDF.</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which was invented by employees of Microbot together with Professor Moshe Shoham of the Technion, in his capacity as a consultant to Microbot, is co-owned by Microbot and TRDF, and the parties established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as a “Joint Invention” in accordance with the terms of the License Agreement. Once the Joint Invention is established, Microbot will have to pay TRDF royalties of between 1.5% and 3.0% of net sales of products covered by this Joint Invention.</w:t>
      </w:r>
    </w:p>
    <w:p>
      <w:pPr>
        <w:pStyle w:val="TextBody"/>
        <w:shd w:fill="FFFFFF" w:val="clear"/>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research and development programs are generally pursued by engineers and scientists employed by Microbot in its offices in Israel on a full-time basis or as consultants, or through partnerships with industry leaders in manufacturing and design and researchers in academia. Microbot is also working with subcontractors in developing specific components of its technologies.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objectives of Microbot’s research and development efforts are to continue to introduce incremental enhancements to the capabilities of its candidate products and to advance the development of proposed products.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has received grants from the Israeli Innovation Authority (“IIA”) for participation in research and development since 2013 through December 31, 2023 totaling approximately $1.8 million. This amount includes amounts received in 2023 of approximately $304,000, which are a portion of an additional grant from the IIA in the amount of approximately NIS 1.6 million (approximately $447,000) approved by the IIA on June 1, 2023, to further finance the development of the manufacturing process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result of the agreement with CardioSert on January 4, 2018, Microbot Israel took over the liability to repay CardioSert’s IIA grants in the aggregate amount of approximately $530,000, which liability will remain for so long as the Company continues to own the CardioSert assets. As a result of CardioSert’s recent exercise to have the assets returned, we expect that this will cease to be a liability upon return.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agreement with Nitiloop, on October 6, 2022, Microbot Israel took over the liability to repay Nitiloop’s IIA grants in the aggregate amount of approximately $925,000.</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the IIA grants described above, the Company is obligated to pay royalties amounting to 3%-5% of its future sales of the products relating to such grants.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grants are linked to the exchange rate of the dollar to the New Israeli Shekel and bears interest of SOFR per year (SOFR is a benchmark interest rate which replaced LIBOR).</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11, 2022, the Company received approval for a grant from the Ministry of Economy, in the amount of NIS 300,000 (approximately $83,000), for participation in expenses related to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in the U.S. market. As of December 31, 2023, the Company received approximately $27,000 of such amount. In relation with the Ministry of Economy grant, the Company is obligated to pay royalties amounting to 3% of future sales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up to the grant amount plus interest.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expects to continue to access government funding in the future.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December 31, 2022 and 2023, respectively, Microbot incurred research and development expenses of approximately $7,736,000 and $5,724,000.</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Strategic collaboration agreement with Stryker</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2021, the Company entered into a strategic collaboration agreement for technology co-development with Stryker Corporation, acting through its Neurovascular Division. Pursuant to the agreement, the collaborative development program between the Company and Stryker aims to integrate certain of Stryker’s instruments with the Company’s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to address certain neurovascular procedures. The parties conducted discussions in the past to define the development plan; however, due to other strategic priorities, the collaboration is not moving forward.</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does not have any manufacturing facilities or manufacturing personnel. Microbot currently relies, and expects to continue to rely, on third parties for the manufacturing of its product candidates for preclinical and clinical testing, as well as for commercial manufacturing if its product candidates receive marketing approval.</w:t>
      </w:r>
    </w:p>
    <w:p>
      <w:pPr>
        <w:pStyle w:val="TextBody"/>
        <w:shd w:fill="FFFFFF" w:val="clear"/>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Microbot initiated the transfer to production by means of designing and building molds for plastic injection of parts which is a more cost-effective method for producing high quantities compared to conventional machined production of these parts. Some molds are already operative while others are being designed and built. We expect completing the molds during 2024.</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2023, we signed a Turn-Key Manufacturing Agreement with a subcontractor that is suited to assemble and test our products under applicable regulatory requirements and regulations. As of the filing date of this Annual Report on Form 10-K, we are working with the subcontractor to transfer the production to the subcontractor.</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Commercialization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not yet established a sales, marketing or product distribution infrastructure for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or any other product candidate, which are still in development stages. Microbot plans to access the U.S. markets with its initial device offerings through direct sales, distributors, as well as strategic partnerships. Microbot has not yet developed a commercial strategy outside of the United States, but it most likely would utilize distributors and strategic partnerships.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medical technology products and operations are subject to extensive regulation in the United States and other countries. Most notably, if Microbot seeks to sell its products in the United States, its products will be subject to the Federal Food, Drug, and Cosmetic Act (FDCA) as implemented and enforced by the U.S. Food and Drug Administration (FDA). The FDA regulates the development, bench and clinical testing, manufacturing, labeling, storage, record-keeping, promotion, marketing, sales, distribution and post-market support and reporting of medical devices in the United States to ensure that medical products distributed domestically are safe and effective for their intended uses. Regulatory policy affecting its products can change at any time.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and promotion of medical devices in the United States, in addition to being regulated by the FDA, are also regulated by the Federal Trade Commission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countries where Microbot wishes to sell its products may require similar or more onerous approvals to manufacture or market its products. Government agencies in those countries also enforce laws and regulations that govern the development, testing, manufacturing, labeling, advertising, marketing and distribution, and market surveillance of medical device products. These regulatory requirements can change rapidly with relatively short notice.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regulations Microbot encounters in the United States and in other jurisdictions are the regulations that are common to all businesses, such as employment legislation, implied warranty laws, and environmental, health and safety standards, to the extent applicable. In the future, Microbot will also encounter industry-specific government regulations that would govern its products, if and when they are developed for commercial use.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Regulation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governs the following activities that Microbot performs, will perform, upon the clearance or approval of its product candidates, or that are performed on its behalf, to ensure that medical products distributed domestically or exported internationally are safe and effective for their intended uses:</w:t>
      </w:r>
    </w:p>
    <w:p>
      <w:pPr>
        <w:pStyle w:val="TextBody"/>
        <w:shd w:fill="FFFFFF" w:val="clear"/>
        <w:bidi w:val="0"/>
        <w:spacing w:before="0" w:after="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75"/>
        <w:gridCol w:w="230"/>
        <w:gridCol w:w="36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3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design, and development;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36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3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safety, testing, labeling and storage;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36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3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keeping procedures;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36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3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marketing.</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numerous FDA regulatory requirements governing the approval or clearance and subsequent commercial marketing of Microbot’s products. These include:</w:t>
      </w:r>
    </w:p>
    <w:p>
      <w:pPr>
        <w:pStyle w:val="TextBody"/>
        <w:shd w:fill="FFFFFF" w:val="clear"/>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1"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timely submission of product listing and establishment registration information, along with associated establishment user fees;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1" w:type="dxa"/>
            <w:tcBorders/>
            <w:vAlign w:val="center"/>
          </w:tcPr>
          <w:p>
            <w:pPr>
              <w:pStyle w:val="TableContents"/>
              <w:bidi w:val="0"/>
              <w:spacing w:before="0" w:after="283"/>
              <w:jc w:val="both"/>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1"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compliance with the Quality System Regulation, or QSR, which require specification developers and manufacturers, including third-party manufacturers, to follow stringent design, testing, control, documentation and other quality assurance procedures during all aspects of the manufacturing process;</w:t>
            </w:r>
          </w:p>
        </w:tc>
      </w:tr>
    </w:tbl>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8"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labeling regulations and FDA prohibitions against the promotion of products for uncleared, unapproved or off-label use or indication;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8" w:type="dxa"/>
            <w:tcBorders/>
            <w:vAlign w:val="center"/>
          </w:tcPr>
          <w:p>
            <w:pPr>
              <w:pStyle w:val="TableContents"/>
              <w:bidi w:val="0"/>
              <w:spacing w:before="0" w:after="283"/>
              <w:jc w:val="both"/>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8"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clearance or approval of product modifications that could significantly affect the safety or effectiveness of the device or that would constitute a major change in intended use;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8" w:type="dxa"/>
            <w:tcBorders/>
            <w:vAlign w:val="center"/>
          </w:tcPr>
          <w:p>
            <w:pPr>
              <w:pStyle w:val="TableContents"/>
              <w:bidi w:val="0"/>
              <w:spacing w:before="0" w:after="283"/>
              <w:jc w:val="both"/>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8"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Device Reporting regulations (MDR), which require that manufacturers keep detailed records of investigations or complaints against their devices and to report to the FDA if their device may have caused or contributed to a death or serious injury or malfunctioned in a way that would likely cause or contribute to a death or serious injury if it were to recur;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8" w:type="dxa"/>
            <w:tcBorders/>
            <w:vAlign w:val="center"/>
          </w:tcPr>
          <w:p>
            <w:pPr>
              <w:pStyle w:val="TableContents"/>
              <w:bidi w:val="0"/>
              <w:spacing w:before="0" w:after="283"/>
              <w:jc w:val="both"/>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8"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adequate use of the Corrective and Preventive Actions process to identify and correct or prevent significant systemic failures of products or processes or in trends which suggest same;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8" w:type="dxa"/>
            <w:tcBorders/>
            <w:vAlign w:val="center"/>
          </w:tcPr>
          <w:p>
            <w:pPr>
              <w:pStyle w:val="TableContents"/>
              <w:bidi w:val="0"/>
              <w:spacing w:before="0" w:after="283"/>
              <w:jc w:val="both"/>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8"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post-approval restrictions or conditions, including post-approval study commitments;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8" w:type="dxa"/>
            <w:tcBorders/>
            <w:vAlign w:val="center"/>
          </w:tcPr>
          <w:p>
            <w:pPr>
              <w:pStyle w:val="TableContents"/>
              <w:bidi w:val="0"/>
              <w:spacing w:before="0" w:after="283"/>
              <w:jc w:val="both"/>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8"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post-market surveillance regulations, which apply when necessary to protect the public health or to provide additional safety and effectiveness data for the device;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8" w:type="dxa"/>
            <w:tcBorders/>
            <w:vAlign w:val="center"/>
          </w:tcPr>
          <w:p>
            <w:pPr>
              <w:pStyle w:val="TableContents"/>
              <w:bidi w:val="0"/>
              <w:spacing w:before="0" w:after="283"/>
              <w:jc w:val="both"/>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8"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of correction or removal and recall regulations.</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 exemption applies, before Microbot can commercially distribute medical devices in the United States, Microbot must obtain, depending on the classification of the device, either prior 510(k) clearance, 510(k) de-novo clearance or premarket approval (PMA), from the FDA. The FDA classifies medical devices into one of three classes based on the degree of risk associated with each medical device and the extent of regulatory controls needed to ensure the device’s safety and effectiveness:</w:t>
      </w:r>
    </w:p>
    <w:p>
      <w:pPr>
        <w:pStyle w:val="TextBody"/>
        <w:shd w:fill="FFFFFF" w:val="clear"/>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1"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 devices, which are low risk and subject to only general controls (e.g., registration and listing, medical device labeling compliance, MDRs, Quality System Regulations, and prohibitions against adulteration and misbranding) and, in some cases, to the 510(k) premarket clearance requirements;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1" w:type="dxa"/>
            <w:tcBorders/>
            <w:vAlign w:val="center"/>
          </w:tcPr>
          <w:p>
            <w:pPr>
              <w:pStyle w:val="TableContents"/>
              <w:bidi w:val="0"/>
              <w:spacing w:before="0" w:after="283"/>
              <w:jc w:val="both"/>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1"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 devices, which are moderate risk and generally require 510(k) or 510(k) de-novo premarket clearance before they may be commercially marketed in the United States as well as general controls and potentially special controls like performance standards or specific labeling requirements;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1" w:type="dxa"/>
            <w:tcBorders/>
            <w:vAlign w:val="center"/>
          </w:tcPr>
          <w:p>
            <w:pPr>
              <w:pStyle w:val="TableContents"/>
              <w:bidi w:val="0"/>
              <w:spacing w:before="0" w:after="283"/>
              <w:jc w:val="both"/>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1"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III devices, which are devices deemed by the FDA to pose the greatest risk, such as life-sustaining, life-supporting or implantable devices, or devices deemed not substantially equivalent to a predicate device. Class III devices generally require the submission and approval of a PMA supported by clinical trial data.</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expects the medical products in its pipeline currently to be classified as Class II. Class II devices are those for which general controls alone are insufficient to provide reasonable assurance of safety and effectiveness and there is sufficient information to establish special controls. Special controls can include performance standards, post-market surveillance, patient histories and FDA guidance documents. Premarket review and clearance by the FDA for these devices is generally accomplished through the 510(k) or 510(k) de-novo premarket notification process. As part of the 510(k) or 510(k) de-novo notification process, FDA may require the following:</w:t>
      </w:r>
    </w:p>
    <w:p>
      <w:pPr>
        <w:pStyle w:val="TextBody"/>
        <w:shd w:fill="FFFFFF" w:val="clear"/>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3"/>
        <w:gridCol w:w="991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comprehensive product description and indications for use;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review of predicate devices and development of data supporting the new product’s substantial equivalence to one or more predicate devices;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appropriate and required, certain types of clinical trials (IDE submission and approval may be required for conducting a clinical trial in the U.S.).</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involve use of the medical device on human subjects under the supervision of qualified investigators in accordance with current Good Clinical Practices (GCPs), including the requirement that all research subjects provide informed consent for their participation in the clinical study. A written protocol with predefined end points, an appropriate sample size and pre-determined patient inclusion and exclusion criteria, is required before initiating and conducting a clinical trial. All clinical investigations of devices to determine safety and effectiveness must be conducted in accordance with the FDA’s Investigational device Exemption, or IDE, regulations that among other things, govern investigational device labeling, prohibit promotion of the investigational device, and specify recordkeeping, reporting and monitoring responsibilities of study sponsors and study investigators. If the device presents a “significant risk,” as defined by the FDA, the agency requires the device sponsor to submit an IDE application, which must become effective prior to commencing human clinical trials.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Description of the IDE process.</w:t>
      </w:r>
      <w:r>
        <w:rPr>
          <w:rFonts w:ascii="Times New Roman;Times;Serif" w:hAnsi="Times New Roman;Times;Serif"/>
          <w:b w:val="false"/>
          <w:i w:val="false"/>
          <w:caps w:val="false"/>
          <w:smallCaps w:val="false"/>
          <w:sz w:val="20"/>
        </w:rPr>
        <w:t xml:space="preserve"> The IDE will become effective 30 days after receipt by the FDA, unless the FDA otherwise informs the sponsor prior to the 30-day period that the IDE is approved, approved with conditions, or disapproved. If the FDA determines that additional information is required, the FDA may permit a clinical trial to proceed under a conditional approval. In case of disapproval, the Company can continue its existing IDE process interaction with the FDA, and supply FDA with additional information to obtain approval or conditional approval. In addition, the study must be approved by, and conducted under the oversight of, an Institutional Review Board (IRB) for each clinical site. If the device presents a non-significant risk to the patient, a sponsor may begin the clinical trial after obtaining approval for the trial by one or more IRBs without separate approval from the FDA, but it must still follow abbreviated IDE requirements, such as monitoring the investigation, ensuring that the investigators obtain informed consent, and labeling and record-keeping requirements.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510(k) clearance typically involves the following:</w:t>
      </w:r>
    </w:p>
    <w:p>
      <w:pPr>
        <w:pStyle w:val="TextBody"/>
        <w:shd w:fill="FFFFFF" w:val="clear"/>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6"/>
        <w:gridCol w:w="9944"/>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6"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successful completion of all required testing, a detailed 510(k) premarket notification or 510(k) de-novo is submitted to the FDA requesting clearance to market the product. The notification includes all relevant data from pertinent preclinical and clinical trials, together with detailed information relating to the product’s manufacturing controls and proposed labeling, and other relevant documentation.</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120" w:after="283"/>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7"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510(k) clearance letter from the FDA will authorize commercial marketing of the device for one or more specific indications for use.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7" w:type="dxa"/>
            <w:tcBorders/>
            <w:vAlign w:val="center"/>
          </w:tcPr>
          <w:p>
            <w:pPr>
              <w:pStyle w:val="TableContents"/>
              <w:bidi w:val="0"/>
              <w:spacing w:before="0" w:after="283"/>
              <w:jc w:val="both"/>
              <w:rPr>
                <w:caps w:val="false"/>
                <w:smallCaps w:val="false"/>
              </w:rPr>
            </w:pPr>
            <w:r>
              <w:rPr>
                <w:caps w:val="false"/>
                <w:smallCaps w:val="false"/>
              </w:rPr>
              <w:t> </w:t>
            </w:r>
          </w:p>
        </w:tc>
        <w:tc>
          <w:tcPr>
            <w:tcW w:w="995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7"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510(k) clearance, Microbot will be required to comply with a number of post-clearance requirements, including, but not limited to, Medical Device Reporting and complaint handling, and, if applicable, reporting of corrective actions. Also, quality control and manufacturing procedures must continue to conform to QSRs. The FDA periodically inspects manufacturing facilities to assess compliance with QSRs, which impose extensive procedural, substantive, and record keeping requirements on medical device manufacturers. In addition, changes to the manufacturing process are strictly regulated, and, depending on the change, validation activities may need to be performed. Accordingly, manufacturers must continue to expend time, money and effort in the area of production and quality control to maintain compliance with QSRs and other types of regulatory controls.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7" w:type="dxa"/>
            <w:tcBorders/>
            <w:vAlign w:val="center"/>
          </w:tcPr>
          <w:p>
            <w:pPr>
              <w:pStyle w:val="TableContents"/>
              <w:bidi w:val="0"/>
              <w:spacing w:before="0" w:after="283"/>
              <w:jc w:val="both"/>
              <w:rPr>
                <w:caps w:val="false"/>
                <w:smallCaps w:val="false"/>
              </w:rPr>
            </w:pPr>
            <w:r>
              <w:rPr>
                <w:caps w:val="false"/>
                <w:smallCaps w:val="false"/>
              </w:rPr>
              <w:t> </w:t>
            </w:r>
          </w:p>
        </w:tc>
        <w:tc>
          <w:tcPr>
            <w:tcW w:w="995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7"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 device receives 510(k) clearance from the FDA, any modification that could significantly affect its safety or effectiveness, or that would constitute a major change in its intended use or technological characteristics, requires a new 510(k) clearance or could require a PMA. The FDA requires each manufacturer to make the determination of whether a modification requires a new 510(k) notification or PMA in the first instance, but the FDA can review any such decision. If the FDA disagrees with a manufacturer’s decision not to seek a new 510(k) clearance or PMA for a particular change, the FDA may retroactively require the manufacturer to seek 510(k) clearance or PMA. The FDA can also require the manufacturer to cease U.S. marketing and/or recall the modified device until additional 510(k) clearance or PMA approval is obtained.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7" w:type="dxa"/>
            <w:tcBorders/>
            <w:vAlign w:val="center"/>
          </w:tcPr>
          <w:p>
            <w:pPr>
              <w:pStyle w:val="TableContents"/>
              <w:bidi w:val="0"/>
              <w:spacing w:before="0" w:after="283"/>
              <w:jc w:val="both"/>
              <w:rPr>
                <w:caps w:val="false"/>
                <w:smallCaps w:val="false"/>
              </w:rPr>
            </w:pPr>
            <w:r>
              <w:rPr>
                <w:caps w:val="false"/>
                <w:smallCaps w:val="false"/>
              </w:rPr>
              <w:t> </w:t>
            </w:r>
          </w:p>
        </w:tc>
        <w:tc>
          <w:tcPr>
            <w:tcW w:w="995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7"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and the Federal Trade Commission, or FTC, will also regulate the advertising claims of Microbot’s products to ensure that the claims Microbot makes are consistent with its regulatory clearances, that there is scientific data to substantiate the claims and that product advertising is neither false nor misleading.</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obtain 510(k) clearance, Microbot must submit a notification to the FDA demonstrating that its proposed device is substantially equivalent to a predicate device (i.e., a device that was in commercial distribution before May 28, 1976, a device that has been reclassified from Class III to Class I or Class II, or a 510(k)-cleared device). The FDA’s 510(k) clearance process generally takes from three to 12 months from the date the application is submitted but also can take significantly longer. If the FDA determines that the device or its intended use is not substantially equivalent to a predicate device, the device is automatically placed into Class III, requiring the submission of a PMA.</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the FDA will grant Microbot 510(k) clearance for its pipeline medical device products, and failure to obtain the necessary clearances for its products would adversely affect Microbot’s ability to grow its business. Delays in receipt or failure to receive the necessary clearances, or the failure to comply with existing or future regulatory requirements, could reduce its business prospects.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Devices that cannot be cleared through the 510(k) process due to lack of a predicate device but would be considered low or moderate risk may be eligible for the 510(k) de-novo process. In 1997, the Food and Drug Administration Modernization Act, or FDAMA added the de novo classification pathway now codified in section 513(f)(2) of the FD&amp;C Act. This law established an alternate pathway to classify new devices into Class I or II that had automatically been placed in Class III after receiving a Not Substantially Equivalent, or NSE, determination in response to a 510(k) submission. Through this regulatory process, a sponsor who receives an NSE determination may, within 30 days of receipt, request FDA to make a risk-based classification of the device through what is called a “de novo request.” In 2012, section 513(f)(2) of the FD&amp;C Act was amended by section 607 of the Food and Drug Administration Safety and Innovation Act (FDASIA), in order to provide a second option for de novo classification. Under this second pathway, a sponsor who determines that there is no legally marketed device upon which to base a determination of substantial equivalence can submit a de novo request to FDA without first submitting a 510(k).</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Microbot receives a Not Substantially Equivalent determination for either of its device candidates in response to a 510(k) submission, the Microbot device may still be eligible for the 510(k) de-novo classification process.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Devices that cannot be cleared through the 510(k) or 510(k) de-novo classification process require the submission of a PMA. The PMA process is much more time consuming and demanding than the 510(k) notification process. A PMA must be supported by extensive data, including but not limited to data obtained from preclinical and/or clinical studies and data relating to manufacturing and labeling, to demonstrate to the FDA’s satisfaction the safety and effectiveness of the device. After a PMA application is submitted, the FDA’s in-depth review of the information generally takes between one and three years and may take significantly longer. If the FDA does not grant 510(k) clearance to its products, there is no guarantee that Microbot will submit a PMA or that if Microbot does, that the FDA would grant a PMA approval of Microbot’s products, either of which would adversely affect Microbot’s business.</w:t>
      </w:r>
    </w:p>
    <w:p>
      <w:pPr>
        <w:pStyle w:val="TextBody"/>
        <w:shd w:fill="FFFFFF" w:val="clear"/>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Regulation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regulations in the United States, Microbot will be subject to a variety of foreign regulations governing clinical trials, marketing authorization and commercial sales and distribution of its products in foreign countries. The approval process varies from country to country, and the time may be longer or shorter than that required for FDA approval or clearance. The requirements governing the conduct of clinical trials, product licensing, pricing and reimbursement vary greatly from country to country.</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sales of medical devices are subject to foreign governmental regulations which vary substantially from country to country. Whether or not Microbot obtains FDA approval or clearance for its products, Microbot will be required to make new regulatory submissions to the comparable regulatory authorities of foreign countries before Microbot can commence clinical trials or marketing of the product in such countries. The time required to obtain certification or approval by a foreign country may be longer or shorter than that required for FDA clearance or approval, and the requirements may differ. Below are summaries of the regulatory systems for medical devices in Europe and Israel, where Microbot currently anticipates marketing its products. However, its products may also be marketed in other countries that have different systems or minimal requirements for medical devices.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Europe. The primary regulatory body in Europe is the European Union, or E.U., which consists of 27 member states and has a coordinated system for the authorization of medical devices.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E.U. has adopted legislation, in the form of directives to be implemented in each member state, concerning the regulation of medical devices within the European Union. The directives include, among others, the Medical Device Regulation, or MDR, that establishes certain requirements with which medical devices must comply before they can be commercialized in the European Economic Area, or EEA (which comprises the member states of the E.U. plus Norway, Liechtenstein and Iceland). Under the MDR, medical devices are classified into four Classes, I, IIa, IIb, and III, with Class I being the lowest risk and Class III being the highest risk.</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commercialize medical devices in the European Union, a CE Mark certificate is needed. This certification verifies that a device meets all regulatory requirements for medical devices under the new Medical Devices Regulation (MDR 2017/745). The CE approval process in Europe is summarized below:</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obtain CE Marking certification, comply with European Commission Regulation (EU) No. 2017/745, commonly known as the Medical Device Regulation (MDR).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Appoint a Person Responsible for Regulatory Compliance (PRRC). Determine classification of device - Class I (self-certified); Class I (sterile, measuring or reusable surgical instrument); Class IIa, Class IIb, or Class III.</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For all devices, implement a Quality Management System (QMS) in accordance with the MDR. Companies usually apply the EN ISO 13485 standard to achieve compliance. The QMS must include Clinical Evaluation, Post-Market Surveillance (PMS) and Post Market Clinical Follow-up (PMCF) plans. Make arrangements with suppliers about unannounced Notified Body audits. For Class I (self-certified), implement a QMS though Notified Body intervention is not required.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Prepare a CE Technical Documentation or Design Dossier (Class III) providing information about the device and its intended use plus testing reports, Clinical Evaluation Report (CER), risk management file, Instruction For Use (IFU), labeling and more. Obtain a Unique Device Identifier (UDI) for the device. All devices, even legacy products in use for decades, will require clinical data. Most of these data should refer to the subject device. Clinical studies are generally required for implantable and Class III devices. Existing clinical data may be acceptable. Clinical trials in Europe must be pre-approved by a European Competent Authority.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If the company does not have a location in Europe, appoint an Authorized Representative (EC REP) located in the EU who is qualified to handle regulatory issues. Place the EC REP name and address on device label. Obtain a Single Registration Number from the regulators.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For all devices except Class I (self-certified), the QMS and Technical Documentation or Design Dossier must be audited by a Notified Body, a third-party accredited by European authorities to audit medical device companies and products.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For all devices except Class I (self-certified), the company will be issued a European CE Marking Certificate for the device and an ISO 13485 certificate for the company’s facility following successful completion of the Notified Body audit. ISO 13485 certification must be renewed every year. CE Marking certificates are typically valid for a maximum of 5 years, but are typically reviewed during the annual surveillance audit.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Prepare a Declaration of Conformity, a legally binding document prepared by the manufacturer stating that the device is in compliance with the applicable European requirements. At this time, the CE Marking may be affixed.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Register the device and its Unique Device Identifier (UDI) in the EUDAMED database. UDI must be on label and associated with the regulatory documents.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For Class I (self-certified), annual NB audits are not required. However, CER, Technical File, and PMS activities must be kept updated. For all other classes, the company will be audited each year by a Notified Body to ensure ongoing compliance with the MDR. Failure to pass the audit will invalidate the CE Marking certificate. The company must perform Clinical Evaluation, PMS, and PMCF.</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intends to apply for the CE Mark for each of its medical device products. There is no guarantee that Microbot will be granted a CE Mark for all or any of its pipeline products and failure to obtain the CE Mark would adversely affect its ability to grow its business.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2023, we announced that we received confirmation for the commencement of the process to support our future CE Mark approval, and to ultimately allow us to market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 Israel’s Medical Devices Law generally requires the registration of all medical products with the Ministry of Health, or MOH, Registrar as a precondition for production and distribution in Israel. Special exemptions may apply under limited circumstances and for purposes such as the provision of essential medical treatment, research and development of the medical device, and personal use, among others.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of medical devices requires the submission of an application to the Ministry of Health Medical Institutions and Devices Licensing Department, or AMAR. An application for the registration of a medical device includes the following:</w:t>
      </w:r>
    </w:p>
    <w:p>
      <w:pPr>
        <w:pStyle w:val="TextBody"/>
        <w:shd w:fill="FFFFFF" w:val="clear"/>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the manufacturer, and of the importer as applicable;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of the intended use of the medical device and of its medical indications;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details of the medical device and of its components, and in the event that the device or the components are not new, information should be provided on the date or renovation;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attesting to the safety of the device, issued by a competent authority of one of the following countries: Australia, Canada, European Community (EC), Member States (MSs), Israel, Japan, or the United States;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on any risk which may be associated with the use of the device (including precautionary measures to be taken);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Instructions for use of the device in Hebrew; the MOH may allow the instructions to be in English for certain devices;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standards to which the device complies;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of the technical and maintenance services, including periodic checks and inspections;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Declaration, as appropriate: of the local manufacturer/importer, and of the foreign manufacturer.</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application includes a certificate issued by a competent authority of one of the following “recognized” countries: Australia, Canada, European Community (CE) Member States (MSs), Japan, or the United States, the registration process is generally expedited, but could still take 6-9 months for approval. If such certificate is not available, the registration process will take significantly longer and a license is rarely issued. Furthermore, the MOH will determine what type of testing is needed. In general, in the case of Israeli manufactured devices that are not registered or authorized in any “recognized” country, the application requires presentation of a risk analysis, a clinical evaluation, a summary of the clinical trials, and expert opinions regarding the device’s safety and effectiveness. Additional requirements may apply during the registration period, including follow-up reviews, to improve the quality and safety of the devices.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regulations issued by Israel’s Minister of Health in June 2013, a decision on a request to register a medical device must be delivered by AMAR within 120 days from the date of the request, although this rarely occurs. The current rules for the registration of medical devices do not provide for an expedited approval process.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granted by the MOH,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the Israeli Registration Holder, or IRH, must do the following to maintain its license:</w:t>
      </w:r>
    </w:p>
    <w:p>
      <w:pPr>
        <w:pStyle w:val="TextBody"/>
        <w:shd w:fill="FFFFFF" w:val="clear"/>
        <w:bidi w:val="0"/>
        <w:spacing w:before="0" w:after="0"/>
        <w:jc w:val="both"/>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75"/>
        <w:gridCol w:w="230"/>
        <w:gridCol w:w="73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7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 and maintain a place of business in Israel and serve as the regulatory representative.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73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7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Respond to questions from AMAR concerning the registered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73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7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adverse events to AMAR.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73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7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 the registration on time to keep the market approval active.</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post-marketing requirements, including reporting of adverse and unexpected events occurring in Israel or in other countries where the device is in use.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Getting a device listed on Israel’s four major Sick Funds (health insurance entities) is also necessary in order for Israeli hospitals and health care providers to order such products.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intends to apply for a license from the MOH for each of its medical devices. There is no guarantee that Microbot will be granted licenses for its pipeline products and failure to obtain such licenses would adversely affect its ability to grow its business.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25, 2024, we have 22 employees (including full-time and hourly employees).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Chief Executive Officer, President and Chairman, Harel Gadot, along with 5 other full-time employees, are based in the United States. Additionally, Microbot has 15 full-time employees and 1 part time employee based in its office located in Yokneam, Israel. These employees oversee day-to-day operations of the Company and leading engineering, manufacturing, intellectual property and administration functions of the Company. As required, Microbot also engages consultants to provide services to the Company, including regulatory, legal and corporate services. We are subject to labor laws and regulations within our locations in the U.S. and Israel. These laws and regulations principally concern matters such as pensions, paid annual vacation, paid sick days, length of the workday and work week, minimum wages, overtime pay, insurance for work-related accidents, severance pay and other conditions of employment. Microbot has no unionized employees.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historically been able to attract and retain top talent by creating a culture that challenges and engages our employees, offering them opportunities to learn, grow and achieve their career goals.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Benefits and Wellbeing</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provide competitive compensation for our employees. We offer annual bonuses and stock-based compensation for eligible employees. As a result of our May 2023 cost reduction plan, our executive officers and certain of our employees took salary reductions, although all of them have since had their salaries reinstated. We can give no assurance that such plan will not have an adverse effect on our ability to attract and/or retain employees or remain competitive for talent.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Leadership, Training and Development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aim to provide our employees with advanced professional and development skills, so that they can perform effectively in their roles and build their capabilities and career prospects for the future.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Diversity, Equity and Inclusion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strive to encourage a diversity of views and to create an equal opportunity workplace. During the past year, we have increased the total number of women in management positions.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6" w:name="Na_003"/>
      <w:bookmarkEnd w:id="36"/>
      <w:r>
        <w:rPr>
          <w:rFonts w:ascii="Times New Roman;Times;Serif" w:hAnsi="Times New Roman;Times;Serif"/>
          <w:b/>
          <w:i w:val="false"/>
          <w:caps w:val="false"/>
          <w:smallCaps w:val="false"/>
          <w:sz w:val="20"/>
        </w:rPr>
        <w:t xml:space="preserve">Item 1A. </w:t>
      </w:r>
      <w:r>
        <w:rPr>
          <w:rFonts w:ascii="Times New Roman;Times;Serif" w:hAnsi="Times New Roman;Times;Serif"/>
          <w:b/>
          <w:i w:val="false"/>
          <w:caps w:val="false"/>
          <w:smallCaps w:val="false"/>
          <w:sz w:val="20"/>
          <w:u w:val="single"/>
        </w:rPr>
        <w:t>Risk Factors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Annual Report on Form 10-K contains forward-looking statements that involve risks and uncertainties. Our business, operating results, financial performance, and share price may be materially adversely affected by a number of factors, including but not limited to the following risk factors, any one of which could cause actual results to vary materially from anticipated results or from those expressed in any forward-looking statements made by us in this Annual Report on Form 10-K or in other reports, press releases or other statements issued from time to time. Additional factors that may cause such a difference are set forth elsewhere in this Annual Report on Form 10-K. Forward-looking statements speak only as of the date of this report. We do not undertake any obligation to publicly update any forward-looking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Microbot’s Financial Position and Need for Additional Capital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doubt regarding our ability to continue as a going concern.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stated elsewhere in this Annual Report on Form 10-K, we have not generated any revenues, have sustained losses and have accumulated a significant deficit since our inception. Also, we estimate that our cash resources are only sufficient to fund our operations for less than one year from the filing date of this Annual Report on Form 10-K. As a result, our continued existence is dependent upon our ability to obtain additional debt or equity financing and to ultimately become a commercially viable organization. As of December 31, 2023, the Company had unrestricted cash, cash equivalents and marketable securities of approximately $6.4 million. This does not include the approximately $2.4 million in net proceeds we received in our warrant reset transaction that closed on January 3, 2024.</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to raise additional capital to fund our operations and continue to support our planned development and commercialization activities. There can be no assurance that the additional necessary debt or equity financing will be available, or will be available on terms acceptable to us, in which case we may be unable to meet our obligations or fully implement our business plan, if at all. Additionally, should we be unable to realize our assets and discharge our liabilities in the normal course of business, the net realizable value of our assets may be materially less than the amounts recorded in our financial statements. As a result of the foregoing and our current cash position, these conditions raise substantial doubt about Microbot’s ability to continue as a going concern, which could adversely affect our ability to raise capital, expand our business and develop our planned products.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incurred significant operating losses since its inception and expects to incur significant losses for the foreseeable future as Microbot continues its preclinical and clinical development programs for its existing product candidates, primarily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its research and development of any other future product candidates; and all other work necessary to obtain regulatory clearances or approvals for its product candidates in the United States and other markets. In the future, Microbot intends to continue conducting micro-robotics research and development; performing necessary animal and clinical testing; working towards medical device regulatory compliance; and, if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or other future product candidates are approved or cleared for commercial distribution, engaging in appropriate sales and marketing activities that, together with anticipated general and administrative expenses, will likely result in Microbot incurring further significant losses for the foreseeable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 a development-stage medical device company and currently generates no revenue from product sales, and may never be able to commercialize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or other future product candidates. Microbot does not currently have the required approvals or clearances to market or test in humans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or any other future product candidates and Microbot may never receive them. Microbot does not anticipate generating significant revenues until it can successfully develop, commercialize and sell products derived from its product pipeline, of which Microbot can give no assurance. Even if Microbot or any of its future development partners succeed in commercializing any of its product candidates, Microbot may never generate revenues significant enough to achieve profitability.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numerous risks and uncertainties associated with its product development pipeline and strategy, Microbot cannot accurately predict when it will achieve profitability, if ever. Failure to become and remain profitable would depress the value of the Company and could impair its ability to raise capital, which may force the Company to curtail or discontinue its research and development programs and/or day-to-day operations. Furthermore, there can be no assurance that profitability, if achieved, can be sustained on an ongoing basis.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has a limited operating history outside of being a research and development-stage company, which may make it difficult to evaluate the prospects for the Company’s future viability.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a limited operating history upon which an evaluation of its business plan or performance and prospects can be made. The business and prospects of Microbot must be considered in the light of the potential problems, delays, uncertainties and complications that may be encountered in connection with a newly established business. The risks include, but are not limited to, the possibility that Microbot will not be able to develop functional and scalable products, or that although functional and scalable, its products will not be economical to market; that its competitors hold proprietary rights that may preclude Microbot from marketing such products; that its competitors market a superior or equivalent product; that Microbot is not able to upgrade and enhance its technologies and products to accommodate new features and expanded service offerings; or the failure to receive necessary regulatory clearances or approvals for its products. To successfully introduce and market its products at a profit, Microbot must establish brand name recognition and competitive advantages for its products. There are no assurances that Microbot can successfully address these challenges. If it is unsuccessful, Microbot and its business, financial condition and operating results could be materially and adversely affected.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operations to date have been limited to organizing the company, entering into licensing arrangements to initially obtain rights to its technologies, developing and securing its technologies, raising capital, developing regulatory and reimbursement strategies for its product candidates, preparing for preclinical and clinical trials of product candidates from time to time and, most recently, commencing pre-commercialization planning for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Microbot has not yet demonstrated its ability to successfully complete development of any product candidate, obtain marketing clearance or approval, manufacture a commercial-scale product or arrange for a third-party to do so on its behalf, or conduct sales and marketing activities necessary for successful product commercialization. Consequently, any predictions made about Microbot’s future success or viability may not be as accurate as they could be if Microbot had a longer operating history.</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will need additional funding. If Microbot is unable to raise capital when needed, it could be forced to delay, reduce or eliminate its product development programs or commercialization efforts.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Microbot has funded its operations primarily through offerings of debt and equity securities and grants. Microbot does not know when, or if, it will generate any revenue, but does not expect to generate significant revenue unless and until it obtains regulatory clearance or approval of and commercializes one of its current or future product candidates. It is anticipated that the Company will continue to incur losses for the foreseeable future, and that losses will increase as it continues the development of, and seeks regulatory review of, its product candidates, and begins to commercialize any approved or cleared products following a successful regulatory review.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expects the research and development expenses of the Company to continue to increase substantially in future periods as it conducts preclinical studies in large animals and potentially clinical trials for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and especially if it initiates additional research programs for future product candidates. This is the case even with the recent suspension and termination of the research and development programs relating to the SCS device, One &amp; Done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other programs. In addition, if the Company obtains marketing clearance or approval for any of its product candidates, it expects to incur significant commercialization expenses related to product manufacturing, marketing and sales. Furthermore, Microbot incurs substantial costs associated with operating as a public company in the United States. Accordingly, the Company may need to obtain substantial additional funding in connection with its continuing operations through its projected profitability, of which it can give no assurance of success. If the Company is unable to raise capital when needed or on attractive terms, it could be forced to delay, reduce or eliminate its research and development programs or any future commercialization efforts.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continue to opportunistically strengthen its balance sheet by raising additional funds through equity offerings, including possibly through its existing but currently suspended At-the-Market offering, or otherwise in order to meet expected future liquidity needs, including the introduction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The Company’s future capital requirements, generally, will depend on many factors, including:</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outcomes of the product candidates’ regulatory reviews, subsequent approvals or clearances, or other regulatory actions;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design, duration and any potential delays of the clinical trials that could be conducted at the FDA’s request using Microbot’s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acquiring, licensing or investing in new and existing businesses, product candidates and technologies;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to maintain, expand and defend the scope of Microbot’s intellectual property portfolio;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to secure or establish sales, marketing and commercial manufacturing capabilities or arrangements with third parties regarding same;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need and ability to hire additional management and scientific and medical personnel;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to operate as a public company in the United States.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Relating to the Development and Commercialization of Microbot’s Product Candidates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Unsuccessful animal studies, clinical trials or procedures relating to product candidates under development could have a material adverse effect on Microbot’s prospects.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approval process for new products and new indications for existing products requires extensive data and procedures, including the development of regulatory and quality standards and, potentially, certain clinical studies. Unfavorable or inconsistent data from current or future clinical trials or other studies conducted by Microbot or third parties, or perceptions regarding such data, could adversely affect Microbot’s ability to obtain necessary device clearance or approval and the market’s view of Microbot’s future prospects.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successfully complete the studies or trials in a timely and cost-effective manner could have a material adverse effect on Microbot’s prospects with respect to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or other product candidates. Because animal trials, clinical trials and other types of scientific studies are inherently uncertain, there can be no assurance that these trials or studies will be completed in a timely or cost-effective manner or result in a commercially viable product. Clinical trials or studies may experience significant setbacks even if earlier preclinical or animal studies have shown promising results. Furthermore, preliminary results from clinical trials may be contradicted by subsequent clinical analysis. Results from clinical trials may also not be supported by actual long-term studies or clinical experience. If preliminary clinical results are later contradicted, or if initial results cannot be supported by actual long-term studies or clinical experience, Microbot’s business could be adversely affected. Clinical trials also may be suspended or terminated by us, the FDA or other regulatory authorities at any time if it is believed that the trial participants face unacceptable health risks. The FDA may disagree with our interpretation of the data from our clinical trials, or may find the clinical trial design, conduct or results inadequate to demonstrate safety and effectiveness of the product candidate. The FDA may also require additional preclinical studies or clinical trials which could further delay approval of our product candidates.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Microbot’s business depends heavily on the success of its sole lead product candidate, the LIBERTY</w:t>
      </w:r>
      <w:r>
        <w:rPr>
          <w:rFonts w:ascii="Times New Roman;Times;Serif" w:hAnsi="Times New Roman;Times;Serif"/>
          <w:b/>
          <w:i/>
          <w:caps w:val="false"/>
          <w:smallCaps w:val="false"/>
          <w:position w:val="7"/>
          <w:sz w:val="16"/>
          <w:sz w:val="20"/>
        </w:rPr>
        <w:t>®</w:t>
      </w:r>
      <w:r>
        <w:rPr>
          <w:rFonts w:ascii="Times New Roman;Times;Serif" w:hAnsi="Times New Roman;Times;Serif"/>
          <w:b/>
          <w:i/>
          <w:caps w:val="false"/>
          <w:smallCaps w:val="false"/>
          <w:sz w:val="20"/>
        </w:rPr>
        <w:t xml:space="preserve"> Endovascular Robotic Surgical System. If Microbot is unable to commercialize the LIBERTY</w:t>
      </w:r>
      <w:r>
        <w:rPr>
          <w:rFonts w:ascii="Times New Roman;Times;Serif" w:hAnsi="Times New Roman;Times;Serif"/>
          <w:b/>
          <w:i/>
          <w:caps w:val="false"/>
          <w:smallCaps w:val="false"/>
          <w:position w:val="7"/>
          <w:sz w:val="16"/>
          <w:sz w:val="20"/>
        </w:rPr>
        <w:t>®</w:t>
      </w:r>
      <w:r>
        <w:rPr>
          <w:rFonts w:ascii="Times New Roman;Times;Serif" w:hAnsi="Times New Roman;Times;Serif"/>
          <w:b/>
          <w:i/>
          <w:caps w:val="false"/>
          <w:smallCaps w:val="false"/>
          <w:sz w:val="20"/>
        </w:rPr>
        <w:t xml:space="preserve"> Endovascular Robotic Surgical System, or experiences significant delays in doing so, Microbot’s business will be materially harmed.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after all necessary clinical and performance data supporting the safety and effectiveness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or any other product candidate, are collected, Microbot must still obtain FDA clearance or approval to market the system and those regulatory processes can take several months to several years to be completed. Therefore, Microbot’s ability to generate product revenues will not occur for at least the next few years, if at all, and will depend heavily on the successful commercialization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or any of our other product candidates from time to time. The success of commercializing any of our product candidates, include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will depend on a number of factors, including the following:</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additional capital;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0" w:type="dxa"/>
            <w:tcBorders/>
            <w:vAlign w:val="center"/>
          </w:tcPr>
          <w:p>
            <w:pPr>
              <w:pStyle w:val="TableContents"/>
              <w:bidi w:val="0"/>
              <w:spacing w:before="0" w:after="283"/>
              <w:jc w:val="both"/>
              <w:rPr>
                <w:caps w:val="false"/>
                <w:smallCaps w:val="false"/>
              </w:rPr>
            </w:pPr>
            <w:r>
              <w:rPr>
                <w:caps w:val="false"/>
                <w:smallCaps w:val="false"/>
              </w:rPr>
              <w:t> </w:t>
            </w:r>
          </w:p>
        </w:tc>
        <w:tc>
          <w:tcPr>
            <w:tcW w:w="9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completion of animal studies and human clinical trials and the collection of sufficient data to demonstrate that the device is safe and effective for its intended use;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0" w:type="dxa"/>
            <w:tcBorders/>
            <w:vAlign w:val="center"/>
          </w:tcPr>
          <w:p>
            <w:pPr>
              <w:pStyle w:val="TableContents"/>
              <w:bidi w:val="0"/>
              <w:spacing w:before="0" w:after="283"/>
              <w:jc w:val="both"/>
              <w:rPr>
                <w:caps w:val="false"/>
                <w:smallCaps w:val="false"/>
              </w:rPr>
            </w:pPr>
            <w:r>
              <w:rPr>
                <w:caps w:val="false"/>
                <w:smallCaps w:val="false"/>
              </w:rPr>
              <w:t> </w:t>
            </w:r>
          </w:p>
        </w:tc>
        <w:tc>
          <w:tcPr>
            <w:tcW w:w="9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receipt of marketing approvals or clearances from the FDA and other applicable regulatory authorities, which we continue to seek;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0" w:type="dxa"/>
            <w:tcBorders/>
            <w:vAlign w:val="center"/>
          </w:tcPr>
          <w:p>
            <w:pPr>
              <w:pStyle w:val="TableContents"/>
              <w:bidi w:val="0"/>
              <w:spacing w:before="0" w:after="283"/>
              <w:jc w:val="both"/>
              <w:rPr>
                <w:caps w:val="false"/>
                <w:smallCaps w:val="false"/>
              </w:rPr>
            </w:pPr>
            <w:r>
              <w:rPr>
                <w:caps w:val="false"/>
                <w:smallCaps w:val="false"/>
              </w:rPr>
              <w:t> </w:t>
            </w:r>
          </w:p>
        </w:tc>
        <w:tc>
          <w:tcPr>
            <w:tcW w:w="9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commercial manufacturing arrangements with one or more third parties;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0" w:type="dxa"/>
            <w:tcBorders/>
            <w:vAlign w:val="center"/>
          </w:tcPr>
          <w:p>
            <w:pPr>
              <w:pStyle w:val="TableContents"/>
              <w:bidi w:val="0"/>
              <w:spacing w:before="0" w:after="283"/>
              <w:jc w:val="both"/>
              <w:rPr>
                <w:caps w:val="false"/>
                <w:smallCaps w:val="false"/>
              </w:rPr>
            </w:pPr>
            <w:r>
              <w:rPr>
                <w:caps w:val="false"/>
                <w:smallCaps w:val="false"/>
              </w:rPr>
              <w:t> </w:t>
            </w:r>
          </w:p>
        </w:tc>
        <w:tc>
          <w:tcPr>
            <w:tcW w:w="9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patent and trade secret protections;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0" w:type="dxa"/>
            <w:tcBorders/>
            <w:vAlign w:val="center"/>
          </w:tcPr>
          <w:p>
            <w:pPr>
              <w:pStyle w:val="TableContents"/>
              <w:bidi w:val="0"/>
              <w:spacing w:before="0" w:after="283"/>
              <w:jc w:val="both"/>
              <w:rPr>
                <w:caps w:val="false"/>
                <w:smallCaps w:val="false"/>
              </w:rPr>
            </w:pPr>
            <w:r>
              <w:rPr>
                <w:caps w:val="false"/>
                <w:smallCaps w:val="false"/>
              </w:rPr>
              <w:t> </w:t>
            </w:r>
          </w:p>
        </w:tc>
        <w:tc>
          <w:tcPr>
            <w:tcW w:w="9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protecting Microbot’s rights in its intellectual property portfolio;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0" w:type="dxa"/>
            <w:tcBorders/>
            <w:vAlign w:val="center"/>
          </w:tcPr>
          <w:p>
            <w:pPr>
              <w:pStyle w:val="TableContents"/>
              <w:bidi w:val="0"/>
              <w:spacing w:before="0" w:after="283"/>
              <w:jc w:val="both"/>
              <w:rPr>
                <w:caps w:val="false"/>
                <w:smallCaps w:val="false"/>
              </w:rPr>
            </w:pPr>
            <w:r>
              <w:rPr>
                <w:caps w:val="false"/>
                <w:smallCaps w:val="false"/>
              </w:rPr>
              <w:t> </w:t>
            </w:r>
          </w:p>
        </w:tc>
        <w:tc>
          <w:tcPr>
            <w:tcW w:w="9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0" w:type="dxa"/>
            <w:tcBorders/>
            <w:vAlign w:val="center"/>
          </w:tcPr>
          <w:p>
            <w:pPr>
              <w:pStyle w:val="TableContents"/>
              <w:bidi w:val="0"/>
              <w:spacing w:before="0" w:after="283"/>
              <w:jc w:val="both"/>
              <w:rPr>
                <w:caps w:val="false"/>
                <w:smallCaps w:val="false"/>
              </w:rPr>
            </w:pPr>
            <w:r>
              <w:rPr>
                <w:caps w:val="false"/>
                <w:smallCaps w:val="false"/>
              </w:rPr>
              <w:t>●</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sales, marketing and distribution capabilities;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0" w:type="dxa"/>
            <w:tcBorders/>
            <w:vAlign w:val="center"/>
          </w:tcPr>
          <w:p>
            <w:pPr>
              <w:pStyle w:val="TableContents"/>
              <w:bidi w:val="0"/>
              <w:spacing w:before="0" w:after="283"/>
              <w:jc w:val="both"/>
              <w:rPr>
                <w:caps w:val="false"/>
                <w:smallCaps w:val="false"/>
              </w:rPr>
            </w:pPr>
            <w:r>
              <w:rPr>
                <w:caps w:val="false"/>
                <w:smallCaps w:val="false"/>
              </w:rPr>
              <w:t> </w:t>
            </w:r>
          </w:p>
        </w:tc>
        <w:tc>
          <w:tcPr>
            <w:tcW w:w="9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0" w:type="dxa"/>
            <w:tcBorders/>
            <w:vAlign w:val="center"/>
          </w:tcPr>
          <w:p>
            <w:pPr>
              <w:pStyle w:val="TableContents"/>
              <w:bidi w:val="0"/>
              <w:spacing w:before="0" w:after="283"/>
              <w:jc w:val="both"/>
              <w:rPr>
                <w:caps w:val="false"/>
                <w:smallCaps w:val="false"/>
              </w:rPr>
            </w:pPr>
            <w:r>
              <w:rPr>
                <w:caps w:val="false"/>
                <w:smallCaps w:val="false"/>
              </w:rPr>
              <w:t>●</w:t>
            </w:r>
          </w:p>
        </w:tc>
        <w:tc>
          <w:tcPr>
            <w:tcW w:w="9920"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generating commercial sales, if and when approved, whether alone or in collaboration with other entities;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0" w:type="dxa"/>
            <w:tcBorders/>
            <w:vAlign w:val="center"/>
          </w:tcPr>
          <w:p>
            <w:pPr>
              <w:pStyle w:val="TableContents"/>
              <w:bidi w:val="0"/>
              <w:spacing w:before="0" w:after="283"/>
              <w:jc w:val="both"/>
              <w:rPr>
                <w:caps w:val="false"/>
                <w:smallCaps w:val="false"/>
              </w:rPr>
            </w:pPr>
            <w:r>
              <w:rPr>
                <w:caps w:val="false"/>
                <w:smallCaps w:val="false"/>
              </w:rPr>
              <w:t> </w:t>
            </w:r>
          </w:p>
        </w:tc>
        <w:tc>
          <w:tcPr>
            <w:tcW w:w="9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our product candidates, if and when commercially launched, by the medical community, patients and third-party payors;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0" w:type="dxa"/>
            <w:tcBorders/>
            <w:vAlign w:val="center"/>
          </w:tcPr>
          <w:p>
            <w:pPr>
              <w:pStyle w:val="TableContents"/>
              <w:bidi w:val="0"/>
              <w:spacing w:before="0" w:after="283"/>
              <w:jc w:val="both"/>
              <w:rPr>
                <w:caps w:val="false"/>
                <w:smallCaps w:val="false"/>
              </w:rPr>
            </w:pPr>
            <w:r>
              <w:rPr>
                <w:caps w:val="false"/>
                <w:smallCaps w:val="false"/>
              </w:rPr>
              <w:t> </w:t>
            </w:r>
          </w:p>
        </w:tc>
        <w:tc>
          <w:tcPr>
            <w:tcW w:w="9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competing with existing and competitive products on the market and any new competing products that may enter the market;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0" w:type="dxa"/>
            <w:tcBorders/>
            <w:vAlign w:val="center"/>
          </w:tcPr>
          <w:p>
            <w:pPr>
              <w:pStyle w:val="TableContents"/>
              <w:bidi w:val="0"/>
              <w:spacing w:before="0" w:after="283"/>
              <w:jc w:val="both"/>
              <w:rPr>
                <w:caps w:val="false"/>
                <w:smallCaps w:val="false"/>
              </w:rPr>
            </w:pPr>
            <w:r>
              <w:rPr>
                <w:caps w:val="false"/>
                <w:smallCaps w:val="false"/>
              </w:rPr>
              <w:t> </w:t>
            </w:r>
          </w:p>
        </w:tc>
        <w:tc>
          <w:tcPr>
            <w:tcW w:w="9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quality and an acceptable safety profile of our products following clearance or approval.</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recently suspended our research and development programs for all of our product candidates and platforms other than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as a result of, among other things, some of the above factors, and our short and medium term success is no longer tied to multiple product candidates but rather just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If Microbot does not achieve one or more of these factors in a timely manner or at all, it could experience significant delays or an inability to successfully commercialize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or any other product candidate, which would materially harm its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results of Microbot’s research and development efforts are uncertain and there can be no assurance of the commercial success of Microbot’s product candidates.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believes that its success will depend in part on its ability to expand its product offerings and continue to improve its existing product candidates in response to changing technologies, customer demands and competitive pressures. As such, Microbot expects to continue dedicating significant resources in research and development. The product candidates and services being developed by Microbot may not be technologically successful. In addition, the length of Microbot’s product candidates and service development cycle may be greater than Microbot originally expected.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may not meet its development and commercialization objectives in a timely manner or at all.</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established internal goals, based upon expectations with respect to its technologies, which Microbot has used to assess its progress toward developing its product candidates. These goals relate to technology and design improvements as well as to dates for achieving specific development results. If the product candidates exhibit technical defects or are unable to meet cost or performance goals, Microbot’s commercialization schedule could be delayed and potential purchasers of its initial commercialized products may decline to purchase such products or may opt to pursue alternative products, which would materially harm its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Microbot’s ability to expand its technology platforms for other uses may be limited.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decided to focus on expanding all of its technology platforms for use in segments of the endovascular, cardiovascular and neurosurgery markets. Microbot’s ability to expand its technology platforms for use in such markets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At this time, Microbot does not know the extent of the clinical trial that the FDA will require it to submit in support of its future marketing applications for the LIBERTY</w:t>
      </w:r>
      <w:r>
        <w:rPr>
          <w:rFonts w:ascii="Times New Roman;Times;Serif" w:hAnsi="Times New Roman;Times;Serif"/>
          <w:b/>
          <w:i/>
          <w:caps w:val="false"/>
          <w:smallCaps w:val="false"/>
          <w:position w:val="7"/>
          <w:sz w:val="16"/>
          <w:sz w:val="20"/>
        </w:rPr>
        <w:t>®</w:t>
      </w:r>
      <w:r>
        <w:rPr>
          <w:rFonts w:ascii="Times New Roman;Times;Serif" w:hAnsi="Times New Roman;Times;Serif"/>
          <w:b/>
          <w:i/>
          <w:caps w:val="false"/>
          <w:smallCaps w:val="false"/>
          <w:sz w:val="20"/>
        </w:rPr>
        <w:t xml:space="preserve"> Endovascular Robotic Surgical System, which creates uncertainty for Microbot as well as the possibility of increased product development costs and time to market.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identified a predicate device for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which it intended to use in its 510(k) application. However, there is no guarantee that the FDA will agree with the Company’s determination or that the FDA would accept the predicate device that Microbot intends to submit in its 510(k). The FDA also may request additional data in response to a 510(k) or require Microbot to conduct further testing or compile more data in support of its 510(k). It is unclear at this time whether and how various activities initiated or announced by the FDA to modernize the U.S. medical device regulatory system could affect the marketing pathway or timeline for our product candidate, given their nature.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requires clinical data to be submitted as part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the sponsor of the investigation must also submit and obtain FDA approval of an Investigational Device Exemption, or IDE, application , which we have submitted and are continuing the submission process with the FDA.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Thus, the addition of one or more mandatory clinical trials to the development timeline for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or any other product candidate would significantly increase the costs associated with developing and commercializing the product and delay the timing of U.S. regulatory authorization. The current uncertainty regarding near-term medical device regulatory changes by the FDA could further affect our development plans for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or any other product candidate, depending on their nature, scope and applicability. Microbot and its business, financial condition and operating results could be materially and adversely affected as a result of any such costs, delays or uncertainty.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Microbot’s technology acquired from CardioSert and part of its One &amp; Done</w:t>
      </w:r>
      <w:r>
        <w:rPr>
          <w:rFonts w:ascii="Times New Roman;Times;Serif" w:hAnsi="Times New Roman;Times;Serif"/>
          <w:b/>
          <w:i/>
          <w:caps w:val="false"/>
          <w:smallCaps w:val="false"/>
          <w:position w:val="7"/>
          <w:sz w:val="16"/>
          <w:sz w:val="20"/>
        </w:rPr>
        <w:t>®</w:t>
      </w:r>
      <w:r>
        <w:rPr>
          <w:rFonts w:ascii="Times New Roman;Times;Serif" w:hAnsi="Times New Roman;Times;Serif"/>
          <w:b/>
          <w:i/>
          <w:caps w:val="false"/>
          <w:smallCaps w:val="false"/>
          <w:sz w:val="20"/>
        </w:rPr>
        <w:t xml:space="preserve"> feature is subject to a buy-back clause which was triggered, causing us to lose rights to the technology.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agreement with CardioSert we entered into in January 2018 to acquire its technology, we were required to meet certain commercialization deadlines or CardioSert may terminate the agreement and buy back the technology for $1.00, subject to certain limited exceptions. One of the exceptions in the agreement is if “The First Commercial Sale does not occur within 50 months of the Effective Date” of the contract. 50 months have expired in 2022 and Microbot did not meet the commercialization deadlines.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failure to meet the applicable commercialization deadline, and as a result of our May 2023 core-business focus program and cost reduction plan which resulted in our terminating the January 2018 agreement with CardioSert effective as of August 17, 2023 and ceasing development and maintenance of the technology, CardioSert exercised its right to re-acquire the technology for nominal consideration. Such sale would materially adversely affect our ability to develop and commercialize, or materially delay the development and commercialization of, our One &amp; Done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feature, as, if and when we restart that feature with our Nitiloop technology.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development-stage, preclinical company, Microbot has no prior experience in designing, initiating, conducting and monitoring human clinical trials. Microbot will depend upon its ability and/or the ability of future collaborators, contract research organizations, clinical trial sites and investigators to successfully design, initiate, conduct and monitor such clinical trials.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Microbot or by any of these future collaborating parties to timely and effectively initiate, conduct and monitor a future clinical trial could significantly delay or materially impair Microbot’s ability to complete those clinical trials and/or obtain regulatory clearance or approval of its product candidates and, consequently, could delay or materially impair its ability to generate revenues from the commercialization of those products.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research and development program is dependent on the availability of certain components from suppliers, the delay in delivery of which could materially adversely affect our ongoing development and ability to manufacture and package devices in the timeframes currently expected.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program is dependent on the availability of the component parts that we use to manufacture our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and packaging. Our business, therefore, could be adversely impacted by factors affecting our suppliers (such as the lack of employees due to military actions, a work stoppage or strike by our suppliers’ employees or the failure of our suppliers to provide materials of the requisite quality).</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Israel-Hamas war, we are currently experiencing delays in the supply for certain components from Israeli-based vendors. We cannot determine with any certainty as to whether these shortages will continue and if so, for how long. Consequently, our operational and development timeline could be adversely affected if we were unable to obtain these components from our suppliers in the quantities or based on the timeline we require. Although we believe in most cases that we could identify alternative suppliers, we can give no assurance that our research and development timelines will not be delayed while we identify and retain replacement suppliers. Accordingly, any material delay in delivery of any component parts or packaging could materially adversely affect our ability to obtain FDA approval and otherwise meet our expected timeframes.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commercial opportunity for the LIBERTY</w:t>
      </w:r>
      <w:r>
        <w:rPr>
          <w:rFonts w:ascii="Times New Roman;Times;Serif" w:hAnsi="Times New Roman;Times;Serif"/>
          <w:b/>
          <w:i/>
          <w:caps w:val="false"/>
          <w:smallCaps w:val="false"/>
          <w:position w:val="7"/>
          <w:sz w:val="16"/>
          <w:sz w:val="20"/>
        </w:rPr>
        <w:t>®</w:t>
      </w:r>
      <w:r>
        <w:rPr>
          <w:rFonts w:ascii="Times New Roman;Times;Serif" w:hAnsi="Times New Roman;Times;Serif"/>
          <w:b/>
          <w:i/>
          <w:caps w:val="false"/>
          <w:smallCaps w:val="false"/>
          <w:sz w:val="20"/>
        </w:rPr>
        <w:t xml:space="preserve"> Endovascular Robotic Surgical System and any other commercial products that may be developed by Microbot is smaller than Microbot anticipates, Microbot’s future revenue from the LIBERTY</w:t>
      </w:r>
      <w:r>
        <w:rPr>
          <w:rFonts w:ascii="Times New Roman;Times;Serif" w:hAnsi="Times New Roman;Times;Serif"/>
          <w:b/>
          <w:i/>
          <w:caps w:val="false"/>
          <w:smallCaps w:val="false"/>
          <w:position w:val="7"/>
          <w:sz w:val="16"/>
          <w:sz w:val="20"/>
        </w:rPr>
        <w:t>®</w:t>
      </w:r>
      <w:r>
        <w:rPr>
          <w:rFonts w:ascii="Times New Roman;Times;Serif" w:hAnsi="Times New Roman;Times;Serif"/>
          <w:b/>
          <w:i/>
          <w:caps w:val="false"/>
          <w:smallCaps w:val="false"/>
          <w:sz w:val="20"/>
        </w:rPr>
        <w:t xml:space="preserve"> Endovascular Robotic Surgical System and such other products will be adversely affected and Microbot’s business will suffer.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size of the commercial opportunities in any of Microbot’s target markets is smaller than it anticipates, Microbot may not be able to achieve profitability and growth. It is difficult to predict the penetration, future growth rate or size of the market for Microbot’s product candidate.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success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or any other product candidates will require broad acceptance of the devices by the doctors and other medical professionals who specialize in the procedures targeted by each device, a limited number of whom may be able to influence device selection and purchasing decisions. If Microbot’s technologies are not broadly accepted and perceived as having significant advantages over existing medical devices, then it will not meet its business objectives. Such perceptions are likely to be based on a determination by medical facilities and physicians that Microbot’s product candidates are safe and effective, are cost-effective in comparison to existing devices, and represent acceptable methods of treatment. Microbot cannot assure that it will be able to establish the relationships and arrangements with medical facilities and physicians necessary to support the market uptake of its product candidates. In addition, its competitors may develop new technologies for the same markets Microbot is targeting that are more attractive to medical facilities and physicians. If doctors and other medical professionals do not consider Microbot product candidates to be suitable for application in the procedures we are targeting and an improvement over the use of existing or competing products, Microbot’s business goals will not be realized.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Customers will be unlikely to buy the LIBERTY</w:t>
      </w:r>
      <w:r>
        <w:rPr>
          <w:rFonts w:ascii="Times New Roman;Times;Serif" w:hAnsi="Times New Roman;Times;Serif"/>
          <w:b/>
          <w:i/>
          <w:caps w:val="false"/>
          <w:smallCaps w:val="false"/>
          <w:position w:val="7"/>
          <w:sz w:val="16"/>
          <w:sz w:val="20"/>
        </w:rPr>
        <w:t>®</w:t>
      </w:r>
      <w:r>
        <w:rPr>
          <w:rFonts w:ascii="Times New Roman;Times;Serif" w:hAnsi="Times New Roman;Times;Serif"/>
          <w:b/>
          <w:i/>
          <w:caps w:val="false"/>
          <w:smallCaps w:val="false"/>
          <w:sz w:val="20"/>
        </w:rPr>
        <w:t xml:space="preserve"> Endovascular Robotic Surgical System or any other product candidates unless Microbot can demonstrate that they can be produced for sale to consumers at attractive prices.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Microbot has focused primarily on research and development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and first generation versions of other current and former product candidates. Consequently, Microbot has no experience in manufacturing its product candidates, and intends to manufacture its product candidates through third-party manufacturers. Microbot can offer no assurance that either it or its manufacturing partners will develop efficient, automated, low-cost manufacturing capabilities and processes to meet the quality, price, engineering, design and production standards or production volumes required to successfully mass produce its commercial products. Even if its manufacturing partners are successful in developing such manufacturing capability and quality processes, including the assurance of good manufacturing practice (GMP) compliant device manufacturing, there can be no assurance that Microbot can timely meet its product commercialization schedule or the production and delivery requirements of potential customers. A failure to develop such manufacturing processes and capabilities could have a material adverse effect on Microbot’s business and financial results.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price of Microbot’s product candidates, once approved for sale, will be dependent on material and other manufacturing costs. Microbot cannot offer any assurances that its manufacturing partner will be able manufacture its product candidates at a competitive price or that achieving cost reductions will not cause a reduction in the performance, reliability and longevity of its product candidates.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has relied on, and intends to continue to rely on, third-party manufacturers to produce its product candidates.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currently relies, and expects to rely for the foreseeable future, on third-party manufacturers to produce and supply its product candidates, and it expects to rely on third parties to manufacture the commercialized products as well, should they receive the necessary regulatory clearance or approval. Reliance on third-party manufacturers entails risks to which Microbot would not be subject if Microbot manufactured its product candidates or future commercial products itself, including:</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supply availability resulting from capacity, internal operational problems or scheduling constraints of third parties;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regulatory non-compliance or other violations by the third-party manufacturer that could result in quality assurance;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breach of manufacturing agreements by third parties because of various factors beyond Microbot’s control;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termination or non-renewal of manufacturing agreements by third parties for various reasons beyond Microbot’s control, at a time that is costly or inconvenient to Microbot.</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Microbot is not able to maintain its key manufacturing relationships, Microbot may fail to find replacement manufacturers or develop its own manufacturing capabilities, which could delay or impair Microbot’s ability to obtain regulatory clearance or approval for its product candidates and could substantially increase its costs or deplete profit margins, if any. If Microbot does find replacement manufacturers, Microbot may not be able to enter into agreements with them on terms and conditions favorable to it and there could be a substantial delay before new facilities could be qualified and registered with the FDA and other foreign regulatory authorities.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Microbot’s product candidates are not considered to be a safe and effective alternative to existing technologies, Microbot will not be commercially successful.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and any other of our product candidates from time to time rely or are expected to rely on new technologies, and Microbot’s success will depend on acceptance of these technologies by the medical community as safe, clinically effective, cost effective and a preferred device as compared to products of its competitors. Microbot does not have long-term data regarding efficacy, safety and clinical outcomes associated with the use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or any other product candidates. Any data that is generated in the future may not be positive or may not support the product candidates’ regulatory dossiers, which would negatively affect market acceptance and the rate at which its product candidates are adopted. Equally important will be physicians’ perceptions of the safety of Microbot’s product candidates because Microbot’s technologies are relatively new. If, over the long term, Microbot’s product candidates do not meet surgeons’ expectations as to safety, efficacy and ease of use, they may not become widely adopted.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acceptance of Microbot’s product candidates will also be affected by other factors, including Microbot’s ability to convince key opinion leaders to provide recommendations regarding its product candidates; convince distributors that its technologies are attractive alternatives to existing and competing technologies; supply and service sufficient quantities of products directly or through marketing alliances; and price products competitively in light of the current macroeconomic environment, which is increasingly price sensitive.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may be subject to penalties and may be precluded from marketing its product candidates if Microbot fails to comply with extensive governmental regulations.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believes that its medical device product candidates will be categorized as Class II devices, which typically require a 510(k) or 510(k) de-novo premarket submission to the FDA. However, the FDA has not made any determination about whether Microbot’s medical product candidates are Class II medical devices and may disagree with that classification. If the FDA determines that Microbot’s product candidates should be reclassified as Class III medical devices, Microbot could be precluded from marketing the devices for clinical use within the United States for months, years or longer, depending on the specifics of the change in classification. Reclassification of any of Microbot’s product candidates as Class III medical devices could significantly increase Microbot’s regulatory costs, including the timing and expense associated with required clinical trials and other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and non-U.S. regulatory authorities require that Microbot product candidates be manufactured according to rigorous standards. These regulatory requirements significantly increase Microbot’s production costs, which may prevent Microbot from offering products within the price range and in quantities necessary to meet market demands. If Microbot or one of its third-party manufacturers changes an approved manufacturing process, the FDA may need to review the process before it may be used. Failure to comply with applicable pre-market and post-market regulatory requirements could subject Microbot to enforcement actions, including warning letters, fines, injunctions and civil penalties, recall or seizure of its products, operating restrictions, partial suspension or total shutdown of its production, and criminal prosecution.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providers and related facilities are generally reimbursed for their services through payment systems managed by various governmental agencies worldwide, private insurance companies, and managed care organizations. The manner and level of reimbursement in any given case may depend on the site of care, the procedure(s) performed, the final patient diagnosis, the device(s) utilized, available budget, or a combination of these factors, and coverage and payment levels are determined at each payor’s discretion. The coverage policies and reimbursement levels of these third-party payors may impact the decisions of healthcare providers and facilities regarding which medical products they purchase and the prices they are willing to pay for those products. Microbot cannot assure you that its sales will not be impeded and its business harmed if third-party payors fail to provide reimbursement for Microbot products that healthcare providers view as adequate.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Microbot expects that its product candidates, once approved, will be purchased primarily by medical institutions, which then bill various third-party payors, such as the Centers for Medicare &amp; Medicaid Services, or CMS, which administers the Medicare program through Medicare Administrative Contractors, and other government health care programs and private insurance plans, for the healthcare products and services provided to their patients. The process involved in applying for coverage and incremental reimbursement from CMS is lengthy and expensive. Moreover, many private payors look to CMS in setting their reimbursement policies and amounts. If CMS or other agencies limit coverage for procedures utilizing Microbot’s products or decrease or limit reimbursement payments for doctors and hospitals utilizing Microbot’s products, this may affect coverage and reimbursement determinations by many private payors.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procedure involving a medical device is not reimbursed separately by a government or private insurer, then a medical institution would have to absorb the cost of Microbot’s products as part of the cost of the procedure in which the products are used. At this time, Microbot does not know the extent to which medical institutions would consider insurers’ payment levels adequate to cover the cost of its products. Failure by hospitals and surgeons to receive an amount that they consider to be adequate reimbursement for procedures in which Microbot products are used could deter them from purchasing Microbot products and limit sales growth for those products.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no control over payor decision-making with respect to coverage and payment levels for its medical device product candidates, once they are approved. Additionally, Microbot expects many payors to continue to explore cost-containment strategies (e.g., comparative and cost-effectiveness analyses, so-called “pay-for-performance” programs implemented by various public government health care programs and private third-party payors, and expansion of payment bundling initiatives, and other such methods that shift medical cost risk to providers) that may potentially impact coverage and/or payment levels for Microbot’s current product candidates or products Microbot develops in the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Microbot’s product offerings are used across diverse healthcare settings, they will be affected to varying degrees by the different payment systems.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Clinical outcome studies for the LIBERTY</w:t>
      </w:r>
      <w:r>
        <w:rPr>
          <w:rFonts w:ascii="Times New Roman;Times;Serif" w:hAnsi="Times New Roman;Times;Serif"/>
          <w:b/>
          <w:i/>
          <w:caps w:val="false"/>
          <w:smallCaps w:val="false"/>
          <w:position w:val="7"/>
          <w:sz w:val="16"/>
          <w:sz w:val="20"/>
        </w:rPr>
        <w:t>®</w:t>
      </w:r>
      <w:r>
        <w:rPr>
          <w:rFonts w:ascii="Times New Roman;Times;Serif" w:hAnsi="Times New Roman;Times;Serif"/>
          <w:b/>
          <w:i/>
          <w:caps w:val="false"/>
          <w:smallCaps w:val="false"/>
          <w:sz w:val="20"/>
        </w:rPr>
        <w:t xml:space="preserve"> Endovascular Robotic Surgical System may not provide sufficient data to make such product candidate the standard of care.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business plan with respect to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relies on the broad adoption by surgeons of the product for its planned applications.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studies may not show an advantage in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based procedures in a timely manner, or at all, and outcome studies have not been designed at this time, and may be too large and too costly for Microbot to conduct. Both situations could prevent broad adoption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and materially impact Microbot’s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products may in the future be subject to mandatory product recalls that could harm its reputation, business and financial results.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and similar foreign governmental authorities have the authority to require the recall of commercialized products in the event of material deficiencies or defects in design or manufacture that could pose a risk of injury to patients. In the case of the FDA, the authority to require a recall must be based on an FDA finding that there is a reasonable probability that the device would cause serious injury or death, although in most cases this mandatory recall authority is not used because manufacturers typically initiate a voluntary recall when a device violation is discovered. In addition, foreign governmental bodies have the authority to require the recall of Microbot products in the event of material deficiencies or defects in design or manufacture. Manufacturers may, under their own initiative, recall a product if any material deficiency in a device is found. A government-mandated or voluntary recall by Microbot or one of its distributors could occur as a result of component failures, manufacturing errors, design or labeling defects or other deficiencies and issues. Recalls of any Microbot products would divert managerial and financial resources and have an adverse effect on Microbot’s financial condition and results of operations, and any future recall announcements could harm Microbot’s reputation with customers and negatively affect its sales. In addition, the FDA could take enforcement action, including any of the following sanctions for failing to timely report a recall to the FDA:</w:t>
      </w:r>
    </w:p>
    <w:p>
      <w:pPr>
        <w:pStyle w:val="TextBody"/>
        <w:bidi w:val="0"/>
        <w:spacing w:before="0" w:after="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untitled letters, warning letters, fines, injunctions, consent decrees and civil penalties;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0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detention or seizure of Microbot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0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restrictions or partial suspension or total shutdown of production;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0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refusing or delaying requests for 510(k) clearance or premarket approval of new products or modified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0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9005"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withdrawing 510(k) clearances or other types of regulatory authorizations -that have already been granted;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0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refusing to grant export approval for Microbot products;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0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criminal prosecution.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Microbot’s future commercialized products cause or contribute to a death or a serious injury, Microbot will be subject to Medical Device Reporting regulations, which can result in voluntary corrective actions or agency enforcement 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FDA regulations, Microbot will be required to report to the FDA any incident in which a marketed medical device product may have caused or contributed to a death or serious injury or in which a medical device malfunctioned and, if the malfunction were to recur, would likely cause or contribute to death or serious injury. In addition, all manufacturers placing medical devices in European Union markets are legally bound to report any serious or potentially serious incidents involving devices they produce or sell to the relevant authority in whose jurisdiction the incident occurred.</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anticipates that in the future it is likely that we may experience events that would require reporting to the FDA pursuant to the Medical Device Reporting (MDR) regulations. Any adverse event involving a Microbot product could result in future voluntary corrective actions, such as product actions or customer notifications, or agency actions, such as inspection, mandatory recall or other enforcement action. Any corrective action, whether voluntary or involuntary, as well as defending Microbot in a lawsuit, will require the dedication of our time and capital, distract management from operating our business, and may harm our reputation and financial results.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could be exposed to significant liability claims if Microbot is unable to obtain insurance at acceptable costs and adequate levels or otherwise protect itself against potential product liability claims.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testing, manufacture, marketing and sale of medical devices entail the inherent risk of liability claims or product recalls. Product liability insurance is expensive and may not be available on acceptable terms, if at all. A successful product liability claim or product recall could inhibit or prevent the successful commercialization of Microbot’s products, cause a significant financial burden on Microbot, or both, which in any case could have a material adverse effect on Microbot’s business and financial condition.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Microbot fails to retain certain of its key personnel and attract and retain additional qualified personnel, Microbot might not be able to pursue its growth strategy effectively.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 dependent on its senior management, in particular Harel Gadot, Microbot’s Chairman, President and Chief Executive Officer, and Simon Sharon, its General Manager and Chief Technology Officer. Although Microbot believes that its relationship with members of its senior management is positive, there can be no assurance that the services of any of these individuals will continue to be available to Microbot in the future. In particular, as part of our May 2023 cost reduction program, we reduced all executive officers’ salaries by between 30%-50%. Although the salaries of all executives have since been reinstated, we can give no assurance that any of our executives will remain with our company in light of such reductions. Microbot’s future success will depend in part on its ability to retain its management and scientific teams, to identify, hire and retain additional qualified personnel with expertise in research and development and sales and marketing, and to effectively provide for the succession of senior management, when necessary. Competition for qualified personnel in the medical device industry is intense and finding and retaining qualified personnel with experience in the industry is very difficult. Microbot believes that there are only a limited number of individuals with the requisite skills to serve in key positions at Microbot, particularly in Israel, and it competes for key personnel with other medical equipment and technology companies, as well as research institutions.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does not carry, and does not intend to carry, any key person life insurance policies on any of its existing executive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International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Microbot fails to obtain regulatory clearances in other countries for its product candidates under development, Microbot will not be able to commercialize these product candidates in those countries.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Microbot to market its product candidates in countries other than the United States, it must comply with the safety and quality regulations in such countries.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Europe, these regulations, including the requirements for approvals, clearance or grant of Conformité Européenne, or CE, Certificates of Conformity and the time required for regulatory review, vary from country to country. Failure to obtain regulatory approval, clearance or CE Certificates of Conformity (or equivalent) in any foreign country in which Microbot plans to market its product candidates may harm its ability to generate revenue and harm its business. Approval and CE marking procedures vary among countries and can involve additional product testing and additional administrative review periods. The time required to obtain approval or CE Certificate of Conformity in other countries might differ from that required to obtain FDA clearance. The regulatory approval or CE marking process in other countries may include all of the risks detailed above regarding FDA clearance in the United States. Regulatory approval or the CE marking of a product candidate in one country does not ensure regulatory approval in another, but a failure or delay in obtaining regulatory approval or a CE Certificate of Conformity in one country may negatively impact the regulatory process in others. Failure to obtain regulatory approval or a CE Certificate of Conformity in other countries or any delay or setback in obtaining such approval could have the same adverse effects described above regarding FDA clearance in the United States.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engaged with a leading notified body to secure a CE Mark for sales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in Europe, it is not yet certain as to when we will secure the CE Mark, and we cannot be certain that we will be successful in complying with the requirements of the CE Certificate of Conformity and receiving a CE Mark for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or other product candidates or in continuing to meet the requirements of the Medical Devices Directive in the European Economic Area (EEA).</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Israel’s Medical Devices Law generally requires the registration of all medical products with the Ministry of Health, or MOH, Registrar through the submission of an application to the Ministry of Health Medical Institutions and Devices Licensing Department, or AMAR. If the application includes a certificate issued by a competent authority of a “recognized” country, which includes Australia, Canada, the European Community Member States, Japan or the United States, the registration process is expedited, but is generally still expected to take 6 to 9 months for approval. If certification from a recognized country is not available, the registration process takes significantly longer and a license is rarely issued under such circumstances, as the MOH may require the presentation of significant additional clinical data. Once granted,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must meet several additional requirements to maintain the license. Microbot cannot be certain that it will be successful in applying for a license from the MOH for its product candidates.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operations in international markets involve inherent risks that Microbot may not be able to control.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business plan includes the marketing and sale of its proposed product candidates internationally, and specifically in Europe and Israel. Accordingly, Microbot’s results could be materially and adversely affected by a variety of factors relating to international business operations that it may or may not be able to control, including:</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3"/>
        <w:gridCol w:w="991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macroeconomic conditions affecting geographies where Microbot intends to do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of international borders, including as a result of biohazards or pandemics;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exchange rates;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or social unrest or economic instability in a specific country or region;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costs of doing business in certain foreign countries;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infringement claims on foreign patents, copyrights or trademark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staffing and managing operations across disparate geographic areas;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associated with enforcing agreements and intellectual property rights through foreign legal systems;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protection measures and other regulatory requirements, which affect Microbot’s ability to import or export its product candidates from or to various countries;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tax consequences;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changes in legal and regulatory requirements;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military conflict, terrorist activities, natural disasters and medical epidemics;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ability to recruit and retain channel partners in foreign jurisdictions.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Microbot’s financial results may be affected by fluctuations in exchange rates and Microbot’s current currency hedging strategy may not be sufficient to counter such fluctuations.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financial statements are denominated in U.S. dollars and the financial results of the Company are denominated in U.S. dollars, while a significant portion of Microbot’s business is conducted, and a substantial portion of its operating expenses are payable, in currencies other than the U.S. dollar. Exchange rate fluctuations may have an adverse impact on Microbot’s future revenues or expenses as presented in the financial statements. Microbot may in the future use financial instruments, such as forward foreign currency contracts, in its management of foreign currency exposure. These contracts would primarily require Microbot to purchase and sell certain foreign currencies with or for U.S. dollars at contracted rates. Microbot may be exposed to a credit loss in the event of non-performance by the counterparties of these contracts. In addition, these financial instruments may not adequately manage Microbot’s foreign currency exposure. Microbot’s results of operations could be adversely affected if Microbot is unable to successfully manage currency fluctuations in the future.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Relating to Microbot’s Intellectual Property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Intellectual property litigation and infringement claims could cause Microbot to incur significant expenses or prevent Microbot from selling certain of its product candidates.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medical device industry is characterized by extensive intellectual property litigation. From time to time, Microbot might be the subject of claims by third parties of potential infringement or misappropriation. Regardless of outcome, such claims are expensive to defend and divert the time and effort of Microbot’s management and operating personnel from other business issues. A successful claim or claims of patent or other intellectual property infringement against Microbot could result in its payment of significant monetary damages and/or royalty payments or negatively impact its ability to sell current or future products in the affected category and could have a material adverse effect on its business, cash flows, financial condition or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success depends on its ability to protect its intellectual property (including its licensed intellectual property) and its proprietary technologies. Microbot’s commercial success depends in part on its ability to obtain and maintain patent protection and trade secret protection for its product candidates, proprietary technologies, and their uses, as well as its ability to operate without infringing upon the proprietary rights of others.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currently holds, through licenses or otherwise, an intellectual property portfolio that includes U.S. and international patents and pending patents, and other patents under development. Microbot intends to continue to seek legal protection, primarily through patents, including the remaining TRDF licensed patents that relate to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technology, for its proprietary technology. Seeking patent protection is a lengthy and costly process, and there can be no assurance that patents will be issued from any pending applications, or that any claims allowed from existing or pending patents will be sufficiently broad or strong to protect its proprietary technology. There is also no guarantee that any patents Microbot holds, through licenses or otherwise, will not be challenged, invalidated or circumvented, or that the patent rights granted will provide competitive advantages to Microbot. Microbot’s competitors have developed and may continue to develop and obtain patents for technologies that are similar or superior to Microbot’s technologies. In addition, the laws of foreign jurisdictions in which Microbot develops, manufactures or sells its product candidates may not protect Microbot’s intellectual property rights to the same extent as do the laws of the United States.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outcomes in current or future legal disputes regarding patent and other intellectual property rights could result in the loss of Microbot’s intellectual property rights, subject Microbot to significant liabilities to third parties, require Microbot to seek licenses from third parties on terms that may not be reasonable or favorable to Microbot, prevent Microbot from manufacturing, importing or selling its product candidates, or compel Microbot to redesign its product candidates to avoid infringing third parties’ intellectual property. As a result, Microbot may be required to incur substantial costs to prosecute, enforce or defend its intellectual property rights if they are challenged. Any of these circumstances could have a material adverse effect on Microbot’s business, financial condition and resources or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the first right, but not the obligation, to control the prosecution, maintenance or enforcement of the remaining licensed patents from TRDF. However, there may be situations in which Microbot will not have control over the prosecution, maintenance or enforcement of the patents that Microbot licenses, or may not have sufficient ability to consult and input into the patent prosecution and maintenance process with respect to such patents. If Microbot does not control the patent prosecution and maintenance process with respect to the remaining TRDF licensed patents, TRDF may elect to do so but may fail to take the steps that are necessary or desirable in order to obtain, maintain and enforce the licensed patents.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ability to develop intellectual property depends in large part on hiring, retaining and motivating highly qualified design and engineering staff and consultants with the knowledge and technical competence to advance its technology and productivity goals. To protect Microbot’s trade secrets and proprietary information, Microbot has entered into confidentiality agreements with its employees, as well as with consultants and other parties. If these agreements prove inadequate or are breached, Microbot’s remedies may not be sufficient to cover its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Dependence on patent and other proprietary rights and failing to protect such rights or to be successful in litigation related to such rights may result in Microbot’s payment of significant monetary damages or impact offerings in its product portfolios.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long-term success largely depends on its ability to market technologically competitive product candidates. If Microbot fails to obtain or maintain adequate intellectual property protection, it may not be able to prevent third parties from using its proprietary technologies or may lose access to technologies critical to our product candidates. Also, Microbot currently pending or future patent applications may not result in issued patents, and issued patents are subject to claims concerning priority, scope and other issues.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Microbot has not filed applications for all of our patents internationally and it may not be able to prevent third parties from using its proprietary technologies or may lose access to technologies critical to its product candidates in other countries.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Operations in Israel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Existing and historical risks relating to our operations in Israel are being exacerbated by the current military actions and operations, and related activities, that commenced with the surprise attack on the State of Israel on October 7, 2023.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ongoing risks of operating in Israel are being exacerbated as a result of the October 7, 2023 surprise attack by hostile forces from Gaza, which led to the declaration by Israel of the “Iron Swords” military operation. These include security and economic risks, risks relating to our ability to sell or buy internationally, risk of economic instability, risk of exchange rate fluctuation negatively affecting operating costs, and the risk of employees leaving to perform military service. This military operation and related activities are on-going as of the filing date of this Annual Report on Form 10-K.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considered various ongoing risks relating to the military operation and related matters, including:</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4"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some of the Company’s Israeli subcontractors, vendors, suppliers and other companies in which the Company relies, are currently only partially active, as instructed by the relevant authorities;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4" w:type="dxa"/>
            <w:tcBorders/>
            <w:vAlign w:val="center"/>
          </w:tcPr>
          <w:p>
            <w:pPr>
              <w:pStyle w:val="TableContents"/>
              <w:bidi w:val="0"/>
              <w:spacing w:before="0" w:after="283"/>
              <w:jc w:val="both"/>
              <w:rPr>
                <w:caps w:val="false"/>
                <w:smallCaps w:val="false"/>
              </w:rPr>
            </w:pPr>
            <w:r>
              <w:rPr>
                <w:caps w:val="false"/>
                <w:smallCaps w:val="false"/>
              </w:rPr>
              <w:t> </w:t>
            </w:r>
          </w:p>
        </w:tc>
        <w:tc>
          <w:tcPr>
            <w:tcW w:w="99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4"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slowdown in the number of international flights in and out of Israel.</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filing date of this Annual Report on Form 10-K,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has facilities located in Israel, and therefore, political conditions in Israel may affect Microbot’s operations and results.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facilities located in Israel. In addition, one of its seven directors, its General Manager and Chief Technology Officer, and its Chief Financial Officer, as well as substantially all of its research and development team and non-management employees, are residents of Israel. Accordingly, political, economic and military conditions in Israel will directly or indirectly affect Microbot’s operations and results. Most recently, for example, the current political situation in Israel where the ruling parties are attempting to implement laws that essentially allow the parliament to enact laws that are preemptively immune to judicial review could adversely affect our business and results of operations. In addition, since the establishment of the State of Israel, a number of armed conflicts have taken place between Israel and its Arab neighbors. An ongoing state of hostility, varying in degree and intensity has led to security and economic problems for Israel. For a number of years there have been continuing hostilities between Israel and the Palestinians. This includes hostilities with the Islamic movement Hamas in the Gaza Strip, which have adversely affected the peace process and at times resulted in armed conflicts, including the current armed conflict. Such hostilities have negatively influenced Israel’s economy as well as impaired Israel’s relationships with several other countries. Israel also faces threats from Hezbollah militants in Lebanon, from ISIS and rebel forces in Syria, from the government of Iran and other potential threats from additional countries in the region. Moreover, some of Israel’s neighboring countries have recently undergone or are undergoing significant political changes. These political, economic and military conditions in Israel could have a material adverse effect on Microbot’s business, financial condition, results of operations and future growth.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Political relations could limit Microbot’s ability to sell or buy internationally.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could be adversely affected by the interruption or reduction of trade between Israel and its trading partners. Some countries, companies and organizations continue to participate in a boycott of Israeli firms and others doing business with Israel, with Israeli companies or with Israeli-owned companies operating in other countries. Foreign government defense export policies towards Israel could also make it more difficult for us to obtain the export authorizations necessary for Microbot’s activities. Also, over the past several years there have been calls in the United States, Europe and elsewhere to reduce trade with Israel. There can be no assurance that restrictive laws, policies or practices directed towards Israel or Israeli businesses will not have an adverse impact on Microbot’s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Israel’s economy may become unstable.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Israel’s economy may experience inflation or deflation, low foreign exchange reserves, fluctuations in world commodity prices, military conflicts and civil unrest. For these and other reasons, the government of Israel has intervened in the economy employing fiscal and monetary policies, import duties, foreign currency restrictions, controls of wages, prices and foreign currency exchange rates and regulations regarding the lending limits of Israeli banks to companies considered to be in an affiliated group. The Israeli government has periodically changed its policies in these areas. Reoccurrence of previous destabilizing factors could make it more difficult for Microbot to operate its business and could adversely affect its business.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Exchange rate fluctuations between the U.S. dollar and the NIS currencies may negatively affect Microbot’s operating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Microbot’s expenses are paid in New Israeli Shekels, or NIS, but its financial statements are denominated in U.S. dollars. As a result, Microbot is exposed to the risks that the NIS may appreciate relative to the U.S. dollar, or the NIS instead devalues relative to the U.S. dollar, and the inflation rate in Israel may exceed such rate of devaluation of the NIS, or that the timing of such devaluation may lag behind inflation in Israel. In any such event, the U.S. dollar cost of Microbot’s operations in Israel would increase and Microbot’s U.S. dollar-denominated results of operations would be adversely affected. Microbot cannot predict any future trends in the rate of inflation in Israel or the rate of devaluation (if any) of the NIS against the U.S. dollar.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primary expenses paid in NIS that are not linked to the U.S. dollar are employee expenses in Israel and lease payments on its Israeli facility. As Microbot does not hedge against its position in NIS, a change in the value of the NIS compared to the U.S. dollar could increase Microbot’s research and development expenses, labor costs and general and administrative expenses, and as a result, have a negative impact on Microbot’s financial condition.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Funding and other benefits provided by Israeli government programs may be terminated or reduced in the future and the terms of such funding may have a significant impact on future corporate decisions.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participates in programs under the auspices of the Israeli Innovation Authority, for which it receives funding for the development of its technologies and product candidates. If Microbot fails to comply with the conditions applicable to this program, it may be required to pay additional penalties or make refunds and may be denied future benefits. From time to time, the government of Israel has discussed reducing or eliminating the benefits available under this program, and therefore these benefits may not be available in the future at their current levels or at all.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research and development efforts from inception until now have been financed in part through such Israeli Innovation Authority royalty bearing grants in an aggregate amount of approximately $1.8 million through December 31, 2023. During 2023, total grants approved from the Israeli Innovation Authority was in the amount of approximately NIS 1.6 million, to further finance the development of the Company’s manufacturing process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Company received approval for a grant from the Ministry of Economy of the State of Israel in the amount of approximately NIS 300,000, to further finance the marketing activities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in the U.S. market.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result of our 2018 agreement with CardioSert and our 2022 agreement with Nitiloop, we took over the liability to repay CardioSert’s and Nitiloop’s IIA grants in the aggregate amount of approximately $530,000 and $925,000, respectively, although we expect that we will cease to have any obligations under the CardioSert grants once that technology is returned.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such grants Microbot is committed to pay royalties at a rate of between 3% to 3.5% on sales proceeds up to the total amount of grants received, linked to the dollar, plus interest at an annual rate of SOFR, a benchmark interest rate which replaced LIBOR. In addition, as a recipient of Israeli Innovation Authority grants, Microbot must comply with the requirements of the Israeli Encouragement of Industrial Research and Development Law, 1984, or the R&amp;D Law, and related regulations. Under the terms of the grants and the R&amp;D Law, Microbot is restricted from transferring any technologies, know-how, manufacturing or manufacturing rights developed using Israeli Innovation Authority grants outside of Israel without the prior approval of Israeli Innovation Authority. Therefore, if aspects of its technologies are deemed to have been developed with Israeli Innovation Authority funding, the discretionary approval of an Israeli Innovation Authority committee would be required for any transfer to third parties outside of Israel of the technologies, know-how, manufacturing or manufacturing rights related to such aspects. Furthermore, the Israeli Innovation Authority may impose certain conditions on any arrangement under which it permits Microbot to transfer technology or development outside of Israel or may not grant such approvals at all.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approved, the transfer of Israeli Innovation Authority-supported technology or know-how outside of Israel may involve the payment of significant fees, which will depend on the value of the transferred technology or know-how, the total amount Israeli Innovation Authority funding received by Microbot, the number of years since the funding and other factors. These restrictions and requirements for payment may impair Microbot’s ability to sell its technology assets outside of Israel or to outsource or transfer development or manufacturing activities with respect to any product or technology outside of Israel. Furthermore, the amount of consideration available to Microbot’s shareholders in a transaction involving the transfer of technology or know-how developed with Israeli Innovation Authority funding outside of Israel (such as through a merger or other similar transaction) may be reduced by any amounts that Microbot is required to pay to the Israeli Innovation Authority.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of Microbot’s employees are obligated to perform military reserve duty in Israel.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Israeli adult male citizens and permanent residents are obligated to perform annual military reserve duty up to a specified age. They also may be called to active duty at any time under emergency circumstances, which could have a disruptive impact on Microbot’s workforce.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may be difficult to enforce a non-Israeli judgment against Microbot or its officers and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subsidiary of the Company is incorporated in Israel. Some of Microbot’s executive officers and directors are not residents of the United States, and a substantial portion of Microbot’s assets and the assets of its executive officers and directors are located outside the United States. Therefore, a judgment obtained against Microbot,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often involves the testimony of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Microbot in Israel, it may be impossible to collect any damages awarded by either a U.S. or foreign court.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Microbot’s Securities, Governance and Other Matters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the continued listing requirements of The Nasdaq Capital Market, our common stock may be delisted and the price of our common stock and our ability to access the capital markets could be negatively impacted.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Capital Market. In order to maintain that listing, we must satisfy minimum financial and other continued listing requirements and standards, including those regarding director independence and independent committee requirements, minimum stockholders’ equity, minimum share price, and certain corporate governance requirements. There can be no assurances that we will be able to comply with the applicable listing standards. In 2018, we effected a 1:15 reverse stock split to address our stock price falling below the minimum share price required by Nasdaq. Failure to again meet applicable Nasdaq continued listing standards could result in a further reverse stock split or a delisting of our common stock. A delisting of our common stock from The Nasdaq Capital Market could materially reduce the liquidity of our common stock and result in a corresponding material reduction in the price of our common stock. In addition, delisting could harm our ability to raise capital on terms acceptable to us, or at all, and may result in the potential loss of confidence by investors, employees and fewer business opportunities. Additionally, if we are not eligible for quotation or listing on another exchange, trading of our common stock could be conducted only in the over-the-counter market or on an electronic bulletin board established for unlisted securities such as the OTC Marketplace. In such event, it could become more difficult to dispose of, or obtain accurate price quotations for, our common stock, there would likely also be a reduction in our coverage by securities analysts and the news media, which could cause the price of our common stock to decline further, and it may be more difficult to raise capital on acceptable terms or at all.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expect to pay cash dividends on our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we will retain our earnings, if any, for future growth and therefore do not anticipate paying cash dividends on our common stock in the future. Investors seeking cash dividends should not invest in our common stock for that purpose.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in the Company’s charter and bylaws under Delaware law may prevent or frustrate attempts by stockholders to change the board of directors or current management and could make a third-party acquisition of the Company difficult.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the Company’s certificate of incorporation and bylaws may delay or prevent an acquisition or a change in management. These provisions include a classified board of directors. In addition, because the Company is incorporated in Delaware, it is governed by the provisions of Section 203 of the Delaware General Corporation Law, which generally prohibits stockholders owning in excess of 15% of outstanding voting stock from merging or combining with the Company unless the Company meets the requirements of such section. Although the Company believes these provisions collectively will provide for an opportunity to receive higher bids by requiring potential acquirers to negotiate with the Company’s board of directors, they would apply even if the offer may be considered beneficial by some stockholders. In addition, these provisions may frustrate or prevent any attempts by the Company’s stockholders to replace or remove then current management by making it more difficult for stockholders to replace members of the board of directors, which is responsible for appointing members of management.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Raising additional capital may cause dilution to the Company’s investors, restrict its operations or require it to relinquish rights to its technologies or product candidates.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time, if ever, as the Company can generate substantial product revenues, it expects to finance its cash needs through a combination of equity offerings, including possibly through its existing but currently suspended At-the-Market offering, licensing, collaboration or similar arrangements, grants and debt financings. The Company does not have any committed external source of funds. To the extent that the Company raises additional capital through the sale of equity or convertible debt securities, the ownership interest of its stockholders will be diluted, and the terms of these securities may include liquidation or other preferences that adversely affect the rights of holder of the Company’s common stock. Debt financing, if available, may involve agreements that include covenants limiting or restricting the Company’s ability to take specific actions, such as incurring additional debt, making capital expenditures, declaring dividends or other distributions, selling or licensing intellectual property rights, and other operating restrictions that could adversely affect the Company’s ability to conduct its business.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raises additional funds through licensing, collaboration or similar arrangements, it may have to relinquish valuable rights to its technologies, future revenue streams, research and development programs or product candidates or to grant licenses on terms that may not be favorable to the Company. If the Company is unable to raise additional funds through equity or debt financings or other arrangements when needed, it may be required to delay, limit, reduce or terminate its product development or future commercialization efforts or grant rights to develop and market product candidates that it would otherwise prefer to develop and market itself.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 changes. Microbot expects to face competition from many different sources with respect to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and any other products that it may from time to time seek to develop or commercialize in the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or any other product that Microbot may develop. Many of Microbot’s potential competitors have significantly greater financial resources and expertise in research and development, manufacturing, preclinical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strategy in part relies on identifying, acquiring and developing complementary technologies and products, which entails risks which could negatively affect our business, operations and financial condition.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and may again in the future pursue other acquisitions of businesses and technologies. Acquisitions entail numerous risks, including:</w:t>
      </w:r>
    </w:p>
    <w:p>
      <w:pPr>
        <w:pStyle w:val="TextBody"/>
        <w:bidi w:val="0"/>
        <w:spacing w:before="0" w:after="0"/>
        <w:jc w:val="both"/>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75"/>
        <w:gridCol w:w="230"/>
        <w:gridCol w:w="80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8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the integration of acquired operations, services and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80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8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achieve expected synergies;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80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8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management’s attention from other business concerns;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80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8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 of unknown material liabilities of acquired companies;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80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8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acquired intangible assets, which could reduce future reported earnings;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80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8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funding to properly and adequately develop and commercialize the technologies acquired;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80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8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loss of clients or key employees of acquired companies;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80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8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dilution to existing stockholders.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growth strategy, we may consider, and from time to time may engage in, discussions and negotiations regarding transactions, such as acquisitions, mergers and combinations within our industry. The purchase price for possible acquisitions could be paid in cash, through the issuance of common stock or other securities, borrowings or a combination of these methods.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certain that we will be able to identify, consummate and successfully integrate acquisitions, and no assurance can be given with respect to the timing, likelihood or business effect of any possible transaction. For example, we could begin negotiations that we subsequently decide to suspend or terminate for a variety of reasons. Similarly, we could acquire a technology or asset, and later determine that such technology or asset no longer fits in our business strategy or goals or do not have the capital to advance its development or commercialization. However, opportunities may arise from time to time that we will evaluate. Any transactions that we consummate would involve risks and uncertainties to us. These risks could cause the failure of any anticipated benefits of an acquisition to be realized, which could have a material adverse effect on our business, financial condition, results of operations and prospects.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for our common stock may be volatile.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for our common stock may be volatile and subject to wide fluctuations in response to factors including the following:</w:t>
      </w:r>
    </w:p>
    <w:p>
      <w:pPr>
        <w:pStyle w:val="TextBody"/>
        <w:bidi w:val="0"/>
        <w:spacing w:before="0" w:after="0"/>
        <w:jc w:val="both"/>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75"/>
        <w:gridCol w:w="230"/>
        <w:gridCol w:w="62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quarterly or annual operating results;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62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or operational estimates or projections;</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4" w:type="dxa"/>
            <w:tcBorders/>
            <w:vAlign w:val="center"/>
          </w:tcPr>
          <w:p>
            <w:pPr>
              <w:pStyle w:val="TableContents"/>
              <w:bidi w:val="0"/>
              <w:spacing w:before="0" w:after="283"/>
              <w:jc w:val="both"/>
              <w:rPr>
                <w:caps w:val="false"/>
                <w:smallCaps w:val="false"/>
              </w:rPr>
            </w:pPr>
            <w:r>
              <w:rPr>
                <w:caps w:val="false"/>
                <w:smallCaps w:val="false"/>
              </w:rPr>
              <w:t>●</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in markets generally;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4" w:type="dxa"/>
            <w:tcBorders/>
            <w:vAlign w:val="center"/>
          </w:tcPr>
          <w:p>
            <w:pPr>
              <w:pStyle w:val="TableContents"/>
              <w:bidi w:val="0"/>
              <w:spacing w:before="0" w:after="283"/>
              <w:jc w:val="both"/>
              <w:rPr>
                <w:caps w:val="false"/>
                <w:smallCaps w:val="false"/>
              </w:rPr>
            </w:pPr>
            <w:r>
              <w:rPr>
                <w:caps w:val="false"/>
                <w:smallCaps w:val="false"/>
              </w:rPr>
              <w:t> </w:t>
            </w:r>
          </w:p>
        </w:tc>
        <w:tc>
          <w:tcPr>
            <w:tcW w:w="99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4"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economic performance or market valuations of companies similar to ours;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4" w:type="dxa"/>
            <w:tcBorders/>
            <w:vAlign w:val="center"/>
          </w:tcPr>
          <w:p>
            <w:pPr>
              <w:pStyle w:val="TableContents"/>
              <w:bidi w:val="0"/>
              <w:spacing w:before="0" w:after="283"/>
              <w:jc w:val="both"/>
              <w:rPr>
                <w:caps w:val="false"/>
                <w:smallCaps w:val="false"/>
              </w:rPr>
            </w:pPr>
            <w:r>
              <w:rPr>
                <w:caps w:val="false"/>
                <w:smallCaps w:val="false"/>
              </w:rPr>
              <w:t> </w:t>
            </w:r>
          </w:p>
        </w:tc>
        <w:tc>
          <w:tcPr>
            <w:tcW w:w="99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4"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new products, acquisitions, strategic partnerships, joint ventures or capital commitments;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4" w:type="dxa"/>
            <w:tcBorders/>
            <w:vAlign w:val="center"/>
          </w:tcPr>
          <w:p>
            <w:pPr>
              <w:pStyle w:val="TableContents"/>
              <w:bidi w:val="0"/>
              <w:spacing w:before="0" w:after="283"/>
              <w:jc w:val="both"/>
              <w:rPr>
                <w:caps w:val="false"/>
                <w:smallCaps w:val="false"/>
              </w:rPr>
            </w:pPr>
            <w:r>
              <w:rPr>
                <w:caps w:val="false"/>
                <w:smallCaps w:val="false"/>
              </w:rPr>
              <w:t> </w:t>
            </w:r>
          </w:p>
        </w:tc>
        <w:tc>
          <w:tcPr>
            <w:tcW w:w="99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4" w:type="dxa"/>
            <w:tcBorders/>
            <w:vAlign w:val="center"/>
          </w:tcPr>
          <w:p>
            <w:pPr>
              <w:pStyle w:val="TableContents"/>
              <w:bidi w:val="0"/>
              <w:spacing w:before="0" w:after="283"/>
              <w:jc w:val="both"/>
              <w:rPr>
                <w:caps w:val="false"/>
                <w:smallCaps w:val="false"/>
              </w:rPr>
            </w:pPr>
            <w:r>
              <w:rPr>
                <w:caps w:val="false"/>
                <w:smallCaps w:val="false"/>
              </w:rPr>
              <w:t>●</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position;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4" w:type="dxa"/>
            <w:tcBorders/>
            <w:vAlign w:val="center"/>
          </w:tcPr>
          <w:p>
            <w:pPr>
              <w:pStyle w:val="TableContents"/>
              <w:bidi w:val="0"/>
              <w:spacing w:before="0" w:after="283"/>
              <w:jc w:val="both"/>
              <w:rPr>
                <w:caps w:val="false"/>
                <w:smallCaps w:val="false"/>
              </w:rPr>
            </w:pPr>
            <w:r>
              <w:rPr>
                <w:caps w:val="false"/>
                <w:smallCaps w:val="false"/>
              </w:rPr>
              <w:t> </w:t>
            </w:r>
          </w:p>
        </w:tc>
        <w:tc>
          <w:tcPr>
            <w:tcW w:w="99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4"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or political conditions in the United States, Israel or elsewhere.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shares upon exercise of outstanding warrants and options could cause immediate and substantial dilution to existing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shares upon exercise of outstanding warrants and options could result in substantial dilution to the interests of other stockholders since the holders of such securities may ultimately convert and sell the full amount issuable on conversion.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7" w:name="Na_004"/>
      <w:bookmarkEnd w:id="37"/>
      <w:r>
        <w:rPr>
          <w:rFonts w:ascii="Times New Roman;Times;Serif" w:hAnsi="Times New Roman;Times;Serif"/>
          <w:b/>
          <w:i w:val="false"/>
          <w:caps w:val="false"/>
          <w:smallCaps w:val="false"/>
          <w:sz w:val="20"/>
        </w:rPr>
        <w:t xml:space="preserve">Item 1B. </w:t>
      </w:r>
      <w:r>
        <w:rPr>
          <w:rFonts w:ascii="Times New Roman;Times;Serif" w:hAnsi="Times New Roman;Times;Serif"/>
          <w:b/>
          <w:i w:val="false"/>
          <w:caps w:val="false"/>
          <w:smallCaps w:val="false"/>
          <w:sz w:val="20"/>
          <w:u w:val="single"/>
        </w:rPr>
        <w:t>Unresolved Staff Comments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8" w:name="Na_005"/>
      <w:bookmarkEnd w:id="38"/>
      <w:r>
        <w:rPr>
          <w:rFonts w:ascii="Times New Roman;Times;Serif" w:hAnsi="Times New Roman;Times;Serif"/>
          <w:b/>
          <w:i w:val="false"/>
          <w:caps w:val="false"/>
          <w:smallCaps w:val="false"/>
          <w:sz w:val="20"/>
        </w:rPr>
        <w:t xml:space="preserve">Item 1C. </w:t>
      </w:r>
      <w:r>
        <w:rPr>
          <w:rFonts w:ascii="Times New Roman;Times;Serif" w:hAnsi="Times New Roman;Times;Serif"/>
          <w:b/>
          <w:i w:val="false"/>
          <w:caps w:val="false"/>
          <w:smallCaps w:val="false"/>
          <w:sz w:val="20"/>
          <w:u w:val="single"/>
        </w:rPr>
        <w:t>Cybersecurity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formation, we have been primarily focused on research and development activities and pursuing FDA approval of our planned products. We have 22 employees and currently use third-party vendors and service providers for certain product development and regulatory approval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a third-party sub-contractor to manage all Information Technology (IT) issues, including protection against, detection, and response to cyberattacks.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measures that are taken to ensure proper protection include:</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All computers are protected using a cloud-powered endpoint security solution that helps enterprises prevent, detect, investigate, and respond to advanced threats on their networks. It offers endpoint protection, endpoint detection and response, mobile threat defense, and integrated vulnerability management. It also provides, among other things, malware and spyware detection and remediation, rootkit detection and remediation and network vulnerability detection.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All Company computer hard drives are automatically encrypted.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All Company e-mails are protected by a cloud-based email filtering service designed to protect the Company against advanced threats related to email and collaboration tools.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Periodically, all users on the Company’s computer network are required to perform multi-factor authentication.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The Company uses a cloud-based identity and access management service that enables access to external resources.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Backup is performed using a secure, automatic cloud-based backup and restore service.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believe that our third-party vendors and service providers have their own respective cybersecurity protocols which our management believes to be adequate for protecting any of the Company’s data that might be in their possession from time to time; however, having such protocols is not necessarily a condition for us using or not using the services of any such vendors or providers.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Technology Officer and General Manager is responsible for assessing and managing cybersecurity risks, through his oversight of our IT service provider that manages our IT, but he does not have specific cybersecurity expertise. The Company has an Information Technology Policy that, among other things, governs and provides for cybersecurity policies and processes, including to define safety measures to protect the Company’s confidentiality, integrity and availability of data and other intellectual property, as well as to define the manner in which information is stored, saved and routed in the Company’s network. Additionally, the Board and management believe cybersecurity represents an important component of the Company’s overall approach to risk management and oversight, especially as the Company moves towards commercialization of its first product.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threats have not materially affected, and are not reasonably likely to affect, the Company, including its business strategy, results of operations or financial condition while we are strategically focused on pursuing FDA approval and have pre-commercial operations. The Company is not aware of any material security breach to date. Accordingly, the Company has not incurred any expenses over the last two years relating to information security breaches. The occurrence of cyber-incidents, or a deficiency in our cybersecurity or in those of any of our third-party service providers could negatively impact our business by causing a disruption to our operations, a compromise or corruption of our confidential information and systems, or damage to our business relationships or reputation, all of which could negatively impact our business and results of operations. There can be no assurance that the Company’s third-party vendors’ and service providers’ cybersecurity risk management processes, including their policies, controls or procedures, will be fully implemented, complied with or effective in protecting the Company’s systems and information.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9" w:name="Na_006"/>
      <w:bookmarkEnd w:id="39"/>
      <w:r>
        <w:rPr>
          <w:rFonts w:ascii="Times New Roman;Times;Serif" w:hAnsi="Times New Roman;Times;Serif"/>
          <w:b/>
          <w:i w:val="false"/>
          <w:caps w:val="false"/>
          <w:smallCaps w:val="false"/>
          <w:sz w:val="20"/>
        </w:rPr>
        <w:t xml:space="preserve">Item 2. </w:t>
      </w:r>
      <w:r>
        <w:rPr>
          <w:rFonts w:ascii="Times New Roman;Times;Serif" w:hAnsi="Times New Roman;Times;Serif"/>
          <w:b/>
          <w:i w:val="false"/>
          <w:caps w:val="false"/>
          <w:smallCaps w:val="false"/>
          <w:sz w:val="20"/>
          <w:u w:val="single"/>
        </w:rPr>
        <w:t>Description of Property.</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U.S.-based employees currently either work remotely or at leased premises in the suburbs of Boston, Massachusetts of approximately 300 square feet. Microbot also occupies facilities in premises of approximately 6,975 square feet at 6 Hayozma St., Yokneam, P.O.B. 242, Israel. This facility is expected to provide the space and infrastructure necessary to accommodate its development work based on its current operating plan. Microbot does not own any real property.</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0" w:name="Na_007"/>
      <w:bookmarkEnd w:id="40"/>
      <w:r>
        <w:rPr>
          <w:rFonts w:ascii="Times New Roman;Times;Serif" w:hAnsi="Times New Roman;Times;Serif"/>
          <w:b/>
          <w:i w:val="false"/>
          <w:caps w:val="false"/>
          <w:smallCaps w:val="false"/>
          <w:sz w:val="20"/>
        </w:rPr>
        <w:t xml:space="preserve">Item 3. </w:t>
      </w:r>
      <w:r>
        <w:rPr>
          <w:rFonts w:ascii="Times New Roman;Times;Serif" w:hAnsi="Times New Roman;Times;Serif"/>
          <w:b/>
          <w:i w:val="false"/>
          <w:caps w:val="false"/>
          <w:smallCaps w:val="false"/>
          <w:sz w:val="20"/>
          <w:u w:val="single"/>
        </w:rPr>
        <w:t>Legal Proceedings.</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“PART I-Item 1. Description of Business-Recent Developments-Settlement of Lawsuit.”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41" w:name="Na_008"/>
      <w:bookmarkEnd w:id="41"/>
      <w:r>
        <w:rPr>
          <w:rFonts w:ascii="Times New Roman;Times;Serif" w:hAnsi="Times New Roman;Times;Serif"/>
          <w:b/>
          <w:i w:val="false"/>
          <w:caps w:val="false"/>
          <w:smallCaps w:val="false"/>
          <w:sz w:val="20"/>
        </w:rPr>
        <w:t xml:space="preserve">Item 4. </w:t>
      </w:r>
      <w:r>
        <w:rPr>
          <w:rFonts w:ascii="Times New Roman;Times;Serif" w:hAnsi="Times New Roman;Times;Serif"/>
          <w:b/>
          <w:i w:val="false"/>
          <w:caps w:val="false"/>
          <w:smallCaps w:val="false"/>
          <w:sz w:val="20"/>
          <w:u w:val="single"/>
        </w:rPr>
        <w:t>Mine Safety Disclosures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2" w:name="Na_009"/>
      <w:bookmarkEnd w:id="42"/>
      <w:r>
        <w:rPr>
          <w:rFonts w:ascii="Times New Roman;Times;Serif" w:hAnsi="Times New Roman;Times;Serif"/>
          <w:b/>
          <w:i w:val="false"/>
          <w:caps w:val="false"/>
          <w:smallCaps w:val="false"/>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3" w:name="Na_010"/>
      <w:bookmarkEnd w:id="43"/>
      <w:r>
        <w:rPr>
          <w:rFonts w:ascii="Times New Roman;Times;Serif" w:hAnsi="Times New Roman;Times;Serif"/>
          <w:b/>
          <w:i w:val="false"/>
          <w:caps w:val="false"/>
          <w:smallCaps w:val="false"/>
          <w:sz w:val="20"/>
        </w:rPr>
        <w:t xml:space="preserve">Item 5. </w:t>
      </w:r>
      <w:r>
        <w:rPr>
          <w:rFonts w:ascii="Times New Roman;Times;Serif" w:hAnsi="Times New Roman;Times;Serif"/>
          <w:b/>
          <w:i w:val="false"/>
          <w:caps w:val="false"/>
          <w:smallCaps w:val="false"/>
          <w:sz w:val="20"/>
          <w:u w:val="single"/>
        </w:rPr>
        <w:t>Market for Registrant’s Common Equity, Related Stockholder Matters and Issuer Purchases of Equity Securities</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common stock is listed on the NASDAQ Capital Market under the symbol “MBOT” since November 29, 2016. </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25, 2024, there were approximately 97 holders of record of our common stock, and the closing price of our common stock as reported on the NASDAQ Capital Market was $1.17.</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cash dividends on our common stock and we do not anticipate paying cash dividends on common stock in the foreseeable future. The payment of dividends on our common stock will depend on earnings, financial condition, debt covenants in place, and other business and economic factors affecting us at such time as our Board of Directors may consider relevant. If we do not pay dividends, our common stock may be less valuable because a return on a stockholders’ investment will only occur if our stock price appreciates.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 Table</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about shares of our common stock that may be issued upon the exercise of options under all of our existing compensation plans as of December 31, 2023.</w:t>
      </w:r>
    </w:p>
    <w:p>
      <w:pPr>
        <w:pStyle w:val="TextBody"/>
        <w:shd w:fill="FFFFFF" w:val="clear"/>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2"/>
        <w:gridCol w:w="60"/>
        <w:gridCol w:w="165"/>
        <w:gridCol w:w="2715"/>
        <w:gridCol w:w="60"/>
        <w:gridCol w:w="60"/>
        <w:gridCol w:w="516"/>
        <w:gridCol w:w="2066"/>
        <w:gridCol w:w="60"/>
        <w:gridCol w:w="60"/>
        <w:gridCol w:w="145"/>
        <w:gridCol w:w="1958"/>
        <w:gridCol w:w="78"/>
      </w:tblGrid>
      <w:tr>
        <w:trPr/>
        <w:tc>
          <w:tcPr>
            <w:tcW w:w="22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securities to be issued upon exercise of outstanding options, warrants 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exercise price of outstanding options, warrants 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securities remaining available for future issuance</w:t>
            </w:r>
          </w:p>
        </w:tc>
        <w:tc>
          <w:tcPr>
            <w:tcW w:w="78" w:type="dxa"/>
            <w:tcBorders/>
            <w:vAlign w:val="center"/>
          </w:tcPr>
          <w:p>
            <w:pPr>
              <w:pStyle w:val="TableContents"/>
              <w:bidi w:val="0"/>
              <w:spacing w:before="0" w:after="283"/>
              <w:jc w:val="left"/>
              <w:rPr/>
            </w:pPr>
            <w:r>
              <w:rPr/>
              <w:t> </w:t>
            </w:r>
          </w:p>
        </w:tc>
      </w:tr>
      <w:tr>
        <w:trPr/>
        <w:tc>
          <w:tcPr>
            <w:tcW w:w="2262" w:type="dxa"/>
            <w:tcBorders/>
            <w:shd w:fill="CCEEFF" w:val="clear"/>
            <w:vAlign w:val="center"/>
          </w:tcPr>
          <w:p>
            <w:pPr>
              <w:pStyle w:val="TableContents"/>
              <w:bidi w:val="0"/>
              <w:spacing w:before="0" w:after="283"/>
              <w:jc w:val="left"/>
              <w:rPr>
                <w:b/>
              </w:rPr>
            </w:pPr>
            <w:r>
              <w:rPr>
                <w:b/>
              </w:rPr>
              <w:t>Plan Category</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27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c>
          <w:tcPr>
            <w:tcW w:w="20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958"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2262" w:type="dxa"/>
            <w:tcBorders/>
            <w:shd w:fill="FFFFFF" w:val="clear"/>
            <w:vAlign w:val="center"/>
          </w:tcPr>
          <w:p>
            <w:pPr>
              <w:pStyle w:val="TableContents"/>
              <w:bidi w:val="0"/>
              <w:spacing w:before="0" w:after="283"/>
              <w:jc w:val="left"/>
              <w:rPr/>
            </w:pPr>
            <w:r>
              <w:rPr/>
              <w:t>Equity compensation plans approved by security holders: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7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20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958"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2262" w:type="dxa"/>
            <w:tcBorders/>
            <w:shd w:fill="CCEEFF" w:val="clear"/>
            <w:vAlign w:val="center"/>
          </w:tcPr>
          <w:p>
            <w:pPr>
              <w:pStyle w:val="TableContents"/>
              <w:bidi w:val="0"/>
              <w:spacing w:before="0" w:after="283"/>
              <w:jc w:val="left"/>
              <w:rPr/>
            </w:pPr>
            <w:r>
              <w:rPr/>
              <w:t>2017 Equity Incentive Plan</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2715" w:type="dxa"/>
            <w:tcBorders/>
            <w:shd w:fill="CCEEFF" w:val="clear"/>
            <w:vAlign w:val="center"/>
          </w:tcPr>
          <w:p>
            <w:pPr>
              <w:pStyle w:val="TableContents"/>
              <w:bidi w:val="0"/>
              <w:spacing w:before="0" w:after="283"/>
              <w:jc w:val="right"/>
              <w:rPr/>
            </w:pPr>
            <w:r>
              <w:rPr/>
              <w:t>492,133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w:t>
            </w:r>
          </w:p>
        </w:tc>
        <w:tc>
          <w:tcPr>
            <w:tcW w:w="2066" w:type="dxa"/>
            <w:tcBorders/>
            <w:shd w:fill="CCEEFF" w:val="clear"/>
            <w:vAlign w:val="center"/>
          </w:tcPr>
          <w:p>
            <w:pPr>
              <w:pStyle w:val="TableContents"/>
              <w:bidi w:val="0"/>
              <w:spacing w:before="0" w:after="283"/>
              <w:jc w:val="right"/>
              <w:rPr/>
            </w:pPr>
            <w:r>
              <w:rPr/>
              <w:t>10.48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958" w:type="dxa"/>
            <w:tcBorders/>
            <w:shd w:fill="CCEEFF" w:val="clear"/>
            <w:vAlign w:val="center"/>
          </w:tcPr>
          <w:p>
            <w:pPr>
              <w:pStyle w:val="TableContents"/>
              <w:bidi w:val="0"/>
              <w:spacing w:before="0" w:after="283"/>
              <w:jc w:val="right"/>
              <w:rPr/>
            </w:pPr>
            <w:r>
              <w:rPr/>
              <w:t>131,585</w:t>
            </w:r>
          </w:p>
        </w:tc>
        <w:tc>
          <w:tcPr>
            <w:tcW w:w="78" w:type="dxa"/>
            <w:tcBorders/>
            <w:shd w:fill="CCEEFF" w:val="clear"/>
            <w:vAlign w:val="center"/>
          </w:tcPr>
          <w:p>
            <w:pPr>
              <w:pStyle w:val="TableContents"/>
              <w:bidi w:val="0"/>
              <w:spacing w:before="0" w:after="283"/>
              <w:jc w:val="left"/>
              <w:rPr/>
            </w:pPr>
            <w:r>
              <w:rPr/>
              <w:t> </w:t>
            </w:r>
          </w:p>
        </w:tc>
      </w:tr>
      <w:tr>
        <w:trPr/>
        <w:tc>
          <w:tcPr>
            <w:tcW w:w="2262" w:type="dxa"/>
            <w:tcBorders/>
            <w:shd w:fill="FFFFFF" w:val="clear"/>
            <w:vAlign w:val="center"/>
          </w:tcPr>
          <w:p>
            <w:pPr>
              <w:pStyle w:val="TableContents"/>
              <w:bidi w:val="0"/>
              <w:spacing w:before="0" w:after="283"/>
              <w:jc w:val="left"/>
              <w:rPr/>
            </w:pPr>
            <w:r>
              <w:rPr/>
              <w:t>2020 Omnibus Performance Award Plan</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715" w:type="dxa"/>
            <w:tcBorders/>
            <w:shd w:fill="FFFFFF" w:val="clear"/>
            <w:vAlign w:val="center"/>
          </w:tcPr>
          <w:p>
            <w:pPr>
              <w:pStyle w:val="TableContents"/>
              <w:bidi w:val="0"/>
              <w:spacing w:before="0" w:after="283"/>
              <w:jc w:val="right"/>
              <w:rPr/>
            </w:pPr>
            <w:r>
              <w:rPr/>
              <w:t>1,463,806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w:t>
            </w:r>
          </w:p>
        </w:tc>
        <w:tc>
          <w:tcPr>
            <w:tcW w:w="2066" w:type="dxa"/>
            <w:tcBorders/>
            <w:shd w:fill="FFFFFF" w:val="clear"/>
            <w:vAlign w:val="center"/>
          </w:tcPr>
          <w:p>
            <w:pPr>
              <w:pStyle w:val="TableContents"/>
              <w:bidi w:val="0"/>
              <w:spacing w:before="0" w:after="283"/>
              <w:jc w:val="right"/>
              <w:rPr/>
            </w:pPr>
            <w:r>
              <w:rPr/>
              <w:t>4.14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958" w:type="dxa"/>
            <w:tcBorders/>
            <w:shd w:fill="FFFFFF" w:val="clear"/>
            <w:vAlign w:val="center"/>
          </w:tcPr>
          <w:p>
            <w:pPr>
              <w:pStyle w:val="TableContents"/>
              <w:bidi w:val="0"/>
              <w:spacing w:before="0" w:after="283"/>
              <w:jc w:val="right"/>
              <w:rPr/>
            </w:pPr>
            <w:r>
              <w:rPr/>
              <w:t>556,846</w:t>
            </w:r>
          </w:p>
        </w:tc>
        <w:tc>
          <w:tcPr>
            <w:tcW w:w="78" w:type="dxa"/>
            <w:tcBorders/>
            <w:shd w:fill="FFFFFF" w:val="clear"/>
            <w:vAlign w:val="center"/>
          </w:tcPr>
          <w:p>
            <w:pPr>
              <w:pStyle w:val="TableContents"/>
              <w:bidi w:val="0"/>
              <w:spacing w:before="0" w:after="283"/>
              <w:jc w:val="left"/>
              <w:rPr/>
            </w:pPr>
            <w:r>
              <w:rPr/>
              <w:t> </w:t>
            </w:r>
          </w:p>
        </w:tc>
      </w:tr>
      <w:tr>
        <w:trPr/>
        <w:tc>
          <w:tcPr>
            <w:tcW w:w="2262" w:type="dxa"/>
            <w:tcBorders/>
            <w:shd w:fill="CCEEFF" w:val="clear"/>
            <w:vAlign w:val="center"/>
          </w:tcPr>
          <w:p>
            <w:pPr>
              <w:pStyle w:val="TableContents"/>
              <w:bidi w:val="0"/>
              <w:spacing w:before="0" w:after="283"/>
              <w:jc w:val="left"/>
              <w:rPr/>
            </w:pPr>
            <w:r>
              <w:rPr/>
              <w:t>Equity compensation plans not approved by security holders: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27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c>
          <w:tcPr>
            <w:tcW w:w="20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958"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2262" w:type="dxa"/>
            <w:tcBorders/>
            <w:shd w:fill="FFFFFF" w:val="clear"/>
            <w:vAlign w:val="center"/>
          </w:tcPr>
          <w:p>
            <w:pPr>
              <w:pStyle w:val="TableContents"/>
              <w:bidi w:val="0"/>
              <w:spacing w:before="0" w:after="283"/>
              <w:jc w:val="left"/>
              <w:rPr/>
            </w:pPr>
            <w:r>
              <w:rPr/>
              <w:t>Microbot Israel Employee Stock Option Plan(1)</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715" w:type="dxa"/>
            <w:tcBorders/>
            <w:shd w:fill="FFFFFF" w:val="clear"/>
            <w:vAlign w:val="center"/>
          </w:tcPr>
          <w:p>
            <w:pPr>
              <w:pStyle w:val="TableContents"/>
              <w:bidi w:val="0"/>
              <w:spacing w:before="0" w:after="283"/>
              <w:jc w:val="right"/>
              <w:rPr/>
            </w:pPr>
            <w:r>
              <w:rPr/>
              <w:t>61,577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w:t>
            </w:r>
          </w:p>
        </w:tc>
        <w:tc>
          <w:tcPr>
            <w:tcW w:w="2066" w:type="dxa"/>
            <w:tcBorders/>
            <w:shd w:fill="FFFFFF" w:val="clear"/>
            <w:vAlign w:val="center"/>
          </w:tcPr>
          <w:p>
            <w:pPr>
              <w:pStyle w:val="TableContents"/>
              <w:bidi w:val="0"/>
              <w:spacing w:before="0" w:after="283"/>
              <w:jc w:val="right"/>
              <w:rPr/>
            </w:pPr>
            <w:r>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958"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2262" w:type="dxa"/>
            <w:tcBorders/>
            <w:shd w:fill="CCEEFF" w:val="clear"/>
            <w:vAlign w:val="center"/>
          </w:tcPr>
          <w:p>
            <w:pPr>
              <w:pStyle w:val="TableContents"/>
              <w:bidi w:val="0"/>
              <w:spacing w:before="0" w:after="283"/>
              <w:jc w:val="left"/>
              <w:rPr/>
            </w:pPr>
            <w:r>
              <w:rPr/>
              <w:t>Stock Options (2)</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7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77, 846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w:t>
            </w:r>
          </w:p>
        </w:tc>
        <w:tc>
          <w:tcPr>
            <w:tcW w:w="2066" w:type="dxa"/>
            <w:tcBorders/>
            <w:shd w:fill="CCEEFF" w:val="clear"/>
            <w:vAlign w:val="center"/>
          </w:tcPr>
          <w:p>
            <w:pPr>
              <w:pStyle w:val="TableContents"/>
              <w:bidi w:val="0"/>
              <w:spacing w:before="0" w:after="283"/>
              <w:jc w:val="right"/>
              <w:rPr/>
            </w:pPr>
            <w:r>
              <w:rPr/>
              <w:t>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95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2262"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715" w:type="dxa"/>
            <w:tcBorders>
              <w:bottom w:val="double" w:sz="6" w:space="0" w:color="000000"/>
            </w:tcBorders>
            <w:shd w:fill="FFFFFF" w:val="clear"/>
            <w:tcMar>
              <w:bottom w:w="28" w:type="dxa"/>
            </w:tcMar>
            <w:vAlign w:val="center"/>
          </w:tcPr>
          <w:p>
            <w:pPr>
              <w:pStyle w:val="TableContents"/>
              <w:bidi w:val="0"/>
              <w:spacing w:before="0" w:after="283"/>
              <w:jc w:val="right"/>
              <w:rPr/>
            </w:pPr>
            <w:r>
              <w:rPr/>
              <w:t>2,095,362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20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958" w:type="dxa"/>
            <w:tcBorders>
              <w:bottom w:val="double" w:sz="6" w:space="0" w:color="000000"/>
            </w:tcBorders>
            <w:shd w:fill="FFFFFF" w:val="clear"/>
            <w:tcMar>
              <w:bottom w:w="28" w:type="dxa"/>
            </w:tcMar>
            <w:vAlign w:val="center"/>
          </w:tcPr>
          <w:p>
            <w:pPr>
              <w:pStyle w:val="TableContents"/>
              <w:bidi w:val="0"/>
              <w:spacing w:before="0" w:after="283"/>
              <w:jc w:val="right"/>
              <w:rPr/>
            </w:pPr>
            <w:r>
              <w:rPr/>
              <w:t>688,431</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options were originally issued by Microbot Israel under its Employee Stock Option Plan and represented the right to purchase an aggregate of 500,000 shares of Microbot Israel’s ordinary shares. As of the effective time of the Merger, such options were retroactively adjusted to reflect the Merger and now represent the right to purchase shares of our common stock.</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options were originally issued by Microbot Israel to MEDX Ventures Group LLC, of which Mr. Gadot is the Chief Executive Officer, Company Group Chairman and majority equity owner, and represented the right to purchase an aggregate of 486,263 of Microbot Israel’s ordinary shares. As of the effective time of the Merger, such options were retroactively adjusted to reflect the Merger and now represent the right to purchase shares of our common stock.</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4" w:name="Na_011"/>
      <w:bookmarkEnd w:id="44"/>
      <w:r>
        <w:rPr>
          <w:rFonts w:ascii="Times New Roman;Times;Serif" w:hAnsi="Times New Roman;Times;Serif"/>
          <w:b/>
          <w:i w:val="false"/>
          <w:caps w:val="false"/>
          <w:smallCaps w:val="false"/>
          <w:sz w:val="20"/>
        </w:rPr>
        <w:t xml:space="preserve">Item 6. </w:t>
      </w:r>
      <w:r>
        <w:rPr>
          <w:rFonts w:ascii="Times New Roman;Times;Serif" w:hAnsi="Times New Roman;Times;Serif"/>
          <w:b/>
          <w:i w:val="false"/>
          <w:caps w:val="false"/>
          <w:smallCaps w:val="false"/>
          <w:sz w:val="20"/>
          <w:u w:val="single"/>
        </w:rPr>
        <w:t>[Reserved]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5" w:name="Na_012"/>
      <w:bookmarkEnd w:id="45"/>
      <w:r>
        <w:rPr>
          <w:rFonts w:ascii="Times New Roman;Times;Serif" w:hAnsi="Times New Roman;Times;Serif"/>
          <w:b/>
          <w:i w:val="false"/>
          <w:caps w:val="false"/>
          <w:smallCaps w:val="false"/>
          <w:sz w:val="20"/>
        </w:rPr>
        <w:t xml:space="preserve">Item 7. </w:t>
      </w:r>
      <w:r>
        <w:rPr>
          <w:rFonts w:ascii="Times New Roman;Times;Serif" w:hAnsi="Times New Roman;Times;Serif"/>
          <w:b/>
          <w:i w:val="false"/>
          <w:caps w:val="false"/>
          <w:smallCaps w:val="false"/>
          <w:sz w:val="20"/>
          <w:u w:val="single"/>
        </w:rPr>
        <w:t>Management’s Discussion and Analysis of Financial Condition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of this Annual Report on Form 10-K entitled “Risk Factors” as well as elsewhere in this Annual Report.</w:t>
      </w:r>
    </w:p>
    <w:p>
      <w:pPr>
        <w:pStyle w:val="TextBody"/>
        <w:shd w:fill="FFFFFF" w:val="clear"/>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these risks and uncertainties, and especially given the nature of our existing and proposed business, there can be no assurance that the forward-looking statements contained in this section and elsewhere in this Annual Report on Form 10-K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Operations Overview</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salaries and related expenses and overhead for Microbot’s research, development and engineering personnel, prototype materials and research studies, obtaining and maintaining Microbot’s patent portfolio, net of government grants. Microbot expenses its research and development costs as incurred.</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the costs associated with management salaries and benefits, professional fees for accounting, auditing, consulting, legal services, and insurance expenses, net of insurance loss recoveries.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expects that its general and administrative expenses will increase over the long-term, even if a period-to-period comparison may show a decrease, as it expands its operating activities,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Significant Judgments and Estimates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Contingencies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records and discloses legal contingencies in accordance with Accounting Standards Codification (“ASC”) Topic 450 </w:t>
      </w:r>
      <w:r>
        <w:rPr>
          <w:rFonts w:ascii="Times New Roman;Times;Serif" w:hAnsi="Times New Roman;Times;Serif"/>
          <w:b w:val="false"/>
          <w:i/>
          <w:caps w:val="false"/>
          <w:smallCaps w:val="false"/>
          <w:sz w:val="20"/>
        </w:rPr>
        <w:t>Contingencies</w:t>
      </w:r>
      <w:r>
        <w:rPr>
          <w:rFonts w:ascii="Times New Roman;Times;Serif" w:hAnsi="Times New Roman;Times;Serif"/>
          <w:b w:val="false"/>
          <w:i w:val="false"/>
          <w:caps w:val="false"/>
          <w:smallCaps w:val="false"/>
          <w:sz w:val="20"/>
        </w:rPr>
        <w:t>. A provision is recorded when it is both probable that a liability has been incurred and the amount of the loss can be reasonably estimated. The Company monitors the stage of progress of its litigation matters to determine if any adjustments are required.</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Financial Instruments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the fair value of certain of its financial instruments on a recurring basis.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fair value hierarchy is used to rank the quality and reliability of the information used to determine fair values. Financial assets and liabilities carried at fair value will be classified and disclosed in one of the following three categories: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(unadjusted) in active markets for identical assets and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 and that are significant to the fair value of the assets or liabilities.</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Years Ended December 31, 2023 and 2022</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key components of Microbot’s results of operations for the years ended December 31, 2023 and 2022 (in thousands):</w:t>
      </w:r>
    </w:p>
    <w:p>
      <w:pPr>
        <w:pStyle w:val="TextBody"/>
        <w:shd w:fill="FFFFFF" w:val="clear"/>
        <w:bidi w:val="0"/>
        <w:spacing w:before="0" w:after="0"/>
        <w:jc w:val="both"/>
        <w:rPr>
          <w:caps w:val="false"/>
          <w:smallCaps w:val="false"/>
        </w:rPr>
      </w:pPr>
      <w:r>
        <w:rPr>
          <w:caps w:val="false"/>
          <w:smallCaps w:val="false"/>
        </w:rPr>
        <w:t> </w:t>
      </w:r>
    </w:p>
    <w:tbl>
      <w:tblPr>
        <w:tblW w:w="7118" w:type="dxa"/>
        <w:jc w:val="left"/>
        <w:tblInd w:w="0" w:type="dxa"/>
        <w:tblLayout w:type="fixed"/>
        <w:tblCellMar>
          <w:top w:w="0" w:type="dxa"/>
          <w:left w:w="0" w:type="dxa"/>
          <w:bottom w:w="0" w:type="dxa"/>
          <w:right w:w="0" w:type="dxa"/>
        </w:tblCellMar>
      </w:tblPr>
      <w:tblGrid>
        <w:gridCol w:w="4175"/>
        <w:gridCol w:w="60"/>
        <w:gridCol w:w="148"/>
        <w:gridCol w:w="672"/>
        <w:gridCol w:w="100"/>
        <w:gridCol w:w="63"/>
        <w:gridCol w:w="148"/>
        <w:gridCol w:w="672"/>
        <w:gridCol w:w="95"/>
        <w:gridCol w:w="60"/>
        <w:gridCol w:w="147"/>
        <w:gridCol w:w="668"/>
        <w:gridCol w:w="110"/>
      </w:tblGrid>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3" w:type="dxa"/>
            <w:gridSpan w:val="6"/>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Years Ended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Research and development expenses, net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672" w:type="dxa"/>
            <w:tcBorders/>
            <w:shd w:fill="CCEEFF" w:val="clear"/>
            <w:vAlign w:val="center"/>
          </w:tcPr>
          <w:p>
            <w:pPr>
              <w:pStyle w:val="TableContents"/>
              <w:bidi w:val="0"/>
              <w:spacing w:before="0" w:after="283"/>
              <w:jc w:val="right"/>
              <w:rPr/>
            </w:pPr>
            <w:r>
              <w:rPr/>
              <w:t>(5,724</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672" w:type="dxa"/>
            <w:tcBorders/>
            <w:shd w:fill="CCEEFF" w:val="clear"/>
            <w:vAlign w:val="center"/>
          </w:tcPr>
          <w:p>
            <w:pPr>
              <w:pStyle w:val="TableContents"/>
              <w:bidi w:val="0"/>
              <w:spacing w:before="0" w:after="283"/>
              <w:jc w:val="right"/>
              <w:rPr/>
            </w:pPr>
            <w:r>
              <w:rPr/>
              <w:t>(7,736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2,012</w:t>
            </w:r>
          </w:p>
        </w:tc>
        <w:tc>
          <w:tcPr>
            <w:tcW w:w="11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283"/>
              <w:jc w:val="left"/>
              <w:rPr/>
            </w:pPr>
            <w:r>
              <w:rPr/>
              <w:t>General and administrative expenses, net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(4,131</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(5,545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1,414</w:t>
            </w:r>
          </w:p>
        </w:tc>
        <w:tc>
          <w:tcPr>
            <w:tcW w:w="11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Financing income, net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228</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118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110</w:t>
            </w:r>
          </w:p>
        </w:tc>
        <w:tc>
          <w:tcPr>
            <w:tcW w:w="11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283"/>
              <w:jc w:val="left"/>
              <w:rPr/>
            </w:pPr>
            <w:r>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(2</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Loss on legal settlement, net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(1,111</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(1,111</w:t>
            </w:r>
          </w:p>
        </w:tc>
        <w:tc>
          <w:tcPr>
            <w:tcW w:w="110" w:type="dxa"/>
            <w:tcBorders/>
            <w:shd w:fill="CCEEFF" w:val="clear"/>
            <w:vAlign w:val="center"/>
          </w:tcPr>
          <w:p>
            <w:pPr>
              <w:pStyle w:val="TableContents"/>
              <w:bidi w:val="0"/>
              <w:spacing w:before="0" w:after="283"/>
              <w:jc w:val="left"/>
              <w:rPr/>
            </w:pPr>
            <w:r>
              <w:rPr/>
              <w:t>)</w:t>
            </w:r>
          </w:p>
        </w:tc>
      </w:tr>
    </w:tbl>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 Expenses, net</w:t>
      </w:r>
      <w:r>
        <w:rPr>
          <w:rFonts w:ascii="Times New Roman;Times;Serif" w:hAnsi="Times New Roman;Times;Serif"/>
          <w:b w:val="false"/>
          <w:i w:val="false"/>
          <w:caps w:val="false"/>
          <w:smallCaps w:val="false"/>
          <w:sz w:val="20"/>
        </w:rPr>
        <w:t>. The decrease in research and development expenses of approximately $2.0 million in 2023 as compared to 2022 was primarily due to the Company’s cost reduction plan, which commenced in the second quarter of 2023. The cost reduction plan involved cutting expenses by, among other things, implementing employee terminations, reducing management salaries, eliminating bonus accruals and pausing independent directors’ payments. The Company also reduced costs by decreasing expenses related to subcontractors, advisory board members and patents. Additionally, in comparison to the same period in 2022, the Company incurred expenses in 2022 due to the development of the SCS technology, whereas in 2023, lower expenses were recorded for that project as it was suspended in October 2022 and later terminated. In 2023, government grants were deducted from research and development expenses as the applicable costs are incurred.</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Expenses, net</w:t>
      </w:r>
      <w:r>
        <w:rPr>
          <w:rFonts w:ascii="Times New Roman;Times;Serif" w:hAnsi="Times New Roman;Times;Serif"/>
          <w:b w:val="false"/>
          <w:i w:val="false"/>
          <w:caps w:val="false"/>
          <w:smallCaps w:val="false"/>
          <w:sz w:val="20"/>
        </w:rPr>
        <w:t>. The decrease in general and administrative expenses of approximately $1.4 million in 2023 as compared to 2022 was primarily due to a decrease in the Company’s directors and officers insurance premiums in 2023, combined with execution of the cost reduction plan as described above. Additionally, for the year ended 2023, the Company recorded lower share-based compensation expenses compared to the comparable period in 2022, due to older options becoming fully vested. In 2023, insurance loss recoveries reduced the Company’s general and administrative expenses.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Financing Income, net</w:t>
      </w:r>
      <w:r>
        <w:rPr>
          <w:rFonts w:ascii="Times New Roman;Times;Serif" w:hAnsi="Times New Roman;Times;Serif"/>
          <w:b w:val="false"/>
          <w:i w:val="false"/>
          <w:caps w:val="false"/>
          <w:smallCaps w:val="false"/>
          <w:sz w:val="20"/>
        </w:rPr>
        <w:t>. Financing income for the year ended December 31, 2023 included income from interest, net, totaling $283,000 and was partially offset by exchange rate losses of $55,000, compared to 2022, which consisted of income from interest, net, totaling $54,000, combined with exchange rate gains of $64,000.</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Loss on legal settlement, net.</w:t>
      </w:r>
      <w:r>
        <w:rPr>
          <w:rFonts w:ascii="Times New Roman;Times;Serif" w:hAnsi="Times New Roman;Times;Serif"/>
          <w:b w:val="false"/>
          <w:i w:val="false"/>
          <w:caps w:val="false"/>
          <w:smallCaps w:val="false"/>
          <w:sz w:val="20"/>
        </w:rPr>
        <w:t xml:space="preserve"> Loss on legal settlement, net for the year ended December 31, 2023 is related to the January 2024 issuance of restricted shares of our common stock to settle the Lawsuit pursuant to the Settlement Agreement. See “Part I–Recent Developments–Settlement of Lawsuit.</w:t>
      </w:r>
    </w:p>
    <w:p>
      <w:pPr>
        <w:pStyle w:val="TextBody"/>
        <w:shd w:fill="FFFFFF" w:val="clear"/>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Microbot has not generated revenues from operations. Microbot has incurred losses since inception and negative cash flows from operating activities for all periods presented. As of December 31, 2023, Microbot had a net working capital of approximately $4.1 million, consisting primarily of cash and cash equivalents and marketable securities. This compares to net working capital of approximately $6.7 million as of December 31, 2022. Microbot anticipates that it will continue to incur net losses for the foreseeable future as it continues research and development efforts of its primary product candidate and continues to incur costs associated with being a public company.</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funded its operations through the issuance of capital stock, grants from the Israeli Innovation Authority, and convertible debt. Since inception (November 2010) through December 31, 2023, Microbot has raised cash proceeds of approximately $66.0 million and incurred a total cumulative loss of approximately $79.5 million.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obtained from the Israeli Innovation Authority (“IIA”) grants for participation in research and development for the years 2013 through December 31, 2023 in the total amount of approximately $1.8 million. This amount includes amounts received in 2023 of approximately $304,000, which are a portion of an additional grant from the IIA in the amount of approximately NIS 1.6 million (approximately $447,000) approved by the IIA on June 1, 2023, to further finance the development of the manufacturing process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On January 4, 2018, Microbot Israel entered into an agreement with CardioSert to acquire certain of its patent-protected technology, which we expect to return shortly. CardioSert received grants from the IIA in the aggregate amount of approximately $530,000 and Microbot Israel took over the liability to repay such grants, although we expect that we will cease to have any obligations under the CardioSert grants once that technology is returned.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is obligated to pay royalties amounting to 3%-5% of its future sales up to the amount of the grants. The grants are linked to the exchange rate of the dollar to the New Israeli Shekel and bears interest at an annual rate of SOFR, a benchmark interest rate which replaced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accordingly, as we have discontinued the CardioSert program and are returning the technology to CardioSert, we do not expect to repay, or have the obligation to repay, the grants relating to that technology. The financial risk is assumed completely by the IIA.</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 2023, the Company announced that it received approval for a grant from the Ministry of Economy in the amount of approximately NIS 300,000, which based on an exchange rate on such date of NIS 1.00 = $0.2923, would be approximately $88,000, to further finance the marketing activities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in the U.S. market.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the Ministry of Economy grant, the Company is obligated to pay royalties amounting to 3% of future sales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up to the grant amount plus interest.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fiscal quarter of 2023, Microbot commenced a core-business focus program and a cost reduction plan while it sought to raise sufficient additional capital to continue development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In May and June 2023, Microbot raised aggregate gross proceeds of approximately $7.6 million, before fees and expenses of approximately $1.1 million, from investors, to continue to fund its operations and research and development activities and will need additional funds to continue the FDA approval process for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We also raised approximately $2.7 million in gross proceeds from financing activities in January 2024. To the extent available, Microbot intends to raise capital through future public and private issuances of debt and/or equity securities.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we have sufficient funds for our operations for less than one year. As a result of the foregoing and our current cash position, these conditions raise substantial doubt about Microbot’s ability to continue as a going concern, which could adversely affect our ability to raise capital, expand our business and develop our planned products. The accompanying consolidated annual financial statements do not include any adjustments to reflect the possible future effects on recoverability and reclassification of assets or the amounts and classification of liabilities that may result from the outcome of this uncertainty.</w:t>
      </w:r>
    </w:p>
    <w:p>
      <w:pPr>
        <w:pStyle w:val="TextBody"/>
        <w:shd w:fill="FFFFFF" w:val="clear"/>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summary of the net cash flow activity for each of the periods presented (in thousands):</w:t>
      </w:r>
    </w:p>
    <w:p>
      <w:pPr>
        <w:pStyle w:val="TextBody"/>
        <w:shd w:fill="FFFFFF" w:val="clear"/>
        <w:bidi w:val="0"/>
        <w:spacing w:before="0" w:after="0"/>
        <w:jc w:val="both"/>
        <w:rPr>
          <w:caps w:val="false"/>
          <w:smallCaps w:val="false"/>
        </w:rPr>
      </w:pPr>
      <w:r>
        <w:rPr>
          <w:caps w:val="false"/>
          <w:smallCaps w:val="false"/>
        </w:rPr>
        <w:t> </w:t>
      </w:r>
    </w:p>
    <w:tbl>
      <w:tblPr>
        <w:tblW w:w="7370" w:type="dxa"/>
        <w:jc w:val="left"/>
        <w:tblInd w:w="0" w:type="dxa"/>
        <w:tblLayout w:type="fixed"/>
        <w:tblCellMar>
          <w:top w:w="0" w:type="dxa"/>
          <w:left w:w="0" w:type="dxa"/>
          <w:bottom w:w="0" w:type="dxa"/>
          <w:right w:w="0" w:type="dxa"/>
        </w:tblCellMar>
      </w:tblPr>
      <w:tblGrid>
        <w:gridCol w:w="5435"/>
        <w:gridCol w:w="60"/>
        <w:gridCol w:w="140"/>
        <w:gridCol w:w="575"/>
        <w:gridCol w:w="95"/>
        <w:gridCol w:w="60"/>
        <w:gridCol w:w="140"/>
        <w:gridCol w:w="755"/>
        <w:gridCol w:w="110"/>
      </w:tblGrid>
      <w:tr>
        <w:trPr/>
        <w:tc>
          <w:tcPr>
            <w:tcW w:w="5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5" w:type="dxa"/>
            <w:gridSpan w:val="6"/>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w:t>
              <w:br/>
              <w:t>December 31,</w:t>
            </w:r>
          </w:p>
        </w:tc>
        <w:tc>
          <w:tcPr>
            <w:tcW w:w="110" w:type="dxa"/>
            <w:tcBorders/>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w:t>
            </w:r>
            <w:r>
              <w:rPr>
                <w:rFonts w:ascii="Times New Roman;Times;Serif" w:hAnsi="Times New Roman;Times;Serif"/>
                <w:b/>
                <w:sz w:val="20"/>
              </w:rPr>
              <w:t>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w:t>
            </w:r>
            <w:r>
              <w:rPr>
                <w:rFonts w:ascii="Times New Roman;Times;Serif" w:hAnsi="Times New Roman;Times;Serif"/>
                <w:b/>
                <w:sz w:val="20"/>
              </w:rPr>
              <w:t>2</w:t>
            </w:r>
          </w:p>
        </w:tc>
        <w:tc>
          <w:tcPr>
            <w:tcW w:w="110" w:type="dxa"/>
            <w:tcBorders/>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Net 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75" w:type="dxa"/>
            <w:tcBorders/>
            <w:shd w:fill="CCEEFF" w:val="clear"/>
            <w:vAlign w:val="center"/>
          </w:tcPr>
          <w:p>
            <w:pPr>
              <w:pStyle w:val="TableContents"/>
              <w:bidi w:val="0"/>
              <w:spacing w:before="0" w:after="283"/>
              <w:jc w:val="right"/>
              <w:rPr/>
            </w:pPr>
            <w:r>
              <w:rPr/>
              <w:t>(8</w:t>
            </w:r>
            <w:r>
              <w:rPr>
                <w:rFonts w:ascii="Times New Roman;Times;Serif" w:hAnsi="Times New Roman;Times;Serif"/>
                <w:sz w:val="20"/>
              </w:rPr>
              <w:t>,533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(11</w:t>
            </w:r>
            <w:r>
              <w:rPr>
                <w:rFonts w:ascii="Times New Roman;Times;Serif" w:hAnsi="Times New Roman;Times;Serif"/>
                <w:sz w:val="20"/>
              </w:rPr>
              <w:t>,549</w:t>
            </w:r>
          </w:p>
        </w:tc>
        <w:tc>
          <w:tcPr>
            <w:tcW w:w="110" w:type="dxa"/>
            <w:tcBorders/>
            <w:shd w:fill="CCEEFF" w:val="clear"/>
            <w:vAlign w:val="center"/>
          </w:tcPr>
          <w:p>
            <w:pPr>
              <w:pStyle w:val="TableContents"/>
              <w:bidi w:val="0"/>
              <w:spacing w:before="0" w:after="283"/>
              <w:jc w:val="left"/>
              <w:rPr/>
            </w:pPr>
            <w:r>
              <w:rPr/>
              <w:t>)</w:t>
            </w:r>
          </w:p>
        </w:tc>
      </w:tr>
      <w:tr>
        <w:trPr/>
        <w:tc>
          <w:tcPr>
            <w:tcW w:w="5435" w:type="dxa"/>
            <w:tcBorders/>
            <w:shd w:fill="FFFFFF" w:val="clear"/>
            <w:vAlign w:val="center"/>
          </w:tcPr>
          <w:p>
            <w:pPr>
              <w:pStyle w:val="TableContents"/>
              <w:bidi w:val="0"/>
              <w:spacing w:before="0" w:after="283"/>
              <w:jc w:val="left"/>
              <w:rPr/>
            </w:pPr>
            <w:r>
              <w:rPr/>
              <w:t>Net 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1</w:t>
            </w:r>
            <w:r>
              <w:rPr>
                <w:rFonts w:ascii="Times New Roman;Times;Serif" w:hAnsi="Times New Roman;Times;Serif"/>
                <w:sz w:val="20"/>
              </w:rPr>
              <w:t>,973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w:t>
            </w:r>
            <w:r>
              <w:rPr>
                <w:rFonts w:ascii="Times New Roman;Times;Serif" w:hAnsi="Times New Roman;Times;Serif"/>
                <w:sz w:val="20"/>
              </w:rPr>
              <w:t>,836</w:t>
            </w:r>
          </w:p>
        </w:tc>
        <w:tc>
          <w:tcPr>
            <w:tcW w:w="110" w:type="dxa"/>
            <w:tcBorders/>
            <w:shd w:fill="FFFFFF" w:val="clear"/>
            <w:vAlign w:val="center"/>
          </w:tcPr>
          <w:p>
            <w:pPr>
              <w:pStyle w:val="TableContents"/>
              <w:bidi w:val="0"/>
              <w:spacing w:before="0" w:after="283"/>
              <w:jc w:val="left"/>
              <w:rPr/>
            </w:pPr>
            <w:r>
              <w:rPr/>
              <w:t>)</w:t>
            </w:r>
          </w:p>
        </w:tc>
      </w:tr>
      <w:tr>
        <w:trPr/>
        <w:tc>
          <w:tcPr>
            <w:tcW w:w="5435" w:type="dxa"/>
            <w:tcBorders/>
            <w:shd w:fill="CCEEFF" w:val="clear"/>
            <w:vAlign w:val="center"/>
          </w:tcPr>
          <w:p>
            <w:pPr>
              <w:pStyle w:val="TableContents"/>
              <w:bidi w:val="0"/>
              <w:spacing w:before="0" w:after="283"/>
              <w:jc w:val="left"/>
              <w:rPr/>
            </w:pPr>
            <w:r>
              <w:rPr/>
              <w:t>Net 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pPr>
            <w:r>
              <w:rPr/>
              <w:t>6</w:t>
            </w:r>
            <w:r>
              <w:rPr>
                <w:rFonts w:ascii="Times New Roman;Times;Serif" w:hAnsi="Times New Roman;Times;Serif"/>
                <w:sz w:val="20"/>
              </w:rPr>
              <w:t>,558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r>
              <w:rPr>
                <w:rFonts w:ascii="Times New Roman;Times;Serif" w:hAnsi="Times New Roman;Times;Serif"/>
                <w:sz w:val="20"/>
              </w:rPr>
              <w:t>,324</w:t>
            </w:r>
          </w:p>
        </w:tc>
        <w:tc>
          <w:tcPr>
            <w:tcW w:w="110"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Net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75" w:type="dxa"/>
            <w:tcBorders>
              <w:bottom w:val="double" w:sz="6"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(11,061</w:t>
            </w:r>
          </w:p>
        </w:tc>
        <w:tc>
          <w:tcPr>
            <w:tcW w:w="110" w:type="dxa"/>
            <w:tcBorders/>
            <w:shd w:fill="FFFFFF" w:val="clear"/>
            <w:vAlign w:val="center"/>
          </w:tcPr>
          <w:p>
            <w:pPr>
              <w:pStyle w:val="TableContents"/>
              <w:bidi w:val="0"/>
              <w:spacing w:before="0" w:after="283"/>
              <w:jc w:val="left"/>
              <w:rPr/>
            </w:pPr>
            <w:r>
              <w:rPr/>
              <w:t>)</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2023 of cash flows used in operating activities compared to 2022 was primarily from a decrease in research and development expenses relating to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in 2023 as a result of the Company’s May 2023 cost reduction plan and core-business focus program.</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from investing activities increased in 2023 compared to 2022 by approximately $5.8 million, primarily from the net purchases of marketable securities in 2022.</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from financing activities increased in 2023 by approximately $2.2 million due to increased issuances of common stock and warrants in 2023.</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6" w:name="Na_013"/>
      <w:bookmarkEnd w:id="46"/>
      <w:r>
        <w:rPr>
          <w:rFonts w:ascii="Times New Roman;Times;Serif" w:hAnsi="Times New Roman;Times;Serif"/>
          <w:b/>
          <w:i w:val="false"/>
          <w:caps w:val="false"/>
          <w:smallCaps w:val="false"/>
          <w:sz w:val="20"/>
        </w:rPr>
        <w:t xml:space="preserve">Item 7A. </w:t>
      </w:r>
      <w:r>
        <w:rPr>
          <w:rFonts w:ascii="Times New Roman;Times;Serif" w:hAnsi="Times New Roman;Times;Serif"/>
          <w:b/>
          <w:i w:val="false"/>
          <w:caps w:val="false"/>
          <w:smallCaps w:val="false"/>
          <w:sz w:val="20"/>
          <w:u w:val="single"/>
        </w:rPr>
        <w:t>Quantitative and Qualitative Disclosures About Market Risk.</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Risk</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cash and cash equivalents as of December 31, 2023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Exchange Risks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Effects of Inflation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generally affects Microbot by increasing its research and development expenses. Microbot does not believe that inflation and changing prices had a significant impact on its results of operations for any periods presented herein, but may have a significant, adverse impact in 2024.</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7" w:name="Na_014"/>
      <w:bookmarkEnd w:id="47"/>
      <w:r>
        <w:rPr>
          <w:rFonts w:ascii="Times New Roman;Times;Serif" w:hAnsi="Times New Roman;Times;Serif"/>
          <w:b/>
          <w:i w:val="false"/>
          <w:caps w:val="false"/>
          <w:smallCaps w:val="false"/>
          <w:sz w:val="20"/>
        </w:rPr>
        <w:t xml:space="preserve">Item 8. </w:t>
      </w:r>
      <w:r>
        <w:rPr>
          <w:rFonts w:ascii="Times New Roman;Times;Serif" w:hAnsi="Times New Roman;Times;Serif"/>
          <w:b/>
          <w:i w:val="false"/>
          <w:caps w:val="false"/>
          <w:smallCaps w:val="false"/>
          <w:sz w:val="20"/>
          <w:u w:val="single"/>
        </w:rPr>
        <w:t>Financial Statements and Supplementary Data.</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and supplementary data required by this item are included in this Annual Report on Form 10-K immediately following Part IV and are incorporated herein by reference.</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8" w:name="Na_015"/>
      <w:bookmarkEnd w:id="48"/>
      <w:r>
        <w:rPr>
          <w:rFonts w:ascii="Times New Roman;Times;Serif" w:hAnsi="Times New Roman;Times;Serif"/>
          <w:b/>
          <w:i w:val="false"/>
          <w:caps w:val="false"/>
          <w:smallCaps w:val="false"/>
          <w:sz w:val="20"/>
        </w:rPr>
        <w:t xml:space="preserve">Item 9. </w:t>
      </w:r>
      <w:r>
        <w:rPr>
          <w:rFonts w:ascii="Times New Roman;Times;Serif" w:hAnsi="Times New Roman;Times;Serif"/>
          <w:b/>
          <w:i w:val="false"/>
          <w:caps w:val="false"/>
          <w:smallCaps w:val="false"/>
          <w:sz w:val="20"/>
          <w:u w:val="single"/>
        </w:rPr>
        <w:t>Changes in and Disagreements with Accountants on Accounting and Financial Disclosure.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9" w:name="Na_016"/>
      <w:bookmarkEnd w:id="49"/>
      <w:r>
        <w:rPr>
          <w:rFonts w:ascii="Times New Roman;Times;Serif" w:hAnsi="Times New Roman;Times;Serif"/>
          <w:b/>
          <w:i w:val="false"/>
          <w:caps w:val="false"/>
          <w:smallCaps w:val="false"/>
          <w:sz w:val="20"/>
        </w:rPr>
        <w:t xml:space="preserve">Item 9A. </w:t>
      </w:r>
      <w:r>
        <w:rPr>
          <w:rFonts w:ascii="Times New Roman;Times;Serif" w:hAnsi="Times New Roman;Times;Serif"/>
          <w:b/>
          <w:i w:val="false"/>
          <w:caps w:val="false"/>
          <w:smallCaps w:val="false"/>
          <w:sz w:val="20"/>
          <w:u w:val="single"/>
        </w:rPr>
        <w:t>Controls and Procedures.</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Disclosure Controls and Procedures</w:t>
      </w:r>
      <w:r>
        <w:rPr>
          <w:rFonts w:ascii="Times New Roman;Times;Serif" w:hAnsi="Times New Roman;Times;Serif"/>
          <w:b w:val="false"/>
          <w:i w:val="false"/>
          <w:caps w:val="false"/>
          <w:smallCaps w:val="false"/>
          <w:sz w:val="20"/>
        </w:rPr>
        <w:t>. 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December 31, 2023. Based on that review and evaluation, the Chief Executive Officer and Chief Financial Officer, along with the management of the Company, have determined that as of December 31, 2023,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Management’s Annual Report on Internal Control Over Financial Reporting.</w:t>
      </w:r>
      <w:r>
        <w:rPr>
          <w:rFonts w:ascii="Times New Roman;Times;Serif" w:hAnsi="Times New Roman;Times;Serif"/>
          <w:b w:val="false"/>
          <w:i w:val="false"/>
          <w:caps w:val="false"/>
          <w:smallCaps w:val="false"/>
          <w:sz w:val="20"/>
        </w:rPr>
        <w:t xml:space="preserve"> Our management is responsible for establishing and maintaining effective internal control over financial reporting (as defined in Rule 13a - 15(f) of the Exchange Act). There are inherent limitations to the effectiveness of any internal control, including the possibility of human error and the circumvention or overriding of controls. Accordingly, even effective internal controls can provide only reasonable assurance with respect to financial statement preparation. Further, because of changes in conditions, the effectiveness of internal control may vary over time. We have assessed the effectiveness of our internal controls over financial reporting (as defined in Rule 13a -15(f) of the Exchange Act) as of December 31, 2023, and have concluded that, as of December 31, 2023, our internal control over financial reporting was effective.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does not include an attestation report of our registered public accounting firm regarding internal control over financial reporting. Management’s report was not subject to attestation by our registered public accounting firm pursuant to the rules of the Securities and Exchange Commission that permit us to provide only management’s report in this annual report.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Changes in Internal Control Over Financial Reporting.</w:t>
      </w:r>
      <w:r>
        <w:rPr>
          <w:rFonts w:ascii="Times New Roman;Times;Serif" w:hAnsi="Times New Roman;Times;Serif"/>
          <w:b w:val="false"/>
          <w:i w:val="false"/>
          <w:caps w:val="false"/>
          <w:smallCaps w:val="false"/>
          <w:sz w:val="20"/>
        </w:rPr>
        <w:t xml:space="preserve"> 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0" w:name="Na_017"/>
      <w:bookmarkEnd w:id="50"/>
      <w:r>
        <w:rPr>
          <w:rFonts w:ascii="Times New Roman;Times;Serif" w:hAnsi="Times New Roman;Times;Serif"/>
          <w:b/>
          <w:i w:val="false"/>
          <w:caps w:val="false"/>
          <w:smallCaps w:val="false"/>
          <w:sz w:val="20"/>
        </w:rPr>
        <w:t xml:space="preserve">Item 9B. </w:t>
      </w:r>
      <w:r>
        <w:rPr>
          <w:rFonts w:ascii="Times New Roman;Times;Serif" w:hAnsi="Times New Roman;Times;Serif"/>
          <w:b/>
          <w:i w:val="false"/>
          <w:caps w:val="false"/>
          <w:smallCaps w:val="false"/>
          <w:sz w:val="20"/>
          <w:u w:val="single"/>
        </w:rPr>
        <w:t>Other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1" w:name="Na_018"/>
      <w:bookmarkEnd w:id="51"/>
      <w:r>
        <w:rPr>
          <w:rFonts w:ascii="Times New Roman;Times;Serif" w:hAnsi="Times New Roman;Times;Serif"/>
          <w:b/>
          <w:i w:val="false"/>
          <w:caps w:val="false"/>
          <w:smallCaps w:val="false"/>
          <w:sz w:val="20"/>
        </w:rPr>
        <w:t xml:space="preserve">Item 9C. </w:t>
      </w:r>
      <w:r>
        <w:rPr>
          <w:rFonts w:ascii="Times New Roman;Times;Serif" w:hAnsi="Times New Roman;Times;Serif"/>
          <w:b/>
          <w:i w:val="false"/>
          <w:caps w:val="false"/>
          <w:smallCaps w:val="false"/>
          <w:sz w:val="20"/>
          <w:u w:val="single"/>
        </w:rPr>
        <w:t>Disclosure Regarding Foreign Jurisdictions that Prevent Inspections.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2" w:name="Na_019"/>
      <w:bookmarkEnd w:id="52"/>
      <w:r>
        <w:rPr>
          <w:rFonts w:ascii="Times New Roman;Times;Serif" w:hAnsi="Times New Roman;Times;Serif"/>
          <w:b/>
          <w:i w:val="false"/>
          <w:caps w:val="false"/>
          <w:smallCaps w:val="false"/>
          <w:sz w:val="20"/>
        </w:rPr>
        <w:t>PART III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3" w:name="Na_020"/>
      <w:bookmarkEnd w:id="53"/>
      <w:r>
        <w:rPr>
          <w:rFonts w:ascii="Times New Roman;Times;Serif" w:hAnsi="Times New Roman;Times;Serif"/>
          <w:b/>
          <w:i w:val="false"/>
          <w:caps w:val="false"/>
          <w:smallCaps w:val="false"/>
          <w:sz w:val="20"/>
        </w:rPr>
        <w:t xml:space="preserve">Item 10. </w:t>
      </w:r>
      <w:r>
        <w:rPr>
          <w:rFonts w:ascii="Times New Roman;Times;Serif" w:hAnsi="Times New Roman;Times;Serif"/>
          <w:b/>
          <w:i w:val="false"/>
          <w:caps w:val="false"/>
          <w:smallCaps w:val="false"/>
          <w:sz w:val="20"/>
          <w:u w:val="single"/>
        </w:rPr>
        <w:t>Directors, Executive Officers, and Corporate Governance.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seven directors serving on our Board. The following table lists the names, ages and positions of the individuals who serve as directors of the Company, as of March 25, 2024:</w:t>
      </w:r>
    </w:p>
    <w:p>
      <w:pPr>
        <w:pStyle w:val="TextBody"/>
        <w:bidi w:val="0"/>
        <w:spacing w:before="0" w:after="0"/>
        <w:jc w:val="both"/>
        <w:rPr>
          <w:caps w:val="false"/>
          <w:smallCaps w:val="false"/>
        </w:rPr>
      </w:pPr>
      <w:r>
        <w:rPr>
          <w:caps w:val="false"/>
          <w:smallCaps w:val="false"/>
        </w:rPr>
        <w:t> </w:t>
      </w:r>
    </w:p>
    <w:tbl>
      <w:tblPr>
        <w:tblW w:w="8580" w:type="dxa"/>
        <w:jc w:val="left"/>
        <w:tblInd w:w="0" w:type="dxa"/>
        <w:tblLayout w:type="fixed"/>
        <w:tblCellMar>
          <w:top w:w="0" w:type="dxa"/>
          <w:left w:w="0" w:type="dxa"/>
          <w:bottom w:w="28" w:type="dxa"/>
          <w:right w:w="0" w:type="dxa"/>
        </w:tblCellMar>
      </w:tblPr>
      <w:tblGrid>
        <w:gridCol w:w="2090"/>
        <w:gridCol w:w="60"/>
        <w:gridCol w:w="350"/>
        <w:gridCol w:w="60"/>
        <w:gridCol w:w="6020"/>
      </w:tblGrid>
      <w:tr>
        <w:trPr/>
        <w:tc>
          <w:tcPr>
            <w:tcW w:w="209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20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Chairman of the Board of Directors</w:t>
            </w:r>
          </w:p>
        </w:tc>
      </w:tr>
      <w:tr>
        <w:trPr/>
        <w:tc>
          <w:tcPr>
            <w:tcW w:w="20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Yoseph Bornstein(1)(3)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Burell(1)(2)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Madden(1)(3)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Prattipati Laxminarain(2)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Aileen Stockburger(3)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Tal Wenderow(2)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4045" w:type="dxa"/>
        <w:jc w:val="left"/>
        <w:tblInd w:w="0" w:type="dxa"/>
        <w:tblLayout w:type="fixed"/>
        <w:tblCellMar>
          <w:top w:w="0" w:type="dxa"/>
          <w:left w:w="0" w:type="dxa"/>
          <w:bottom w:w="0" w:type="dxa"/>
          <w:right w:w="0" w:type="dxa"/>
        </w:tblCellMar>
      </w:tblPr>
      <w:tblGrid>
        <w:gridCol w:w="260"/>
        <w:gridCol w:w="378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Audit Committee.</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Corporate Governance Committee.</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Compensation Committee.</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classified Board, with each of our directors serving a staggered three-year term. The following table shows the current composition of the three classes of our Board:</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 Directors (term scheduled to expire in 2025):</w:t>
      </w:r>
    </w:p>
    <w:p>
      <w:pPr>
        <w:pStyle w:val="TextBody"/>
        <w:shd w:fill="FFFFFF" w:val="clear"/>
        <w:bidi w:val="0"/>
        <w:spacing w:before="0" w:after="0"/>
        <w:jc w:val="both"/>
        <w:rPr>
          <w:caps w:val="false"/>
          <w:smallCaps w:val="false"/>
        </w:rPr>
      </w:pPr>
      <w:r>
        <w:rPr>
          <w:caps w:val="false"/>
          <w:smallCaps w:val="false"/>
        </w:rPr>
        <w:t> </w:t>
      </w:r>
    </w:p>
    <w:tbl>
      <w:tblPr>
        <w:tblW w:w="1385" w:type="dxa"/>
        <w:jc w:val="left"/>
        <w:tblInd w:w="0" w:type="dxa"/>
        <w:tblLayout w:type="fixed"/>
        <w:tblCellMar>
          <w:top w:w="0" w:type="dxa"/>
          <w:left w:w="0" w:type="dxa"/>
          <w:bottom w:w="0" w:type="dxa"/>
          <w:right w:w="0" w:type="dxa"/>
        </w:tblCellMar>
      </w:tblPr>
      <w:tblGrid>
        <w:gridCol w:w="75"/>
        <w:gridCol w:w="13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Harel Gadot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Madden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Tal Wenderow</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 Directors (term scheduled to expire in 2026):</w:t>
      </w:r>
    </w:p>
    <w:p>
      <w:pPr>
        <w:pStyle w:val="TextBody"/>
        <w:shd w:fill="FFFFFF" w:val="clear"/>
        <w:bidi w:val="0"/>
        <w:spacing w:before="0" w:after="0"/>
        <w:jc w:val="both"/>
        <w:rPr>
          <w:caps w:val="false"/>
          <w:smallCaps w:val="false"/>
        </w:rPr>
      </w:pPr>
      <w:r>
        <w:rPr>
          <w:caps w:val="false"/>
          <w:smallCaps w:val="false"/>
        </w:rPr>
        <w:t> </w:t>
      </w:r>
    </w:p>
    <w:tbl>
      <w:tblPr>
        <w:tblW w:w="1685" w:type="dxa"/>
        <w:jc w:val="left"/>
        <w:tblInd w:w="0" w:type="dxa"/>
        <w:tblLayout w:type="fixed"/>
        <w:tblCellMar>
          <w:top w:w="0" w:type="dxa"/>
          <w:left w:w="0" w:type="dxa"/>
          <w:bottom w:w="0" w:type="dxa"/>
          <w:right w:w="0" w:type="dxa"/>
        </w:tblCellMar>
      </w:tblPr>
      <w:tblGrid>
        <w:gridCol w:w="75"/>
        <w:gridCol w:w="1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Burell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Aileen Stockburger</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III Directors (term scheduled to expire in 2024):</w:t>
      </w:r>
    </w:p>
    <w:p>
      <w:pPr>
        <w:pStyle w:val="TextBody"/>
        <w:shd w:fill="FFFFFF" w:val="clear"/>
        <w:bidi w:val="0"/>
        <w:spacing w:before="0" w:after="0"/>
        <w:jc w:val="both"/>
        <w:rPr>
          <w:caps w:val="false"/>
          <w:smallCaps w:val="false"/>
        </w:rPr>
      </w:pPr>
      <w:r>
        <w:rPr>
          <w:caps w:val="false"/>
          <w:smallCaps w:val="false"/>
        </w:rPr>
        <w:t> </w:t>
      </w:r>
    </w:p>
    <w:tbl>
      <w:tblPr>
        <w:tblW w:w="1940" w:type="dxa"/>
        <w:jc w:val="left"/>
        <w:tblInd w:w="0" w:type="dxa"/>
        <w:tblLayout w:type="fixed"/>
        <w:tblCellMar>
          <w:top w:w="0" w:type="dxa"/>
          <w:left w:w="0" w:type="dxa"/>
          <w:bottom w:w="0" w:type="dxa"/>
          <w:right w:w="0" w:type="dxa"/>
        </w:tblCellMar>
      </w:tblPr>
      <w:tblGrid>
        <w:gridCol w:w="75"/>
        <w:gridCol w:w="18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Yoseph Bornstein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Prattipati Laxminarain</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Harel Gadot</w:t>
      </w:r>
      <w:r>
        <w:rPr>
          <w:rFonts w:ascii="Times New Roman;Times;Serif" w:hAnsi="Times New Roman;Times;Serif"/>
          <w:b w:val="false"/>
          <w:i w:val="false"/>
          <w:caps w:val="false"/>
          <w:smallCaps w:val="false"/>
          <w:sz w:val="20"/>
        </w:rPr>
        <w:t>, became President, Chief Executive Officer and Chairman of the Company’s Board following the consummation of the Merger. Mr. Gadot is a co-founder of Microbot Israel and has served as Microbot Israel’s Chief Executive Officer since Microbot Israel was founded in November 2010. He has been the Chairman of Microbot Israel’s board of directors since July 2014. He also served as a director until January 2024 of XACT Robotics Ltd., an Israel-based private company that recently ceased operations and is in insolvency proceedings in Israel, and was its Chairman from August 2013 until September 2023. Mr. Gadot serves as Chairman of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 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pStyle w:val="TextBody"/>
        <w:shd w:fill="FFFFFF" w:val="clear"/>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Yoseph Bornstein</w:t>
      </w:r>
      <w:r>
        <w:rPr>
          <w:rFonts w:ascii="Times New Roman;Times;Serif" w:hAnsi="Times New Roman;Times;Serif"/>
          <w:b w:val="false"/>
          <w:i w:val="false"/>
          <w:caps w:val="false"/>
          <w:smallCaps w:val="false"/>
          <w:sz w:val="20"/>
        </w:rPr>
        <w:t>, became a director of the Company following the Merger. Mr. Bornstein is a co-founder of Microbot Israel and has been a member of the Board of Directors since Microbot Israel was founded in November 2010. Mr. Bornstein founded Shizim Ltd., a life science holding group in October 2000 and has served as its CEO and director since then. Mr. Bornstein is the Chairman of, and through Shizim owns a stake in: GCP Clinical Studies Ltd., a provider of clinical research services and educational programs in Israel since January 2002; Biotis Ltd., a service company for the bio-pharmaceutical industry, since June 2000; Dolphin Medical Ltd., which supplies the medical device industry, since April 2012, and LSA - Life Science Accelerator Ltd., since 2000. He is the Chairman of ASIS Enterprises B.B.G. Ltd., a business development company focusing on creating business ties between Israeli and Japanese entities, since August 2007. Mr. Bornstein is a co-founder and until January 2024 was a director of XACT Robotics, an Israel-based private company that recently ceased operations and is in insolvency proceedings in Israel. In October 1992, Mr. Bornstein founded Pharmateam Ltd., an Israeli company that specialized in representing international pharmaceutical companies which was sold in 2000. Mr. Bornstein is also a founder of a number of other privately held life-science companies. Mr. Bornstein served as the Biotechnology Committee Chairman of the United States-Israel Science &amp; Technology Commission (the “USISTC”) from September 2002 to February 2005 as well as a consultant for USISTC from September 2002 to February 2005. He is also the founder of ILSI-Israel Life Science Industry Organization (who was integrated into IATI) and ITTN-Israel Tech Transfer Organization. He founded in July 2014 ShizimXL Ltd., an international medical device innovation center, and founded in January 2020 ShizimVS Ltd., a digital health innovation center. Mr. Bornstein is an external director in Can-fite BioPharma Ltd. (Nasdaq:CANF). At the time of his last nomination and election in 2022, the Company believed that Mr. Bornstein was qualified to serve as a member of the Board due to his extensive experience in, and knowledge of, the life sciences industry and international business.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Scott R. Burell</w:t>
      </w:r>
      <w:r>
        <w:rPr>
          <w:rFonts w:ascii="Times New Roman;Times;Serif" w:hAnsi="Times New Roman;Times;Serif"/>
          <w:b w:val="false"/>
          <w:i w:val="false"/>
          <w:caps w:val="false"/>
          <w:smallCaps w:val="false"/>
          <w:sz w:val="20"/>
        </w:rPr>
        <w:t>, became a director of the Company in November 2016. Since August 2018, Mr. Burell has been the Chief Financial Officer and Secretary of AIVITA Biomedical, Inc., an Irvine California-based immuno-oncology company focused on the advancement of commercial and clinical-stage programs utilizing curative and regenerative medicines. From November 2006 until its sale to Invitae Corp. (NASDAQ: NVTA)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(NASDAQ: SPNW), a publicly traded technology and information infrastructure company located in Seattle. Prior to this, Mr. Burell spent nine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Martin Madden</w:t>
      </w:r>
      <w:r>
        <w:rPr>
          <w:rFonts w:ascii="Times New Roman;Times;Serif" w:hAnsi="Times New Roman;Times;Serif"/>
          <w:b w:val="false"/>
          <w:i w:val="false"/>
          <w:caps w:val="false"/>
          <w:smallCaps w:val="false"/>
          <w:sz w:val="20"/>
        </w:rPr>
        <w:t>, has been a director of the Company since February 6, 2017. Mr. Madden has held various positions at Johnson &amp; Johnson and its affiliates 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During his thirty-year tenure with Johnson &amp; Johnson’s Medical Device organization, he was an innovator and research leader for nearly every medical device business including Cardiology, Electrophysiology, Peripheral Vascular Surgery, General and Colorectal Surgery, Aesthetics, Orthopaedics, Sports Medicine, Spine, and Trauma. As an executive of Johnson &amp; Johnson, Mr. Madden served on the management boards of Johnson &amp; Johnson’s Global Surgery Group, Ethicon, Ethicon Endo-Surgery, DePuy-Synthes, and Cordis, with responsibility for research and development - inclusive of organic and licensed/acquired technology. He was also Chairman of J&amp;J’s Medical Device Research Council, with responsibility for talent strategy and technology acceleration. Mr. Madden serves on the Board of Directors of Novocure (NASDAQ: NVCR), a global oncology company, and is an advisor to numerous medical device start-ups.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Prattipati Laxminarain</w:t>
      </w:r>
      <w:r>
        <w:rPr>
          <w:rFonts w:ascii="Times New Roman;Times;Serif" w:hAnsi="Times New Roman;Times;Serif"/>
          <w:b w:val="false"/>
          <w:i w:val="false"/>
          <w:caps w:val="false"/>
          <w:smallCaps w:val="false"/>
          <w:sz w:val="20"/>
        </w:rPr>
        <w:t>, has been a director of the Company since December 6, 2017. From April 2006 through October 2017, Mr. Laxminarain served as 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is currently the CEO of Deinde Medical Corporation, and is a Board Member of Oculogica Inc., Millar Inc., and GT Medical Inc. He has a degree in Mechanical Engineering from Osmania University, Hyderabad, India and an MBA from Indian Institute of Management. The Company believes that Mr. Laxminarain is qualified as a Board member of the Company because of his extensive experience working with medical device companies and knowledge of the industries in which the Company intends to compete.</w:t>
      </w:r>
    </w:p>
    <w:p>
      <w:pPr>
        <w:pStyle w:val="TextBody"/>
        <w:shd w:fill="FFFFFF" w:val="clear"/>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Aileen Stockburger</w:t>
      </w:r>
      <w:r>
        <w:rPr>
          <w:rFonts w:ascii="Times New Roman;Times;Serif" w:hAnsi="Times New Roman;Times;Serif"/>
          <w:b w:val="false"/>
          <w:i w:val="false"/>
          <w:caps w:val="false"/>
          <w:smallCaps w:val="false"/>
          <w:sz w:val="20"/>
        </w:rPr>
        <w:t xml:space="preserve"> was appointed by the Board on March 26, 2020 to fill a vacancy on the Board and to serve as a Class II director of the Company, with a term commencing on April 1, 2020. Since February 2018, Ms. Stockburger has provided M&amp;A consulting and advisory services through Aileen Stockburger LLC. Prior to that, from 1989 through January 2018, Ms. Stockburger held various positions in Johnson &amp; Johnson, most recently as Vice President, Worldwide Business Development &amp; Strategic Planning for the DePuy Synthes Group of Johnson &amp; Johnson, and as a member of its Worldwide Board and Group Operating Committee, from 2010-2018. In that role, she oversaw the group’s merger and acquisition activities, including deal structuring, negotiations, contract design and review, and deal terms. Before joining Johnson &amp; Johnson, Ms. Stockburger spent several years at PriceWaterhouseCoopers, and earned her CPA certification. She is also the Chair of Next Science Limited (ASX: NXS), a medical technology company headquartered in Sydney, Australia, with a primary focus in the development and continued commercialization of its proprietary technology to reduce the impact of biofilm based infections in human health. She also serve on the Audit Committee and the People, Culture and Remuneration Committee of the Board of Directors of Next Science Limited. Ms. Stockburger received her MBA and BS from The Wharton School, University of Pennsylvania. The Company believes that Ms. Stockburger is qualified as a Board member of the Company because of her extensive experience in strategizing, managing and closing sizable, complex worldwide mergers and acquisitions, licensing agreements and divestitures, as well as her expertise in business development, strategic planning and finance.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Tal Wenderow</w:t>
      </w:r>
      <w:r>
        <w:rPr>
          <w:rFonts w:ascii="Times New Roman;Times;Serif" w:hAnsi="Times New Roman;Times;Serif"/>
          <w:b w:val="false"/>
          <w:i w:val="false"/>
          <w:caps w:val="false"/>
          <w:smallCaps w:val="false"/>
          <w:sz w:val="20"/>
        </w:rPr>
        <w:t xml:space="preserve"> was appointed by the Board on July 29, 2020 to fill a vacancy on the Board and to serve as a Class I director of the Company, with a term commencing on August 1, 2020. Since September 2021, Mr. Wenderow serves as the Venture Partner at Genesis MedTech, a global medical device company. Previously, from February 2019, Mr. Wenderow served as the President and CEO of Vocalis Health Inc., an AI healthtech company pioneering the development of vocal biomarkers. Previously, Mr. Wenderow co-founded Corindus Vascular Robotics in 2002, which was a New York Stock Exchange-listed company upon its acquisition by Siemens Healthineers in 2019. Mr. Wenderow held various positions at Corindus from founder, Chief Executive Officer and director at inception, Executive Vice President Product &amp; Business Development to his most recent role as Executive Vice President of International &amp; Business Development. Mr. Wenderow received a B.Sc. in Mechanical Engineering at the Technion - Israel Institute of Technology, Haifa, Israel. The Company believes that Mr. Wenderow is qualified as a Board member of the Company because of his extensive knowledge of the medical robotics space with specific focus on interventional procedures, as well as his medical devices start up experience.</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are the name, age and other information for our executive officers, as of March 25, 2024. All company officers have been appointed to serve until their successors are elected and qualified or until their earlier resignation or removal. Information regarding Harel Gadot, our Chairman, President and Chief Executive Officer, is set forth above under “Board of Directors.”</w:t>
      </w:r>
    </w:p>
    <w:p>
      <w:pPr>
        <w:pStyle w:val="TextBody"/>
        <w:bidi w:val="0"/>
        <w:spacing w:before="0" w:after="0"/>
        <w:jc w:val="both"/>
        <w:rPr>
          <w:caps w:val="false"/>
          <w:smallCaps w:val="false"/>
        </w:rPr>
      </w:pPr>
      <w:r>
        <w:rPr>
          <w:caps w:val="false"/>
          <w:smallCaps w:val="false"/>
        </w:rPr>
        <w:t> </w:t>
      </w:r>
    </w:p>
    <w:tbl>
      <w:tblPr>
        <w:tblW w:w="8025" w:type="dxa"/>
        <w:jc w:val="left"/>
        <w:tblInd w:w="0" w:type="dxa"/>
        <w:tblLayout w:type="fixed"/>
        <w:tblCellMar>
          <w:top w:w="0" w:type="dxa"/>
          <w:left w:w="0" w:type="dxa"/>
          <w:bottom w:w="28" w:type="dxa"/>
          <w:right w:w="0" w:type="dxa"/>
        </w:tblCellMar>
      </w:tblPr>
      <w:tblGrid>
        <w:gridCol w:w="1535"/>
        <w:gridCol w:w="60"/>
        <w:gridCol w:w="350"/>
        <w:gridCol w:w="60"/>
        <w:gridCol w:w="6020"/>
      </w:tblGrid>
      <w:tr>
        <w:trPr/>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5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Chairman of the Board of Directors</w:t>
            </w:r>
          </w:p>
        </w:tc>
      </w:tr>
      <w:tr>
        <w:trPr/>
        <w:tc>
          <w:tcPr>
            <w:tcW w:w="15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 Vaknin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5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Sharon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Technology Officer and General Manager, Microbot Israel</w:t>
            </w:r>
          </w:p>
        </w:tc>
      </w:tr>
      <w:tr>
        <w:trPr/>
        <w:tc>
          <w:tcPr>
            <w:tcW w:w="15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Juan Diaz-Cartelle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Medical Officer</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Rachel Vaknin, </w:t>
      </w:r>
      <w:r>
        <w:rPr>
          <w:rFonts w:ascii="Times New Roman;Times;Serif" w:hAnsi="Times New Roman;Times;Serif"/>
          <w:b w:val="false"/>
          <w:i w:val="false"/>
          <w:caps w:val="false"/>
          <w:smallCaps w:val="false"/>
          <w:sz w:val="20"/>
        </w:rPr>
        <w:t>has served as the Company’s Chief Financial Officer since April 2022 and before that was its VP Finance since January 2022. From September 2017 to December 2021, Ms. Vaknin served as the Chief Financial Officer at Imagry, an Israeli-American autonomous technologies software provider. From April 2004 through December 2016, Ms. Vaknin was the FP&amp;A Department Manager at Mellanox Technologies Ltd., an Israeli-American multinational supplier of computer networking products acquired by Nvidia in 2020, where she was responsible, among other things, for budget planning, budget control, building and maintaining business intelligence key performance indicators, leading teams with respect to preparing quarterly financial statements, obtaining and managing grant monies, and Sarbanes-Oxley controls.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Simon Sharon</w:t>
      </w:r>
      <w:r>
        <w:rPr>
          <w:rFonts w:ascii="Times New Roman;Times;Serif" w:hAnsi="Times New Roman;Times;Serif"/>
          <w:b w:val="false"/>
          <w:i w:val="false"/>
          <w:caps w:val="false"/>
          <w:smallCaps w:val="false"/>
          <w:sz w:val="20"/>
        </w:rPr>
        <w:t>, has served as the Company’s Chief Technology Officer since April 2018 and as the General Manager of Microbot Israel since April 2021. From August 2016 to March 2018, Mr. Sharon served as the Chief Technology Officer at MEDX Xelerator, an Israel-based medical device and digital health incubator. He was also a director until January 2024 of XACT Robotics Ltd., an Israel-based private company that recently ceased operations and is in insolvency proceedings in Israel. Mr. Harel Gadot, the Company’s President, CEO and Chairman, is the Chairman of MEDX Xelerator. Prior to this, Mr. Sharon held the position of Chief Operating Officer at Microbot Israel before it became a publicly traded company from February 2013 to August 2016. Prior to joining Microbot Israel, Mr. Sharon was the Vice President of Research &amp; Development with IceCure Medical, a TASE traded company developing a portfolio of cryogenic ablation systems. Prior to IceCure, he held roles of increasing responsibility at Rockwell Automation-Anorad Israel Ltd., a leading linear motor-based, precision positioning equipment manufacturer. Prior to Rockwell, Mr. Sharon was the Research &amp; Development Manager at Disc-O-Tech Medical Technologies Ltd., a private orthopedic venture that was acquired by Kyphon (currently part of Medtronic), and before this was the Research &amp; Development Manager at CI Systems, a worldwide supplier of a wide range of electro-optical test and measurement equipment.</w:t>
      </w:r>
    </w:p>
    <w:p>
      <w:pPr>
        <w:pStyle w:val="TextBody"/>
        <w:shd w:fill="FFFFFF" w:val="clear"/>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Dr. Juan Diaz-Cartelle</w:t>
      </w:r>
      <w:r>
        <w:rPr>
          <w:rFonts w:ascii="Times New Roman;Times;Serif" w:hAnsi="Times New Roman;Times;Serif"/>
          <w:b w:val="false"/>
          <w:i w:val="false"/>
          <w:caps w:val="false"/>
          <w:smallCaps w:val="false"/>
          <w:sz w:val="20"/>
        </w:rPr>
        <w:t>, has served as the Company’s Chief Medical Officer since December 1, 2023. As CMO, Dr. Diaz-Cartelle will lead the development and execution of the clinical strategy of the Company, including its planned clinical trials for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in the U.S., the medical affairs activity, and will be an integral part of the team leading its regulatory process with the FDA and commercial efforts. Most recently, from May 2022 to November 2023, Dr. Diaz-Cartelle served as the Executive Medical Director at Haemonetics Corporation (NYSE: HAE), where he advised that company on new investments in the cardiovascular space, among other responsibilities. Prior to that, from June 2008 to May 2022, Dr. Diaz-Cartelle served as the Senior Medical Director for the Peripheral Interventional Division (Endovascular and Interventional Oncology) at Boston Scientific Corporation (NYSE: BSX), where he played a pivotal part in the development of global clinical strategy and study oversight, supporting commercial activities and future pipeline development. Dr. Diaz-Cartelle obtained his medical degree at the University of Navarra (Spain) and completed his specialty as Angiologist and Vascular Surgeon at Hospital General Universitario Gregorio Maranon in Madrid (Spain).</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Committees of the Board of Directors</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composed of Messrs. Burell, Madden and Bornstein.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 The Audit Committee held four meetings during the fiscal year ended December 31, 2023.</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is composed of Messrs. Madden (Chairman), Bornstein and Stockburger. Each of the members of the Compensation Committee is independent. The Compensation Committee acts pursuant to a written charter which is available through our website at www.microbotmedical.com. The Compensation Committee held two meetings during the fiscal year ended December 31, 2023 and acted by unanimous written consent three times.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Governance Committee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Governance Committee is composed of Messrs. Laxminarain, Burell and Wenderow. Each of the members of the Corporate Governance Committee is independent. The Corporate Governance Committee acts pursuant to a written charter which is available through our website at www.microbotmedical.com. The Corporate Governance Committee acted by unanimous written consent one time during the fiscal year ended December 31, 2023.</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t>
      </w:r>
      <w:r>
        <w:rPr>
          <w:rFonts w:ascii="Times New Roman;Times;Serif" w:hAnsi="Times New Roman;Times;Serif"/>
          <w:b w:val="false"/>
          <w:i w:val="false"/>
          <w:caps w:val="false"/>
          <w:smallCaps w:val="false"/>
          <w:sz w:val="20"/>
          <w:u w:val="single"/>
        </w:rPr>
        <w:t>www.microbotmedical.com</w:t>
      </w:r>
      <w:r>
        <w:rPr>
          <w:rFonts w:ascii="Times New Roman;Times;Serif" w:hAnsi="Times New Roman;Times;Serif"/>
          <w:b w:val="false"/>
          <w:i w:val="false"/>
          <w:caps w:val="false"/>
          <w:smallCaps w:val="false"/>
          <w:sz w:val="20"/>
        </w:rPr>
        <w:t>.</w:t>
      </w:r>
    </w:p>
    <w:p>
      <w:pPr>
        <w:pStyle w:val="TextBody"/>
        <w:shd w:fill="FFFFFF" w:val="clear"/>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Oversight and Qualifications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Code of Business Conduct and Ethics and Compensation Recovery</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2023.</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fourth quarter of 2023, the Company adopted a clawback policy which implements the incentive-based compensation recovery provisions of the Dodd-Frank Wall Street Reform and Consumer Protection Act of 2010 as required under the listing standards of Nasdaq, and requires recovery of incentive-based compensation received by current or former executive officers during the three fiscal years preceding the date it is determined that the Company is required to prepare an accounting restatement.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Section 16(a) Reports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2023, all Section 16(a) filing requirements applicable to our officers, directors and greater than 10% beneficial owners have been met.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4" w:name="Na_021"/>
      <w:bookmarkEnd w:id="54"/>
      <w:r>
        <w:rPr>
          <w:rFonts w:ascii="Times New Roman;Times;Serif" w:hAnsi="Times New Roman;Times;Serif"/>
          <w:b/>
          <w:i w:val="false"/>
          <w:caps w:val="false"/>
          <w:smallCaps w:val="false"/>
          <w:sz w:val="20"/>
        </w:rPr>
        <w:t xml:space="preserve">Item 11. </w:t>
      </w:r>
      <w:r>
        <w:rPr>
          <w:rFonts w:ascii="Times New Roman;Times;Serif" w:hAnsi="Times New Roman;Times;Serif"/>
          <w:b/>
          <w:i w:val="false"/>
          <w:caps w:val="false"/>
          <w:smallCaps w:val="false"/>
          <w:sz w:val="20"/>
          <w:u w:val="single"/>
        </w:rPr>
        <w:t>Executive Compensation.</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each element of compensation that was paid or awarded to the named executive officers of the Company for the periods indicated.</w:t>
      </w:r>
    </w:p>
    <w:p>
      <w:pPr>
        <w:pStyle w:val="TextBody"/>
        <w:shd w:fill="FFFFFF" w:val="clear"/>
        <w:bidi w:val="0"/>
        <w:spacing w:before="0" w:after="0"/>
        <w:jc w:val="both"/>
        <w:rPr>
          <w:caps w:val="false"/>
          <w:smallCaps w:val="false"/>
        </w:rPr>
      </w:pPr>
      <w:r>
        <w:rPr>
          <w:caps w:val="false"/>
          <w:smallCaps w:val="false"/>
        </w:rPr>
        <w:t> </w:t>
      </w:r>
    </w:p>
    <w:tbl>
      <w:tblPr>
        <w:tblW w:w="10375" w:type="dxa"/>
        <w:jc w:val="left"/>
        <w:tblInd w:w="0" w:type="dxa"/>
        <w:tblLayout w:type="fixed"/>
        <w:tblCellMar>
          <w:top w:w="0" w:type="dxa"/>
          <w:left w:w="0" w:type="dxa"/>
          <w:bottom w:w="28" w:type="dxa"/>
          <w:right w:w="0" w:type="dxa"/>
        </w:tblCellMar>
      </w:tblPr>
      <w:tblGrid>
        <w:gridCol w:w="1205"/>
        <w:gridCol w:w="60"/>
        <w:gridCol w:w="60"/>
        <w:gridCol w:w="500"/>
        <w:gridCol w:w="60"/>
        <w:gridCol w:w="60"/>
        <w:gridCol w:w="60"/>
        <w:gridCol w:w="800"/>
        <w:gridCol w:w="60"/>
        <w:gridCol w:w="60"/>
        <w:gridCol w:w="60"/>
        <w:gridCol w:w="695"/>
        <w:gridCol w:w="215"/>
        <w:gridCol w:w="60"/>
        <w:gridCol w:w="321"/>
        <w:gridCol w:w="509"/>
        <w:gridCol w:w="60"/>
        <w:gridCol w:w="60"/>
        <w:gridCol w:w="60"/>
        <w:gridCol w:w="800"/>
        <w:gridCol w:w="60"/>
        <w:gridCol w:w="60"/>
        <w:gridCol w:w="266"/>
        <w:gridCol w:w="1224"/>
        <w:gridCol w:w="60"/>
        <w:gridCol w:w="60"/>
        <w:gridCol w:w="118"/>
        <w:gridCol w:w="1372"/>
        <w:gridCol w:w="215"/>
        <w:gridCol w:w="60"/>
        <w:gridCol w:w="60"/>
        <w:gridCol w:w="980"/>
        <w:gridCol w:w="75"/>
      </w:tblGrid>
      <w:tr>
        <w:trPr/>
        <w:tc>
          <w:tcPr>
            <w:tcW w:w="120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Salary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Bonus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Stock Awards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 Awards ($)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Non-Equity Incentive Plan Compensation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All Other Compensation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 ($)</w:t>
            </w:r>
          </w:p>
        </w:tc>
        <w:tc>
          <w:tcPr>
            <w:tcW w:w="75" w:type="dxa"/>
            <w:tcBorders/>
            <w:tcMar>
              <w:bottom w:w="0" w:type="dxa"/>
            </w:tcMar>
            <w:vAlign w:val="center"/>
          </w:tcPr>
          <w:p>
            <w:pPr>
              <w:pStyle w:val="TableContents"/>
              <w:bidi w:val="0"/>
              <w:spacing w:before="0" w:after="283"/>
              <w:jc w:val="left"/>
              <w:rPr/>
            </w:pPr>
            <w:r>
              <w:rPr/>
              <w:t> </w:t>
            </w:r>
          </w:p>
        </w:tc>
      </w:tr>
      <w:tr>
        <w:trPr/>
        <w:tc>
          <w:tcPr>
            <w:tcW w:w="12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gridSpan w:val="2"/>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Harel Gadot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372,521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386,000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470,302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55,300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1,284,123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CEO, President &amp; Chairman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514,049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300,000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971,217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52,900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1,838,166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6" w:type="dxa"/>
            <w:tcBorders/>
            <w:shd w:fill="FFFFFF" w:val="clear"/>
            <w:tcMar>
              <w:bottom w:w="0" w:type="dxa"/>
            </w:tcMar>
            <w:vAlign w:val="center"/>
          </w:tcPr>
          <w:p>
            <w:pPr>
              <w:pStyle w:val="TableContents"/>
              <w:bidi w:val="0"/>
              <w:spacing w:before="0" w:after="283"/>
              <w:jc w:val="left"/>
              <w:rPr/>
            </w:pPr>
            <w:r>
              <w:rPr/>
              <w:t> </w:t>
            </w:r>
          </w:p>
        </w:tc>
        <w:tc>
          <w:tcPr>
            <w:tcW w:w="122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Simon Sharon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195,901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87,022</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88,418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98,589</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469,930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CTO and GM</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255,621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89,721 </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65,114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115,874</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526,330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6" w:type="dxa"/>
            <w:tcBorders/>
            <w:shd w:fill="FFFFFF" w:val="clear"/>
            <w:tcMar>
              <w:bottom w:w="0" w:type="dxa"/>
            </w:tcMar>
            <w:vAlign w:val="center"/>
          </w:tcPr>
          <w:p>
            <w:pPr>
              <w:pStyle w:val="TableContents"/>
              <w:bidi w:val="0"/>
              <w:spacing w:before="0" w:after="283"/>
              <w:jc w:val="left"/>
              <w:rPr/>
            </w:pPr>
            <w:r>
              <w:rPr/>
              <w:t> </w:t>
            </w:r>
          </w:p>
        </w:tc>
        <w:tc>
          <w:tcPr>
            <w:tcW w:w="122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Eyal Morag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146,403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82,878</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101,356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181,235</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511,872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CMO (7)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89,164</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90,836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137,245</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601,269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6" w:type="dxa"/>
            <w:tcBorders/>
            <w:shd w:fill="FFFFFF" w:val="clear"/>
            <w:tcMar>
              <w:bottom w:w="0" w:type="dxa"/>
            </w:tcMar>
            <w:vAlign w:val="center"/>
          </w:tcPr>
          <w:p>
            <w:pPr>
              <w:pStyle w:val="TableContents"/>
              <w:bidi w:val="0"/>
              <w:spacing w:before="0" w:after="283"/>
              <w:jc w:val="left"/>
              <w:rPr/>
            </w:pPr>
            <w:r>
              <w:rPr/>
              <w:t> </w:t>
            </w:r>
          </w:p>
        </w:tc>
        <w:tc>
          <w:tcPr>
            <w:tcW w:w="122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Rachel Vaknin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139,601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27,626</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76,533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45,743</w:t>
            </w:r>
          </w:p>
        </w:tc>
        <w:tc>
          <w:tcPr>
            <w:tcW w:w="215" w:type="dxa"/>
            <w:tcBorders/>
            <w:shd w:fill="CCEEFF" w:val="clear"/>
            <w:tcMar>
              <w:bottom w:w="0" w:type="dxa"/>
            </w:tcMar>
            <w:vAlign w:val="center"/>
          </w:tcPr>
          <w:p>
            <w:pPr>
              <w:pStyle w:val="TableContents"/>
              <w:bidi w:val="0"/>
              <w:spacing w:before="0" w:after="283"/>
              <w:jc w:val="left"/>
              <w:rPr/>
            </w:pPr>
            <w:r>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289,503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CFO</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142,012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47,372</w:t>
            </w:r>
          </w:p>
        </w:tc>
        <w:tc>
          <w:tcPr>
            <w:tcW w:w="215" w:type="dxa"/>
            <w:tcBorders/>
            <w:shd w:fill="CCEEFF" w:val="clear"/>
            <w:tcMar>
              <w:bottom w:w="0" w:type="dxa"/>
            </w:tcMar>
            <w:vAlign w:val="center"/>
          </w:tcPr>
          <w:p>
            <w:pPr>
              <w:pStyle w:val="TableContents"/>
              <w:bidi w:val="0"/>
              <w:spacing w:before="0" w:after="283"/>
              <w:jc w:val="left"/>
              <w:rPr/>
            </w:pPr>
            <w:r>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234,647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10 to the Consolidated Financial Statements of the Company for the fiscal year ended December 31, 2023 included in this Annual Report on Form 10-K. </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bonus for the 2022 fiscal year, which amount was actually paid in 2023.</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Compensation includes contributions to the named executive officer’s 401(k) Plan, and a yearly automobile allowance.</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bonus for the 2021 fiscal year, which amount was actually paid in 2022.</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Compensation includes contributions or payments to the named executive officer’s convalescence pay, pension fund, work disability insurance, severance fund, education fund, and social security, and yearly automobile allowance.</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2023, Dr. Morag resigned from his position with the Company, effective November 29, 2023.</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Compensation includes contributions or payments to the named executive officer’s convalescence pay, pension fund, work disability insurance, severance fund, education fund, and social security. It also includes a yearly automobile allowance and, for the 2023 fiscal year, payments for accrued vacation days upon termination of employment.</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Compensation includes contributions or payments to the named executive officer’s convalescence pay, pension fund, work disability insurance, severance fund, education fund, and social security.</w:t>
            </w:r>
          </w:p>
        </w:tc>
      </w:tr>
    </w:tbl>
    <w:p>
      <w:pPr>
        <w:pStyle w:val="TextBody"/>
        <w:shd w:fill="FFFFFF" w:val="clear"/>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outstanding equity awards held by each of the named executive officers as of the end of the fiscal year ended December 31, 2023.</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0"/>
        <w:gridCol w:w="60"/>
        <w:gridCol w:w="73"/>
        <w:gridCol w:w="982"/>
        <w:gridCol w:w="60"/>
        <w:gridCol w:w="60"/>
        <w:gridCol w:w="98"/>
        <w:gridCol w:w="1122"/>
        <w:gridCol w:w="60"/>
        <w:gridCol w:w="60"/>
        <w:gridCol w:w="196"/>
        <w:gridCol w:w="784"/>
        <w:gridCol w:w="60"/>
        <w:gridCol w:w="60"/>
        <w:gridCol w:w="145"/>
        <w:gridCol w:w="1072"/>
        <w:gridCol w:w="60"/>
        <w:gridCol w:w="60"/>
        <w:gridCol w:w="174"/>
        <w:gridCol w:w="629"/>
        <w:gridCol w:w="60"/>
        <w:gridCol w:w="60"/>
        <w:gridCol w:w="170"/>
        <w:gridCol w:w="614"/>
        <w:gridCol w:w="60"/>
        <w:gridCol w:w="60"/>
        <w:gridCol w:w="238"/>
        <w:gridCol w:w="857"/>
        <w:gridCol w:w="60"/>
        <w:gridCol w:w="60"/>
        <w:gridCol w:w="467"/>
        <w:gridCol w:w="740"/>
        <w:gridCol w:w="84"/>
      </w:tblGrid>
      <w:tr>
        <w:trPr/>
        <w:tc>
          <w:tcPr>
            <w:tcW w:w="8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32"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49"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Stock Awards</w:t>
            </w:r>
          </w:p>
        </w:tc>
        <w:tc>
          <w:tcPr>
            <w:tcW w:w="84" w:type="dxa"/>
            <w:tcBorders/>
            <w:vAlign w:val="center"/>
          </w:tcPr>
          <w:p>
            <w:pPr>
              <w:pStyle w:val="TableContents"/>
              <w:bidi w:val="0"/>
              <w:spacing w:before="0" w:after="283"/>
              <w:jc w:val="left"/>
              <w:rPr/>
            </w:pPr>
            <w:r>
              <w:rPr/>
              <w:t> </w:t>
            </w:r>
          </w:p>
        </w:tc>
      </w:tr>
      <w:tr>
        <w:trPr/>
        <w:tc>
          <w:tcPr>
            <w:tcW w:w="860" w:type="dxa"/>
            <w:tcBorders>
              <w:bottom w:val="single" w:sz="12" w:space="0" w:color="000000"/>
            </w:tcBorders>
            <w:tcMar>
              <w:bottom w:w="28" w:type="dxa"/>
            </w:tcMar>
            <w:vAlign w:val="center"/>
          </w:tcPr>
          <w:p>
            <w:pPr>
              <w:pStyle w:val="TableContents"/>
              <w:bidi w:val="0"/>
              <w:spacing w:before="0" w:after="283"/>
              <w:jc w:val="center"/>
              <w:rPr>
                <w:b/>
              </w:rPr>
            </w:pPr>
            <w:r>
              <w:rPr>
                <w:b/>
              </w:rPr>
              <w:t>Name</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 Expiration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3"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Shares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 Units of Stock That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Have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Vested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Market value of Shares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Units of Stock That Have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Vested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Equity Incentive Plan Awards: Number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Unearned Shares, Units or Other Rights That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Have Not Vested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7"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Equity Incentive Plan Awards: Market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 Payout Value of Unearned Shares, Units or Other Rights That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Have Not Vested</w:t>
            </w:r>
          </w:p>
        </w:tc>
        <w:tc>
          <w:tcPr>
            <w:tcW w:w="84" w:type="dxa"/>
            <w:tcBorders/>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b/>
              </w:rPr>
            </w:pPr>
            <w:r>
              <w:rPr>
                <w:b/>
              </w:rPr>
              <w:t>Harel Gadot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77,846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784" w:type="dxa"/>
            <w:tcBorders/>
            <w:shd w:fill="CCEEFF" w:val="clear"/>
            <w:vAlign w:val="center"/>
          </w:tcPr>
          <w:p>
            <w:pPr>
              <w:pStyle w:val="TableContents"/>
              <w:bidi w:val="0"/>
              <w:spacing w:before="0" w:after="283"/>
              <w:jc w:val="right"/>
              <w:rPr/>
            </w:pPr>
            <w:r>
              <w:rPr/>
              <w:t>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120,847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15.75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9/14/2027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166,666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9.64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190,000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02/01/2031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37,500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01/26/2032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96,000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12/21/2032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08/01/2033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b/>
              </w:rPr>
            </w:pPr>
            <w:r>
              <w:rPr>
                <w:b/>
              </w:rPr>
              <w:t>Simon Sharon</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08/13/2028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14,170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08/12/2029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15,625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9,375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01/26/2032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11,375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23,625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12/21/2032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08/01/2033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b/>
              </w:rPr>
            </w:pPr>
            <w:r>
              <w:rPr>
                <w:b/>
              </w:rPr>
              <w:t>Rachel Vaknin</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01/26/2032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4,750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5,250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07/18/2032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7,800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12/21/2032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08/01/2033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b/>
              </w:rPr>
            </w:pPr>
            <w:r>
              <w:rPr>
                <w:b/>
              </w:rPr>
              <w:t>Eyal Morag</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02/29/2024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15,625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02/29/2024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Employment Agreements</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Harel Gadot Employment Agreement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employment agreement (the “Gadot Agreement”) with Harel Gadot on November 28, 2016, to serve as the Company’s Chairman of the Board of Directors and Chief Executive Officer, on an indefinite basis subject to the termination provisions described in the Agreement. The Gadot Agreement was amended most recently on January 26, 2022, with a subsequent annual salary increase on December 21, 2022. Mr. Gadot’s annual base salary for 2023 was $530,450; however, as a result of the Company’s May 2023 cost reduction plan, Mr. Gadot agreed to a 50% reduction of his base salary, with reinstatement of his full base salary effective as of January 1, 2024. The salary is reviewed on an annual basis by the Compensation Committee of the Company to determine potential increases taking into account such performance metrics and criteria as established by Mr. Gadot and the Company.</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January 26, 2022, Mr. Gadot shall also be entitled to receive a target annual cash bonus of up to a maximum amount of 75% of base salary. For the 2023 fiscal year, Mr. Gadot received (a) a cash bonus of $298,377, payable (i) 50% ($149,188.50) in the event we raise at least $3.0 million in new money by June 30, 2024 and (ii) 50% ($149,188.50) in the event we raise at least $6 million in new money by September 30, 2024 (cumulative, so if $3.0 million is not raised by June 30, 2024 but the full $6.0 million is raised by September 30, 2024, the full amount is payable) and (b) a bonus in the form of 79,567 stock options.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Gadot shall be further entitled to a monthly automobile allowance and tax gross up on such allowance of $1,150. Upon execution of the Gadot Agreement, he was granted options to purchase shares of common stock of the Company representing 5% of the issued and outstanding shares of the Company. Since then, the Compensation Committee of the Board of Directors considers the granting to Mr. Gadot of additional compensatory options on an annual basis. Most recently, in August 2023, the Company granted Mr. Gadot 80,000 options, and in February 2024, the Company granted Mr. Gadot an aggregate of 240,000 options (exclusive of the bonus options described above).</w:t>
      </w:r>
    </w:p>
    <w:p>
      <w:pPr>
        <w:pStyle w:val="TextBody"/>
        <w:shd w:fill="FFFFFF" w:val="clear"/>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Mr. Gadot’s employment is terminated as a result of disability, Mr. Gadot would be entitled to receive any earned annual salary, bonus, reimbursement of business expenses and accrued vacation, if any, incurred up to the date of termination.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Mr. Gadot’s employment is terminated by the Company for cause, Mr. Gadot would be entitled to receive any compensation then due and payable incurred up to the date of termination.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Rachel Vaknin Employment Agreement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employment agreement (the “Vaknin Agreement”), dated November 22, 2021, with Ms. Vaknin, amended as of May 15, 2023 (the “Vaknin Addendum”), to serve as the Company’s Chief Financial Officer, on an indefinite basis subject to the termination provisions described in the Vaknin Agreement. The salary is reviewed on an annual basis by the Compensation Committee of the Company to determine potential increases taking into account such performance metrics and criteria as established by the Company. Ms. Vaknin was to receive an annual base salary in 2023 of $170,000; however, as a result of the Company’s May 2023 cost reduction plan and the Vaknin Addendum, Ms. Vaknin’s gross monthly salary was decreased to a gross amount of NIS 35,000 and social and fringe benefits due to Ms. Vaknin were calculated based upon the updated salary, excluding sick days and vacation days which continued to be accumulated per her existing Agreement. The reinstatement of her full base salary was effective as of November 1, 2023.</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Vaknin shall also be entitled to receive a target annual cash bonus, based on certain milestones, of up to a maximum amount of 35% (increased from 25% in February 2024) of her annual salary. For the 2023 fiscal year, Ms. Vaknin received a cash bonus of 150,000 NIS (approximately $41,000), payable 50% immediately and 50% payable in the event we raise at least $3.0 million in new money by September 30, 2024.</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Vaknin shall be further entitled to a monthly automobile allowance not to exceed NIS 1,000 per month plus expenses and applicable taxes, and originally was granted options to purchase 20,000 shares of common stock of the Company based on vesting and other terms set forth in the Vaknin Agreement. Since then, the Compensation Committee of the Board of Directors considers the granting to Ms. Vaknin of additional compensatory options on an annual basis. Most recently, in August 2023, the Company granted Ms. Vaknin 17,500 options and in February 2024, the Company granted Ms. Vaknin an aggregate of 52,500 options.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Vaknin Agreement, the Company shall pay an amount equal to 8.33% of Ms. Vaknin’s salary to be allocated for severance pay, 6.5% of Ms. Vaknin’s salary to be allocated for pension savings and 7.5% to be allocated to an educational fund. The Company may have additional payment obligations for disability insurance as specified in the Vaknin Agreement.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the Company or Ms. Vaknin may terminate the Vaknin Agreement at its discretion at any time by providing the other party with two months prior written notice of termination (the “Advance Notice Period”).</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terminate the Vaknin Agreement “For Cause” (as defined in the Vaknin Agreement) at any time by written notice without the Advance Notice Period.</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Vaknin Agreement contains customary non-competition and non-solicit provisions pursuant to which Ms. Vaknin agrees not to compete and solicit with the Company. Ms. Vaknin also agreed to customary terms regarding confidentiality and ownership of intellectual property.</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Simon Sharon Employment Agreement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employment agreement, dated as of March 31, 2018 and amended pursuant to a First Amendment to Employment Agreement dated as of April 19, 2021 (as so amended, the “Sharon Agreement”), as further amended as of May 15, 2023 (the “Sharon Addendum”), with Mr. Sharon, to serve as the Company’s Chief Technology Officer and the General Manager of Microbot Israel, on an indefinite basis subject to the termination provisions described in the Sharon Agreement.</w:t>
      </w:r>
    </w:p>
    <w:p>
      <w:pPr>
        <w:pStyle w:val="TextBody"/>
        <w:shd w:fill="FFFFFF" w:val="clear"/>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salary is reviewed on an annual basis by the Compensation Committee of the Company to determine potential increases taking into account such performance metrics and criteria as established by the Company.</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Sharon Agreement, Mr. Sharon was to have received in 2023 a combined base salary and overtime payment of NIS 74,160 per month. For 2023, as a result of the Company’s May 2023 cost reduction plan and the Sharon Addendum, Mr. Sharon’s gross monthly salary was decreased to a gross amount of NIS 44,496 and social and fringe benefits due to Mr. Sharon were calculated based upon the updated salary, excluding sick days and vacation days which continued to be accumulated per the Sharon Agreement. The reinstatement of his full base salary was effective as of November 1, 2023.</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Sharon is also entitled to receive an annual cash bonus of up to 35% of the annual combined salary and overtime payment, based on certain performance factors established and assessed by the Compensation Committee of the Board of Directors of the Company. For the 2023 fiscal year, Mr. Sharon received a cash bonus of 311,472 NIS (approximately $85,000), payable 50% immediately and 50% payable in the event we raise at least $3.0 million in new money by September 30, 2024.</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Sharon shall be further entitled to a monthly automobile allowance plus a tax gross up to cover taxes relating to the grant of such motor vehicle, and pursuant to the Sharon Agreement was initially granted options in 2018 to purchase 150,000 shares (pre-stock split) of common stock of the Company. Since then, the Compensation Committee of the Board of Directors considers the granting to Mr. Sharon of additional compensatory options on an annual basis. Most recently, in August 2023, the Company granted Mr. Sharon 17,500 options and in February 2024, the Company granted Mr. Sharon an aggregate of 52,500 options.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Sharon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 sum for disability insurance to insure Mr. Sharon for up to 75% of base salary and overtime payments, and 7.5% of each monthly payment to be allocated to an educational fund.</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the Company or Mr. Sharon may terminate the Sharon Agreement without cause (as defined in the Sharon Agreement) by providing the other party with ninety days prior written notice.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terminate the Sharon Agreement for cause at any time by written notice without any advance notice.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Sharon Agreement contains customary non-competition and non-solicit provisions pursuant to which Mr. Sharon agrees not to compete and solicit with the Company. Mr. Sharon also agreed to customary terms regarding confidentiality and ownership of intellectual property.</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Juan Diaz-Cartelle Employment Agreement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employment agreement (the “Diaz-Cartelle Agreement”), effective as of December 1, 2023, with Dr. Diaz-Cartelle, to serve as Chief Medical Officer on an indefinite basis subject to the termination provisions described in the Diaz-Cartelle Agreement. Pursuant to the terms of the Agreement, Dr. Diaz-Cartelle shall receive an annual base salary of $350,000, which shall be reviewed on an annual basis by the Company’s Compensation Committee, which may provide for increases as it may determine, taking into account such performance metrics and criteria of Dr. Diaz-Cartelle and the Company in its sole discretion.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Diaz-Cartelle shall also be entitled to receive a target annual cash bonus, based on corporate performance factors established and assessed by the Compensation Committee, of up to a maximum amount of 30% of his annual base salary.</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Diaz-Cartelle was granted 10-year options to purchase 25,000 shares of common stock of the Company pursuant to the Company’s 2020 Omnibus Performance Award Plan, as amended, having an exercise price per share based on the closing price of the Company’s common stock on the date of grant, and which vests in total over three years. He shall also be entitled to receive additional incentive equity awards on an annual basis at the discretion of the Compensation Committee, and in February 2024, the Company granted Mr. Diaz-Cartelle an aggregate of 35,000 options.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Agreement, either the Company or Dr. Diaz-Cartelle shall have the right to earlier terminate Dr. Diaz-Cartelle’s employment at any time for any reason or no reason upon at least one month prior written notice.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terminate the Agreement for “Cause” (as defined in the Diaz-Cartelle Agreement) at any time by written notice, subject to Dr. Diaz-Cartelle’s right to cure as provided in the Diaz-Cartelle Agreement. Upon Dr. Diaz-Cartelle’s termination of employment for Cause, or if Dr. Diaz-Cartelle shall terminate without Good Reason (as defined below), Dr. Diaz-Cartelle shall forfeit the right to receive any and all further payments under the Diaz-Cartelle Agreement, other than the right to receive any compensation then due and payable to him through to the date of termination.</w:t>
      </w:r>
    </w:p>
    <w:p>
      <w:pPr>
        <w:pStyle w:val="TextBody"/>
        <w:shd w:fill="FFFFFF" w:val="clear"/>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Diaz-Cartelle may terminate the Agreement with “Good Reason” (as defined in the Diaz-Cartelle Agreement) at any time by written notice, subject to the Company’s right to cure as provided in the Diaz-Cartelle Agreement. In the event of the termination of Dr. Diaz-Cartelle’s employment by the Company without Cause or upon Dr. Diaz-Cartelle’s voluntary termination of his employment for Good Reason, (i) all amounts of base salary accrued but unpaid as of the termination date shall be paid by the Company within thirty days following the date of termination, (ii) an amount equal to the base salary on the date of termination for a period of one month (in the event such termination is on or prior to the one year anniversary of the Diaz-Cartelle Agreement) or two months (in the event such termination is subsequent to the one year anniversary of the Diaz-Cartelle Agreement) shall be paid by the Company in twelve equal monthly installments, (iii) the dollar value of unused and accrued vacation days shall be paid by the Company; and (iv) applicable premiums (inclusive of premiums for his dependents) shall be paid by the Company pursuant to the Consolidated Omnibus Budget Reconciliation Act of 1986, as amended, for twelve months from the date of termination for any benefits plan sponsored by the Company.</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terminate the Diaz-Cartelle Agreement as a result of any mental or physical disability or illness which results in (i) Dr. Diaz-Cartelle being unable to substantially perform his duties for a continuous period of 150 days or for periods aggregating 180 days within any period of 365 days or (ii) Dr. Diaz-Cartelle being subject to a permanent or indefinite inability to perform essential functions based on the reasonable opinion of a qualified medical provider chosen in good faith by the Company. Termination will be effective on the date designated by the Company, and Dr. Diaz-Cartelle will be paid any unpaid earned base salary, earned target bonus (if any), reimbursement of business expenses and accrued vacation, if any, and benefits through the date of termination.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Diaz-Cartelle Agreement contains customary non-competition and non-solicit provisions pursuant to which Dr. Diaz-Cartelle agrees not to compete and solicit with the Company. Dr. Diaz-Cartelle also agreed to customary terms regarding non-disparagement, confidentiality and ownership of intellectual property.</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Agreements</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Limits on Liability and Indemnification</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directors and officers insurance for our current directors and officers.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in January 2021 an amended compensation package for the non-management members of its Board, pursuant to which each such Board member would receive for his or her services $35,000 per year. Furthermore, each member of the Audit Committee of the Board receives an additional $10,000 per year ($20,000 if Chairman), each member of the Compensation Committee of the Board receives an additional $7,500 per year ($15,000 if Chairman) and each member of the Corporate Governance and Nominating Committee of the Board receives an additional $5,000 per year ($10,000 if Chairman). Board members are also entitled to receive equity awards. Upon joining the Board, a member would receive an initial grant of $190,000 of stock options (calculated as the product of the exercise price on the date of grant multiplied by the number of shares underlying the stock option award required to equal $190,000), with an additional grant of stock options each year thereafter, to purchase such number of shares of the Company’s common stock equal to $95,000, computed on a similar basis. As a result of the Company’s May 2023 cost reduction plan, the independent members of the Board agreed to a suspension of their quarterly director fees, with reinstatement of such fees effective as of January 1, 2024.</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cash and equity-based compensation information for our outside directors, for the year ended December 31, 2023:</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61"/>
        <w:gridCol w:w="60"/>
        <w:gridCol w:w="149"/>
        <w:gridCol w:w="728"/>
        <w:gridCol w:w="60"/>
        <w:gridCol w:w="60"/>
        <w:gridCol w:w="328"/>
        <w:gridCol w:w="520"/>
        <w:gridCol w:w="60"/>
        <w:gridCol w:w="60"/>
        <w:gridCol w:w="146"/>
        <w:gridCol w:w="715"/>
        <w:gridCol w:w="60"/>
        <w:gridCol w:w="60"/>
        <w:gridCol w:w="280"/>
        <w:gridCol w:w="1291"/>
        <w:gridCol w:w="60"/>
        <w:gridCol w:w="60"/>
        <w:gridCol w:w="346"/>
        <w:gridCol w:w="1241"/>
        <w:gridCol w:w="60"/>
        <w:gridCol w:w="60"/>
        <w:gridCol w:w="271"/>
        <w:gridCol w:w="1248"/>
        <w:gridCol w:w="60"/>
        <w:gridCol w:w="60"/>
        <w:gridCol w:w="140"/>
        <w:gridCol w:w="680"/>
        <w:gridCol w:w="81"/>
      </w:tblGrid>
      <w:tr>
        <w:trPr/>
        <w:tc>
          <w:tcPr>
            <w:tcW w:w="1261" w:type="dxa"/>
            <w:tcBorders>
              <w:bottom w:val="single" w:sz="12" w:space="0" w:color="000000"/>
            </w:tcBorders>
            <w:vAlign w:val="center"/>
          </w:tcPr>
          <w:p>
            <w:pPr>
              <w:pStyle w:val="TableContents"/>
              <w:bidi w:val="0"/>
              <w:spacing w:before="0" w:after="283"/>
              <w:jc w:val="center"/>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877" w:type="dxa"/>
            <w:gridSpan w:val="2"/>
            <w:tcBorders>
              <w:bottom w:val="single" w:sz="12" w:space="0" w:color="000000"/>
            </w:tcBorders>
            <w:vAlign w:val="center"/>
          </w:tcPr>
          <w:p>
            <w:pPr>
              <w:pStyle w:val="TableContents"/>
              <w:bidi w:val="0"/>
              <w:spacing w:before="0" w:after="283"/>
              <w:jc w:val="center"/>
              <w:rPr>
                <w:b/>
              </w:rPr>
            </w:pPr>
            <w:r>
              <w:rPr>
                <w:b/>
              </w:rPr>
              <w:t>Fees earned or paid in cash</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8" w:type="dxa"/>
            <w:gridSpan w:val="2"/>
            <w:tcBorders>
              <w:bottom w:val="single" w:sz="12" w:space="0" w:color="000000"/>
            </w:tcBorders>
            <w:vAlign w:val="center"/>
          </w:tcPr>
          <w:p>
            <w:pPr>
              <w:pStyle w:val="TableContents"/>
              <w:bidi w:val="0"/>
              <w:spacing w:before="0" w:after="283"/>
              <w:jc w:val="center"/>
              <w:rPr>
                <w:b/>
              </w:rPr>
            </w:pPr>
            <w:r>
              <w:rPr>
                <w:b/>
              </w:rPr>
              <w:t>Stock Awards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1" w:type="dxa"/>
            <w:gridSpan w:val="2"/>
            <w:tcBorders>
              <w:bottom w:val="single" w:sz="12" w:space="0" w:color="000000"/>
            </w:tcBorders>
            <w:vAlign w:val="center"/>
          </w:tcPr>
          <w:p>
            <w:pPr>
              <w:pStyle w:val="TableContents"/>
              <w:bidi w:val="0"/>
              <w:spacing w:before="0" w:after="283"/>
              <w:jc w:val="center"/>
              <w:rPr>
                <w:b/>
              </w:rPr>
            </w:pPr>
            <w:r>
              <w:rPr>
                <w:b/>
              </w:rPr>
              <w:t>Option Awards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71" w:type="dxa"/>
            <w:gridSpan w:val="2"/>
            <w:tcBorders>
              <w:bottom w:val="single" w:sz="12" w:space="0" w:color="000000"/>
            </w:tcBorders>
            <w:vAlign w:val="center"/>
          </w:tcPr>
          <w:p>
            <w:pPr>
              <w:pStyle w:val="TableContents"/>
              <w:bidi w:val="0"/>
              <w:spacing w:before="0" w:after="283"/>
              <w:jc w:val="center"/>
              <w:rPr>
                <w:b/>
              </w:rPr>
            </w:pPr>
            <w:r>
              <w:rPr>
                <w:b/>
              </w:rPr>
              <w:t>Non-Equity Incentive Plan Compensation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7" w:type="dxa"/>
            <w:gridSpan w:val="2"/>
            <w:tcBorders>
              <w:bottom w:val="single" w:sz="12" w:space="0" w:color="000000"/>
            </w:tcBorders>
            <w:vAlign w:val="center"/>
          </w:tcPr>
          <w:p>
            <w:pPr>
              <w:pStyle w:val="TableContents"/>
              <w:bidi w:val="0"/>
              <w:spacing w:before="0" w:after="283"/>
              <w:jc w:val="center"/>
              <w:rPr>
                <w:b/>
              </w:rPr>
            </w:pPr>
            <w:r>
              <w:rPr>
                <w:b/>
              </w:rPr>
              <w:t>Nonqualified Deferred Compensation Earnings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9" w:type="dxa"/>
            <w:gridSpan w:val="2"/>
            <w:tcBorders>
              <w:bottom w:val="single" w:sz="12" w:space="0" w:color="000000"/>
            </w:tcBorders>
            <w:vAlign w:val="center"/>
          </w:tcPr>
          <w:p>
            <w:pPr>
              <w:pStyle w:val="TableContents"/>
              <w:bidi w:val="0"/>
              <w:spacing w:before="0" w:after="283"/>
              <w:jc w:val="center"/>
              <w:rPr>
                <w:b/>
              </w:rPr>
            </w:pPr>
            <w:r>
              <w:rPr>
                <w:b/>
              </w:rPr>
              <w:t>All Other Compensation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81" w:type="dxa"/>
            <w:tcBorders/>
            <w:tcMar>
              <w:bottom w:w="0" w:type="dxa"/>
            </w:tcMar>
            <w:vAlign w:val="center"/>
          </w:tcPr>
          <w:p>
            <w:pPr>
              <w:pStyle w:val="TableContents"/>
              <w:bidi w:val="0"/>
              <w:spacing w:before="0" w:after="283"/>
              <w:jc w:val="left"/>
              <w:rPr/>
            </w:pPr>
            <w:r>
              <w:rPr/>
              <w:t> </w:t>
            </w:r>
          </w:p>
        </w:tc>
      </w:tr>
      <w:tr>
        <w:trPr/>
        <w:tc>
          <w:tcPr>
            <w:tcW w:w="126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7"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8"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1"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71"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7"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9"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tcMar>
              <w:bottom w:w="0" w:type="dxa"/>
            </w:tcMar>
            <w:vAlign w:val="center"/>
          </w:tcPr>
          <w:p>
            <w:pPr>
              <w:pStyle w:val="TableContents"/>
              <w:bidi w:val="0"/>
              <w:spacing w:before="0" w:after="283"/>
              <w:jc w:val="right"/>
              <w:rPr/>
            </w:pPr>
            <w:r>
              <w:rPr/>
              <w:t> </w:t>
            </w:r>
          </w:p>
        </w:tc>
        <w:tc>
          <w:tcPr>
            <w:tcW w:w="81" w:type="dxa"/>
            <w:tcBorders/>
            <w:tcMar>
              <w:bottom w:w="0" w:type="dxa"/>
            </w:tcMar>
            <w:vAlign w:val="center"/>
          </w:tcPr>
          <w:p>
            <w:pPr>
              <w:pStyle w:val="TableContents"/>
              <w:bidi w:val="0"/>
              <w:spacing w:before="0" w:after="283"/>
              <w:jc w:val="left"/>
              <w:rPr/>
            </w:pPr>
            <w:r>
              <w:rPr/>
              <w:t> </w:t>
            </w:r>
          </w:p>
        </w:tc>
      </w:tr>
      <w:tr>
        <w:trPr/>
        <w:tc>
          <w:tcPr>
            <w:tcW w:w="1261" w:type="dxa"/>
            <w:tcBorders/>
            <w:shd w:fill="CCEEFF" w:val="clear"/>
            <w:tcMar>
              <w:bottom w:w="0" w:type="dxa"/>
            </w:tcMar>
            <w:vAlign w:val="center"/>
          </w:tcPr>
          <w:p>
            <w:pPr>
              <w:pStyle w:val="TableContents"/>
              <w:bidi w:val="0"/>
              <w:spacing w:before="0" w:after="283"/>
              <w:jc w:val="left"/>
              <w:rPr/>
            </w:pPr>
            <w:r>
              <w:rPr/>
              <w:t>Yoseph Bornstein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w:t>
            </w:r>
          </w:p>
        </w:tc>
        <w:tc>
          <w:tcPr>
            <w:tcW w:w="728" w:type="dxa"/>
            <w:tcBorders/>
            <w:shd w:fill="CCEEFF" w:val="clear"/>
            <w:tcMar>
              <w:bottom w:w="0" w:type="dxa"/>
            </w:tcMar>
            <w:vAlign w:val="center"/>
          </w:tcPr>
          <w:p>
            <w:pPr>
              <w:pStyle w:val="TableContents"/>
              <w:bidi w:val="0"/>
              <w:spacing w:before="0" w:after="283"/>
              <w:jc w:val="right"/>
              <w:rPr/>
            </w:pPr>
            <w:r>
              <w:rPr/>
              <w:t>13,125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8" w:type="dxa"/>
            <w:tcBorders/>
            <w:shd w:fill="CCEEFF" w:val="clear"/>
            <w:tcMar>
              <w:bottom w:w="0" w:type="dxa"/>
            </w:tcMar>
            <w:vAlign w:val="center"/>
          </w:tcPr>
          <w:p>
            <w:pPr>
              <w:pStyle w:val="TableContents"/>
              <w:bidi w:val="0"/>
              <w:spacing w:before="0" w:after="283"/>
              <w:jc w:val="left"/>
              <w:rPr/>
            </w:pPr>
            <w:r>
              <w:rPr/>
              <w:t> </w:t>
            </w:r>
          </w:p>
        </w:tc>
        <w:tc>
          <w:tcPr>
            <w:tcW w:w="5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w:t>
            </w:r>
          </w:p>
        </w:tc>
        <w:tc>
          <w:tcPr>
            <w:tcW w:w="715" w:type="dxa"/>
            <w:tcBorders/>
            <w:shd w:fill="CCEEFF" w:val="clear"/>
            <w:tcMar>
              <w:bottom w:w="0" w:type="dxa"/>
            </w:tcMar>
            <w:vAlign w:val="center"/>
          </w:tcPr>
          <w:p>
            <w:pPr>
              <w:pStyle w:val="TableContents"/>
              <w:bidi w:val="0"/>
              <w:spacing w:before="0" w:after="283"/>
              <w:jc w:val="right"/>
              <w:rPr/>
            </w:pPr>
            <w:r>
              <w:rPr/>
              <w:t>60,998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0"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6" w:type="dxa"/>
            <w:tcBorders/>
            <w:shd w:fill="CCEEFF" w:val="clear"/>
            <w:tcMar>
              <w:bottom w:w="0" w:type="dxa"/>
            </w:tcMar>
            <w:vAlign w:val="center"/>
          </w:tcPr>
          <w:p>
            <w:pPr>
              <w:pStyle w:val="TableContents"/>
              <w:bidi w:val="0"/>
              <w:spacing w:before="0" w:after="283"/>
              <w:jc w:val="left"/>
              <w:rPr/>
            </w:pPr>
            <w:r>
              <w:rPr/>
              <w:t> </w:t>
            </w:r>
          </w:p>
        </w:tc>
        <w:tc>
          <w:tcPr>
            <w:tcW w:w="1241"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74,123</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261" w:type="dxa"/>
            <w:tcBorders/>
            <w:shd w:fill="FFFFFF" w:val="clear"/>
            <w:tcMar>
              <w:bottom w:w="0" w:type="dxa"/>
            </w:tcMar>
            <w:vAlign w:val="center"/>
          </w:tcPr>
          <w:p>
            <w:pPr>
              <w:pStyle w:val="TableContents"/>
              <w:bidi w:val="0"/>
              <w:spacing w:before="0" w:after="283"/>
              <w:jc w:val="left"/>
              <w:rPr/>
            </w:pPr>
            <w:r>
              <w:rPr/>
              <w:t>Scott Burell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jc w:val="left"/>
              <w:rPr/>
            </w:pPr>
            <w:r>
              <w:rPr/>
              <w:t>$</w:t>
            </w:r>
          </w:p>
        </w:tc>
        <w:tc>
          <w:tcPr>
            <w:tcW w:w="728" w:type="dxa"/>
            <w:tcBorders/>
            <w:shd w:fill="FFFFFF" w:val="clear"/>
            <w:tcMar>
              <w:bottom w:w="0" w:type="dxa"/>
            </w:tcMar>
            <w:vAlign w:val="center"/>
          </w:tcPr>
          <w:p>
            <w:pPr>
              <w:pStyle w:val="TableContents"/>
              <w:bidi w:val="0"/>
              <w:spacing w:before="0" w:after="283"/>
              <w:jc w:val="right"/>
              <w:rPr/>
            </w:pPr>
            <w:r>
              <w:rPr/>
              <w:t>15,000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8" w:type="dxa"/>
            <w:tcBorders/>
            <w:shd w:fill="FFFFFF" w:val="clear"/>
            <w:tcMar>
              <w:bottom w:w="0" w:type="dxa"/>
            </w:tcMar>
            <w:vAlign w:val="center"/>
          </w:tcPr>
          <w:p>
            <w:pPr>
              <w:pStyle w:val="TableContents"/>
              <w:bidi w:val="0"/>
              <w:spacing w:before="0" w:after="283"/>
              <w:jc w:val="left"/>
              <w:rPr/>
            </w:pPr>
            <w:r>
              <w:rPr/>
              <w:t> </w:t>
            </w:r>
          </w:p>
        </w:tc>
        <w:tc>
          <w:tcPr>
            <w:tcW w:w="5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w:t>
            </w:r>
          </w:p>
        </w:tc>
        <w:tc>
          <w:tcPr>
            <w:tcW w:w="715" w:type="dxa"/>
            <w:tcBorders/>
            <w:shd w:fill="FFFFFF" w:val="clear"/>
            <w:tcMar>
              <w:bottom w:w="0" w:type="dxa"/>
            </w:tcMar>
            <w:vAlign w:val="center"/>
          </w:tcPr>
          <w:p>
            <w:pPr>
              <w:pStyle w:val="TableContents"/>
              <w:bidi w:val="0"/>
              <w:spacing w:before="0" w:after="283"/>
              <w:jc w:val="right"/>
              <w:rPr/>
            </w:pPr>
            <w:r>
              <w:rPr/>
              <w:t>60,998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0"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6" w:type="dxa"/>
            <w:tcBorders/>
            <w:shd w:fill="FFFFFF" w:val="clear"/>
            <w:tcMar>
              <w:bottom w:w="0" w:type="dxa"/>
            </w:tcMar>
            <w:vAlign w:val="center"/>
          </w:tcPr>
          <w:p>
            <w:pPr>
              <w:pStyle w:val="TableContents"/>
              <w:bidi w:val="0"/>
              <w:spacing w:before="0" w:after="283"/>
              <w:jc w:val="left"/>
              <w:rPr/>
            </w:pPr>
            <w:r>
              <w:rPr/>
              <w:t> </w:t>
            </w:r>
          </w:p>
        </w:tc>
        <w:tc>
          <w:tcPr>
            <w:tcW w:w="124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80" w:type="dxa"/>
            <w:tcBorders/>
            <w:shd w:fill="FFFFFF" w:val="clear"/>
            <w:tcMar>
              <w:bottom w:w="0" w:type="dxa"/>
            </w:tcMar>
            <w:vAlign w:val="center"/>
          </w:tcPr>
          <w:p>
            <w:pPr>
              <w:pStyle w:val="TableContents"/>
              <w:bidi w:val="0"/>
              <w:spacing w:before="0" w:after="283"/>
              <w:jc w:val="right"/>
              <w:rPr/>
            </w:pPr>
            <w:r>
              <w:rPr/>
              <w:t>75,998</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261" w:type="dxa"/>
            <w:tcBorders/>
            <w:shd w:fill="CCEEFF" w:val="clear"/>
            <w:tcMar>
              <w:bottom w:w="0" w:type="dxa"/>
            </w:tcMar>
            <w:vAlign w:val="center"/>
          </w:tcPr>
          <w:p>
            <w:pPr>
              <w:pStyle w:val="TableContents"/>
              <w:bidi w:val="0"/>
              <w:spacing w:before="0" w:after="283"/>
              <w:jc w:val="left"/>
              <w:rPr/>
            </w:pPr>
            <w:r>
              <w:rPr/>
              <w:t>Martin Madden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w:t>
            </w:r>
          </w:p>
        </w:tc>
        <w:tc>
          <w:tcPr>
            <w:tcW w:w="728" w:type="dxa"/>
            <w:tcBorders/>
            <w:shd w:fill="CCEEFF" w:val="clear"/>
            <w:tcMar>
              <w:bottom w:w="0" w:type="dxa"/>
            </w:tcMar>
            <w:vAlign w:val="center"/>
          </w:tcPr>
          <w:p>
            <w:pPr>
              <w:pStyle w:val="TableContents"/>
              <w:bidi w:val="0"/>
              <w:spacing w:before="0" w:after="283"/>
              <w:jc w:val="right"/>
              <w:rPr/>
            </w:pPr>
            <w:r>
              <w:rPr/>
              <w:t>15,000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8" w:type="dxa"/>
            <w:tcBorders/>
            <w:shd w:fill="CCEEFF" w:val="clear"/>
            <w:tcMar>
              <w:bottom w:w="0" w:type="dxa"/>
            </w:tcMar>
            <w:vAlign w:val="center"/>
          </w:tcPr>
          <w:p>
            <w:pPr>
              <w:pStyle w:val="TableContents"/>
              <w:bidi w:val="0"/>
              <w:spacing w:before="0" w:after="283"/>
              <w:jc w:val="left"/>
              <w:rPr/>
            </w:pPr>
            <w:r>
              <w:rPr/>
              <w:t> </w:t>
            </w:r>
          </w:p>
        </w:tc>
        <w:tc>
          <w:tcPr>
            <w:tcW w:w="5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w:t>
            </w:r>
          </w:p>
        </w:tc>
        <w:tc>
          <w:tcPr>
            <w:tcW w:w="715" w:type="dxa"/>
            <w:tcBorders/>
            <w:shd w:fill="CCEEFF" w:val="clear"/>
            <w:tcMar>
              <w:bottom w:w="0" w:type="dxa"/>
            </w:tcMar>
            <w:vAlign w:val="center"/>
          </w:tcPr>
          <w:p>
            <w:pPr>
              <w:pStyle w:val="TableContents"/>
              <w:bidi w:val="0"/>
              <w:spacing w:before="0" w:after="283"/>
              <w:jc w:val="right"/>
              <w:rPr/>
            </w:pPr>
            <w:r>
              <w:rPr/>
              <w:t>60,998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0"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6" w:type="dxa"/>
            <w:tcBorders/>
            <w:shd w:fill="CCEEFF" w:val="clear"/>
            <w:tcMar>
              <w:bottom w:w="0" w:type="dxa"/>
            </w:tcMar>
            <w:vAlign w:val="center"/>
          </w:tcPr>
          <w:p>
            <w:pPr>
              <w:pStyle w:val="TableContents"/>
              <w:bidi w:val="0"/>
              <w:spacing w:before="0" w:after="283"/>
              <w:jc w:val="left"/>
              <w:rPr/>
            </w:pPr>
            <w:r>
              <w:rPr/>
              <w:t> </w:t>
            </w:r>
          </w:p>
        </w:tc>
        <w:tc>
          <w:tcPr>
            <w:tcW w:w="12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75,998</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261" w:type="dxa"/>
            <w:tcBorders/>
            <w:shd w:fill="FFFFFF" w:val="clear"/>
            <w:tcMar>
              <w:bottom w:w="0" w:type="dxa"/>
            </w:tcMar>
            <w:vAlign w:val="center"/>
          </w:tcPr>
          <w:p>
            <w:pPr>
              <w:pStyle w:val="TableContents"/>
              <w:bidi w:val="0"/>
              <w:spacing w:before="0" w:after="283"/>
              <w:jc w:val="left"/>
              <w:rPr/>
            </w:pPr>
            <w:r>
              <w:rPr/>
              <w:t>Prattipati Laxminarain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jc w:val="left"/>
              <w:rPr/>
            </w:pPr>
            <w:r>
              <w:rPr/>
              <w:t>$</w:t>
            </w:r>
          </w:p>
        </w:tc>
        <w:tc>
          <w:tcPr>
            <w:tcW w:w="728" w:type="dxa"/>
            <w:tcBorders/>
            <w:shd w:fill="FFFFFF" w:val="clear"/>
            <w:tcMar>
              <w:bottom w:w="0" w:type="dxa"/>
            </w:tcMar>
            <w:vAlign w:val="center"/>
          </w:tcPr>
          <w:p>
            <w:pPr>
              <w:pStyle w:val="TableContents"/>
              <w:bidi w:val="0"/>
              <w:spacing w:before="0" w:after="283"/>
              <w:jc w:val="right"/>
              <w:rPr/>
            </w:pPr>
            <w:r>
              <w:rPr/>
              <w:t>11,250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8" w:type="dxa"/>
            <w:tcBorders/>
            <w:shd w:fill="FFFFFF" w:val="clear"/>
            <w:tcMar>
              <w:bottom w:w="0" w:type="dxa"/>
            </w:tcMar>
            <w:vAlign w:val="center"/>
          </w:tcPr>
          <w:p>
            <w:pPr>
              <w:pStyle w:val="TableContents"/>
              <w:bidi w:val="0"/>
              <w:spacing w:before="0" w:after="283"/>
              <w:jc w:val="left"/>
              <w:rPr/>
            </w:pPr>
            <w:r>
              <w:rPr/>
              <w:t> </w:t>
            </w:r>
          </w:p>
        </w:tc>
        <w:tc>
          <w:tcPr>
            <w:tcW w:w="5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w:t>
            </w:r>
          </w:p>
        </w:tc>
        <w:tc>
          <w:tcPr>
            <w:tcW w:w="715" w:type="dxa"/>
            <w:tcBorders/>
            <w:shd w:fill="FFFFFF" w:val="clear"/>
            <w:tcMar>
              <w:bottom w:w="0" w:type="dxa"/>
            </w:tcMar>
            <w:vAlign w:val="center"/>
          </w:tcPr>
          <w:p>
            <w:pPr>
              <w:pStyle w:val="TableContents"/>
              <w:bidi w:val="0"/>
              <w:spacing w:before="0" w:after="283"/>
              <w:jc w:val="right"/>
              <w:rPr/>
            </w:pPr>
            <w:r>
              <w:rPr/>
              <w:t>60,998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0"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6" w:type="dxa"/>
            <w:tcBorders/>
            <w:shd w:fill="FFFFFF" w:val="clear"/>
            <w:tcMar>
              <w:bottom w:w="0" w:type="dxa"/>
            </w:tcMar>
            <w:vAlign w:val="center"/>
          </w:tcPr>
          <w:p>
            <w:pPr>
              <w:pStyle w:val="TableContents"/>
              <w:bidi w:val="0"/>
              <w:spacing w:before="0" w:after="283"/>
              <w:jc w:val="left"/>
              <w:rPr/>
            </w:pPr>
            <w:r>
              <w:rPr/>
              <w:t> </w:t>
            </w:r>
          </w:p>
        </w:tc>
        <w:tc>
          <w:tcPr>
            <w:tcW w:w="124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80" w:type="dxa"/>
            <w:tcBorders/>
            <w:shd w:fill="FFFFFF" w:val="clear"/>
            <w:tcMar>
              <w:bottom w:w="0" w:type="dxa"/>
            </w:tcMar>
            <w:vAlign w:val="center"/>
          </w:tcPr>
          <w:p>
            <w:pPr>
              <w:pStyle w:val="TableContents"/>
              <w:bidi w:val="0"/>
              <w:spacing w:before="0" w:after="283"/>
              <w:jc w:val="right"/>
              <w:rPr/>
            </w:pPr>
            <w:r>
              <w:rPr/>
              <w:t>72,248</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261" w:type="dxa"/>
            <w:tcBorders/>
            <w:shd w:fill="CCEEFF" w:val="clear"/>
            <w:tcMar>
              <w:bottom w:w="0" w:type="dxa"/>
            </w:tcMar>
            <w:vAlign w:val="center"/>
          </w:tcPr>
          <w:p>
            <w:pPr>
              <w:pStyle w:val="TableContents"/>
              <w:bidi w:val="0"/>
              <w:spacing w:before="0" w:after="283"/>
              <w:jc w:val="left"/>
              <w:rPr/>
            </w:pPr>
            <w:r>
              <w:rPr/>
              <w:t>Aileen Stockburger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w:t>
            </w:r>
          </w:p>
        </w:tc>
        <w:tc>
          <w:tcPr>
            <w:tcW w:w="728" w:type="dxa"/>
            <w:tcBorders/>
            <w:shd w:fill="CCEEFF" w:val="clear"/>
            <w:tcMar>
              <w:bottom w:w="0" w:type="dxa"/>
            </w:tcMar>
            <w:vAlign w:val="center"/>
          </w:tcPr>
          <w:p>
            <w:pPr>
              <w:pStyle w:val="TableContents"/>
              <w:bidi w:val="0"/>
              <w:spacing w:before="0" w:after="283"/>
              <w:jc w:val="right"/>
              <w:rPr/>
            </w:pPr>
            <w:r>
              <w:rPr/>
              <w:t>10,625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8" w:type="dxa"/>
            <w:tcBorders/>
            <w:shd w:fill="CCEEFF" w:val="clear"/>
            <w:tcMar>
              <w:bottom w:w="0" w:type="dxa"/>
            </w:tcMar>
            <w:vAlign w:val="center"/>
          </w:tcPr>
          <w:p>
            <w:pPr>
              <w:pStyle w:val="TableContents"/>
              <w:bidi w:val="0"/>
              <w:spacing w:before="0" w:after="283"/>
              <w:jc w:val="left"/>
              <w:rPr/>
            </w:pPr>
            <w:r>
              <w:rPr/>
              <w:t> </w:t>
            </w:r>
          </w:p>
        </w:tc>
        <w:tc>
          <w:tcPr>
            <w:tcW w:w="5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w:t>
            </w:r>
          </w:p>
        </w:tc>
        <w:tc>
          <w:tcPr>
            <w:tcW w:w="715" w:type="dxa"/>
            <w:tcBorders/>
            <w:shd w:fill="CCEEFF" w:val="clear"/>
            <w:tcMar>
              <w:bottom w:w="0" w:type="dxa"/>
            </w:tcMar>
            <w:vAlign w:val="center"/>
          </w:tcPr>
          <w:p>
            <w:pPr>
              <w:pStyle w:val="TableContents"/>
              <w:bidi w:val="0"/>
              <w:spacing w:before="0" w:after="283"/>
              <w:jc w:val="right"/>
              <w:rPr/>
            </w:pPr>
            <w:r>
              <w:rPr/>
              <w:t>64,386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0"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6" w:type="dxa"/>
            <w:tcBorders/>
            <w:shd w:fill="CCEEFF" w:val="clear"/>
            <w:tcMar>
              <w:bottom w:w="0" w:type="dxa"/>
            </w:tcMar>
            <w:vAlign w:val="center"/>
          </w:tcPr>
          <w:p>
            <w:pPr>
              <w:pStyle w:val="TableContents"/>
              <w:bidi w:val="0"/>
              <w:spacing w:before="0" w:after="283"/>
              <w:jc w:val="left"/>
              <w:rPr/>
            </w:pPr>
            <w:r>
              <w:rPr/>
              <w:t> </w:t>
            </w:r>
          </w:p>
        </w:tc>
        <w:tc>
          <w:tcPr>
            <w:tcW w:w="12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75,011</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261" w:type="dxa"/>
            <w:tcBorders/>
            <w:shd w:fill="FFFFFF" w:val="clear"/>
            <w:tcMar>
              <w:bottom w:w="0" w:type="dxa"/>
            </w:tcMar>
            <w:vAlign w:val="center"/>
          </w:tcPr>
          <w:p>
            <w:pPr>
              <w:pStyle w:val="TableContents"/>
              <w:bidi w:val="0"/>
              <w:spacing w:before="0" w:after="283"/>
              <w:jc w:val="left"/>
              <w:rPr/>
            </w:pPr>
            <w:r>
              <w:rPr/>
              <w:t>Tal Wenderow</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jc w:val="left"/>
              <w:rPr/>
            </w:pPr>
            <w:r>
              <w:rPr/>
              <w:t>$</w:t>
            </w:r>
          </w:p>
        </w:tc>
        <w:tc>
          <w:tcPr>
            <w:tcW w:w="728" w:type="dxa"/>
            <w:tcBorders/>
            <w:shd w:fill="FFFFFF" w:val="clear"/>
            <w:tcMar>
              <w:bottom w:w="0" w:type="dxa"/>
            </w:tcMar>
            <w:vAlign w:val="center"/>
          </w:tcPr>
          <w:p>
            <w:pPr>
              <w:pStyle w:val="TableContents"/>
              <w:bidi w:val="0"/>
              <w:spacing w:before="0" w:after="283"/>
              <w:jc w:val="right"/>
              <w:rPr/>
            </w:pPr>
            <w:r>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8" w:type="dxa"/>
            <w:tcBorders/>
            <w:shd w:fill="FFFFFF" w:val="clear"/>
            <w:tcMar>
              <w:bottom w:w="0" w:type="dxa"/>
            </w:tcMar>
            <w:vAlign w:val="center"/>
          </w:tcPr>
          <w:p>
            <w:pPr>
              <w:pStyle w:val="TableContents"/>
              <w:bidi w:val="0"/>
              <w:spacing w:before="0" w:after="283"/>
              <w:jc w:val="left"/>
              <w:rPr/>
            </w:pPr>
            <w:r>
              <w:rPr/>
              <w:t> </w:t>
            </w:r>
          </w:p>
        </w:tc>
        <w:tc>
          <w:tcPr>
            <w:tcW w:w="5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w:t>
            </w:r>
          </w:p>
        </w:tc>
        <w:tc>
          <w:tcPr>
            <w:tcW w:w="715" w:type="dxa"/>
            <w:tcBorders/>
            <w:shd w:fill="FFFFFF" w:val="clear"/>
            <w:tcMar>
              <w:bottom w:w="0" w:type="dxa"/>
            </w:tcMar>
            <w:vAlign w:val="center"/>
          </w:tcPr>
          <w:p>
            <w:pPr>
              <w:pStyle w:val="TableContents"/>
              <w:bidi w:val="0"/>
              <w:spacing w:before="0" w:after="283"/>
              <w:jc w:val="right"/>
              <w:rPr/>
            </w:pPr>
            <w:r>
              <w:rPr/>
              <w:t>63,701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0"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6" w:type="dxa"/>
            <w:tcBorders/>
            <w:shd w:fill="FFFFFF" w:val="clear"/>
            <w:tcMar>
              <w:bottom w:w="0" w:type="dxa"/>
            </w:tcMar>
            <w:vAlign w:val="center"/>
          </w:tcPr>
          <w:p>
            <w:pPr>
              <w:pStyle w:val="TableContents"/>
              <w:bidi w:val="0"/>
              <w:spacing w:before="0" w:after="283"/>
              <w:jc w:val="left"/>
              <w:rPr/>
            </w:pPr>
            <w:r>
              <w:rPr/>
              <w:t> </w:t>
            </w:r>
          </w:p>
        </w:tc>
        <w:tc>
          <w:tcPr>
            <w:tcW w:w="124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80" w:type="dxa"/>
            <w:tcBorders/>
            <w:shd w:fill="FFFFFF" w:val="clear"/>
            <w:tcMar>
              <w:bottom w:w="0" w:type="dxa"/>
            </w:tcMar>
            <w:vAlign w:val="center"/>
          </w:tcPr>
          <w:p>
            <w:pPr>
              <w:pStyle w:val="TableContents"/>
              <w:bidi w:val="0"/>
              <w:spacing w:before="0" w:after="283"/>
              <w:jc w:val="right"/>
              <w:rPr/>
            </w:pPr>
            <w:r>
              <w:rPr/>
              <w:t>73,701</w:t>
            </w:r>
          </w:p>
        </w:tc>
        <w:tc>
          <w:tcPr>
            <w:tcW w:w="8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shown do not reflect cash compensation actually received by the director. Instead, the amounts shown are the non-cash aggregate grant date fair values of stock option awards made during the period presented as determined pursuant to U.S. GAAP. The assumptions used to calculate the fair value of stock option awards are described in Note 10 to the Consolidated Financial Statements of the Company included in this Annual Report on Form 10-K for the fiscal year ended December 31, 2023.</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Gadot received compensation for his services to the Company as set forth under the summary compensation table above.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5" w:name="Na_022"/>
      <w:bookmarkEnd w:id="55"/>
      <w:r>
        <w:rPr>
          <w:rFonts w:ascii="Times New Roman;Times;Serif" w:hAnsi="Times New Roman;Times;Serif"/>
          <w:b/>
          <w:i w:val="false"/>
          <w:caps w:val="false"/>
          <w:smallCaps w:val="false"/>
          <w:sz w:val="20"/>
        </w:rPr>
        <w:t xml:space="preserve">Item 12. </w:t>
      </w:r>
      <w:r>
        <w:rPr>
          <w:rFonts w:ascii="Times New Roman;Times;Serif" w:hAnsi="Times New Roman;Times;Serif"/>
          <w:b/>
          <w:i w:val="false"/>
          <w:caps w:val="false"/>
          <w:smallCaps w:val="false"/>
          <w:sz w:val="20"/>
          <w:u w:val="single"/>
        </w:rPr>
        <w:t>Security Ownership of Certain Beneficial Owners and Management and Related Stockholder Matters.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number of shares of our common stock beneficially owned, as of March 25, 2024, by (i) each of our directors, (ii) each of our named executive officers, (iii) all of our current directors and executive officers as a group, and (iv) all those known by us to be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March 25, 2024. We calculated percentage ownership in accordance with the rules of the SEC. The percentage of common stock beneficially owned is based on 14,398,964 shares outstanding as of March 25, 2024. In addition, shares issuable pursuant to options or other convertible securities that may be acquired within 60 days of March 25, 2024 are deemed to be issued and outstanding and have been treated as outstanding in calculating and determining the beneficial ownership and percentage ownership of those persons possessing those securities, but not for any other persons.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288 Grove Street, Suite 388, Braintree, MA 02184.</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683"/>
        <w:gridCol w:w="60"/>
        <w:gridCol w:w="155"/>
        <w:gridCol w:w="2572"/>
        <w:gridCol w:w="60"/>
        <w:gridCol w:w="60"/>
        <w:gridCol w:w="326"/>
        <w:gridCol w:w="3056"/>
        <w:gridCol w:w="233"/>
      </w:tblGrid>
      <w:tr>
        <w:trPr/>
        <w:tc>
          <w:tcPr>
            <w:tcW w:w="3683" w:type="dxa"/>
            <w:tcBorders>
              <w:bottom w:val="single" w:sz="12" w:space="0" w:color="000000"/>
            </w:tcBorders>
            <w:vAlign w:val="center"/>
          </w:tcPr>
          <w:p>
            <w:pPr>
              <w:pStyle w:val="TableContents"/>
              <w:bidi w:val="0"/>
              <w:spacing w:before="0" w:after="283"/>
              <w:jc w:val="both"/>
              <w:rPr>
                <w:b/>
              </w:rPr>
            </w:pPr>
            <w:r>
              <w:rPr>
                <w:b/>
              </w:rPr>
              <w:t>Beneficial Owner</w:t>
            </w:r>
          </w:p>
        </w:tc>
        <w:tc>
          <w:tcPr>
            <w:tcW w:w="60" w:type="dxa"/>
            <w:tcBorders/>
            <w:tcMar>
              <w:bottom w:w="0" w:type="dxa"/>
            </w:tcMar>
            <w:vAlign w:val="center"/>
          </w:tcPr>
          <w:p>
            <w:pPr>
              <w:pStyle w:val="TableContents"/>
              <w:bidi w:val="0"/>
              <w:spacing w:before="0" w:after="283"/>
              <w:jc w:val="left"/>
              <w:rPr/>
            </w:pPr>
            <w:r>
              <w:rPr/>
              <w:t> </w:t>
            </w:r>
          </w:p>
        </w:tc>
        <w:tc>
          <w:tcPr>
            <w:tcW w:w="2727" w:type="dxa"/>
            <w:gridSpan w:val="2"/>
            <w:tcBorders>
              <w:bottom w:val="single" w:sz="12" w:space="0" w:color="000000"/>
            </w:tcBorders>
            <w:vAlign w:val="center"/>
          </w:tcPr>
          <w:p>
            <w:pPr>
              <w:pStyle w:val="TableContents"/>
              <w:bidi w:val="0"/>
              <w:spacing w:before="0" w:after="283"/>
              <w:jc w:val="center"/>
              <w:rPr>
                <w:b/>
              </w:rPr>
            </w:pPr>
            <w:r>
              <w:rPr>
                <w:b/>
              </w:rPr>
              <w:t>Number of Shares Beneficially 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82" w:type="dxa"/>
            <w:gridSpan w:val="2"/>
            <w:tcBorders>
              <w:bottom w:val="single" w:sz="12" w:space="0" w:color="000000"/>
            </w:tcBorders>
            <w:vAlign w:val="center"/>
          </w:tcPr>
          <w:p>
            <w:pPr>
              <w:pStyle w:val="TableContents"/>
              <w:bidi w:val="0"/>
              <w:spacing w:before="0" w:after="283"/>
              <w:jc w:val="center"/>
              <w:rPr>
                <w:b/>
              </w:rPr>
            </w:pPr>
            <w:r>
              <w:rPr>
                <w:b/>
              </w:rPr>
              <w:t>Percentage of Common Stock Beneficially Owned</w:t>
            </w:r>
          </w:p>
        </w:tc>
        <w:tc>
          <w:tcPr>
            <w:tcW w:w="233" w:type="dxa"/>
            <w:tcBorders/>
            <w:tcMar>
              <w:bottom w:w="0" w:type="dxa"/>
            </w:tcMar>
            <w:vAlign w:val="center"/>
          </w:tcPr>
          <w:p>
            <w:pPr>
              <w:pStyle w:val="TableContents"/>
              <w:bidi w:val="0"/>
              <w:spacing w:before="0" w:after="283"/>
              <w:jc w:val="left"/>
              <w:rPr/>
            </w:pPr>
            <w:r>
              <w:rPr/>
              <w:t> </w:t>
            </w:r>
          </w:p>
        </w:tc>
      </w:tr>
      <w:tr>
        <w:trPr/>
        <w:tc>
          <w:tcPr>
            <w:tcW w:w="3683"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Harel Gadot</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2572" w:type="dxa"/>
            <w:tcBorders/>
            <w:shd w:fill="CCEEFF" w:val="clear"/>
            <w:tcMar>
              <w:bottom w:w="0" w:type="dxa"/>
            </w:tcMar>
            <w:vAlign w:val="center"/>
          </w:tcPr>
          <w:p>
            <w:pPr>
              <w:pStyle w:val="TableContents"/>
              <w:bidi w:val="0"/>
              <w:spacing w:before="0" w:after="283"/>
              <w:jc w:val="right"/>
              <w:rPr/>
            </w:pPr>
            <w:r>
              <w:rPr/>
              <w:t>1,031,273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6" w:type="dxa"/>
            <w:tcBorders/>
            <w:shd w:fill="CCEEFF" w:val="clear"/>
            <w:tcMar>
              <w:bottom w:w="0" w:type="dxa"/>
            </w:tcMar>
            <w:vAlign w:val="center"/>
          </w:tcPr>
          <w:p>
            <w:pPr>
              <w:pStyle w:val="TableContents"/>
              <w:bidi w:val="0"/>
              <w:spacing w:before="0" w:after="283"/>
              <w:jc w:val="left"/>
              <w:rPr/>
            </w:pPr>
            <w:r>
              <w:rPr/>
              <w:t> </w:t>
            </w:r>
          </w:p>
        </w:tc>
        <w:tc>
          <w:tcPr>
            <w:tcW w:w="3056" w:type="dxa"/>
            <w:tcBorders/>
            <w:shd w:fill="CCEEFF" w:val="clear"/>
            <w:tcMar>
              <w:bottom w:w="0" w:type="dxa"/>
            </w:tcMar>
            <w:vAlign w:val="center"/>
          </w:tcPr>
          <w:p>
            <w:pPr>
              <w:pStyle w:val="TableContents"/>
              <w:bidi w:val="0"/>
              <w:spacing w:before="0" w:after="283"/>
              <w:jc w:val="right"/>
              <w:rPr/>
            </w:pPr>
            <w:r>
              <w:rPr/>
              <w:t>6.74</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3683"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Yoseph Bornstein</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2572" w:type="dxa"/>
            <w:tcBorders/>
            <w:shd w:fill="FFFFFF" w:val="clear"/>
            <w:tcMar>
              <w:bottom w:w="0" w:type="dxa"/>
            </w:tcMar>
            <w:vAlign w:val="center"/>
          </w:tcPr>
          <w:p>
            <w:pPr>
              <w:pStyle w:val="TableContents"/>
              <w:bidi w:val="0"/>
              <w:spacing w:before="0" w:after="283"/>
              <w:jc w:val="right"/>
              <w:rPr/>
            </w:pPr>
            <w:r>
              <w:rPr/>
              <w:t>292,854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6" w:type="dxa"/>
            <w:tcBorders/>
            <w:shd w:fill="FFFFFF" w:val="clear"/>
            <w:tcMar>
              <w:bottom w:w="0" w:type="dxa"/>
            </w:tcMar>
            <w:vAlign w:val="center"/>
          </w:tcPr>
          <w:p>
            <w:pPr>
              <w:pStyle w:val="TableContents"/>
              <w:bidi w:val="0"/>
              <w:spacing w:before="0" w:after="283"/>
              <w:jc w:val="left"/>
              <w:rPr/>
            </w:pPr>
            <w:r>
              <w:rPr/>
              <w:t> </w:t>
            </w:r>
          </w:p>
        </w:tc>
        <w:tc>
          <w:tcPr>
            <w:tcW w:w="3056" w:type="dxa"/>
            <w:tcBorders/>
            <w:shd w:fill="FFFFFF" w:val="clear"/>
            <w:tcMar>
              <w:bottom w:w="0" w:type="dxa"/>
            </w:tcMar>
            <w:vAlign w:val="center"/>
          </w:tcPr>
          <w:p>
            <w:pPr>
              <w:pStyle w:val="TableContents"/>
              <w:bidi w:val="0"/>
              <w:spacing w:before="0" w:after="283"/>
              <w:jc w:val="right"/>
              <w:rPr/>
            </w:pPr>
            <w:r>
              <w:rPr/>
              <w:t>2.03</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3683"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Scott Burell</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2572" w:type="dxa"/>
            <w:tcBorders/>
            <w:shd w:fill="CCEEFF" w:val="clear"/>
            <w:tcMar>
              <w:bottom w:w="0" w:type="dxa"/>
            </w:tcMar>
            <w:vAlign w:val="center"/>
          </w:tcPr>
          <w:p>
            <w:pPr>
              <w:pStyle w:val="TableContents"/>
              <w:bidi w:val="0"/>
              <w:spacing w:before="0" w:after="283"/>
              <w:jc w:val="right"/>
              <w:rPr/>
            </w:pPr>
            <w:r>
              <w:rPr/>
              <w:t>50,826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6" w:type="dxa"/>
            <w:tcBorders/>
            <w:shd w:fill="CCEEFF" w:val="clear"/>
            <w:tcMar>
              <w:bottom w:w="0" w:type="dxa"/>
            </w:tcMar>
            <w:vAlign w:val="center"/>
          </w:tcPr>
          <w:p>
            <w:pPr>
              <w:pStyle w:val="TableContents"/>
              <w:bidi w:val="0"/>
              <w:spacing w:before="0" w:after="283"/>
              <w:jc w:val="left"/>
              <w:rPr/>
            </w:pPr>
            <w:r>
              <w:rPr/>
              <w:t> </w:t>
            </w:r>
          </w:p>
        </w:tc>
        <w:tc>
          <w:tcPr>
            <w:tcW w:w="305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3683"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Martin Madden</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2572" w:type="dxa"/>
            <w:tcBorders/>
            <w:shd w:fill="FFFFFF" w:val="clear"/>
            <w:tcMar>
              <w:bottom w:w="0" w:type="dxa"/>
            </w:tcMar>
            <w:vAlign w:val="center"/>
          </w:tcPr>
          <w:p>
            <w:pPr>
              <w:pStyle w:val="TableContents"/>
              <w:bidi w:val="0"/>
              <w:spacing w:before="0" w:after="283"/>
              <w:jc w:val="right"/>
              <w:rPr/>
            </w:pPr>
            <w:r>
              <w:rPr/>
              <w:t>50,826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6" w:type="dxa"/>
            <w:tcBorders/>
            <w:shd w:fill="FFFFFF" w:val="clear"/>
            <w:tcMar>
              <w:bottom w:w="0" w:type="dxa"/>
            </w:tcMar>
            <w:vAlign w:val="center"/>
          </w:tcPr>
          <w:p>
            <w:pPr>
              <w:pStyle w:val="TableContents"/>
              <w:bidi w:val="0"/>
              <w:spacing w:before="0" w:after="283"/>
              <w:jc w:val="left"/>
              <w:rPr/>
            </w:pPr>
            <w:r>
              <w:rPr/>
              <w:t> </w:t>
            </w:r>
          </w:p>
        </w:tc>
        <w:tc>
          <w:tcPr>
            <w:tcW w:w="305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3683"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Prattipati Laxminarain</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2572" w:type="dxa"/>
            <w:tcBorders/>
            <w:shd w:fill="CCEEFF" w:val="clear"/>
            <w:tcMar>
              <w:bottom w:w="0" w:type="dxa"/>
            </w:tcMar>
            <w:vAlign w:val="center"/>
          </w:tcPr>
          <w:p>
            <w:pPr>
              <w:pStyle w:val="TableContents"/>
              <w:bidi w:val="0"/>
              <w:spacing w:before="0" w:after="283"/>
              <w:jc w:val="right"/>
              <w:rPr/>
            </w:pPr>
            <w:r>
              <w:rPr/>
              <w:t>50,826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6" w:type="dxa"/>
            <w:tcBorders/>
            <w:shd w:fill="CCEEFF" w:val="clear"/>
            <w:tcMar>
              <w:bottom w:w="0" w:type="dxa"/>
            </w:tcMar>
            <w:vAlign w:val="center"/>
          </w:tcPr>
          <w:p>
            <w:pPr>
              <w:pStyle w:val="TableContents"/>
              <w:bidi w:val="0"/>
              <w:spacing w:before="0" w:after="283"/>
              <w:jc w:val="left"/>
              <w:rPr/>
            </w:pPr>
            <w:r>
              <w:rPr/>
              <w:t> </w:t>
            </w:r>
          </w:p>
        </w:tc>
        <w:tc>
          <w:tcPr>
            <w:tcW w:w="305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3683"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Aileen Stockburger</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2572" w:type="dxa"/>
            <w:tcBorders/>
            <w:shd w:fill="FFFFFF" w:val="clear"/>
            <w:tcMar>
              <w:bottom w:w="0" w:type="dxa"/>
            </w:tcMar>
            <w:vAlign w:val="center"/>
          </w:tcPr>
          <w:p>
            <w:pPr>
              <w:pStyle w:val="TableContents"/>
              <w:bidi w:val="0"/>
              <w:spacing w:before="0" w:after="283"/>
              <w:jc w:val="right"/>
              <w:rPr/>
            </w:pPr>
            <w:r>
              <w:rPr/>
              <w:t>45,730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6" w:type="dxa"/>
            <w:tcBorders/>
            <w:shd w:fill="FFFFFF" w:val="clear"/>
            <w:tcMar>
              <w:bottom w:w="0" w:type="dxa"/>
            </w:tcMar>
            <w:vAlign w:val="center"/>
          </w:tcPr>
          <w:p>
            <w:pPr>
              <w:pStyle w:val="TableContents"/>
              <w:bidi w:val="0"/>
              <w:spacing w:before="0" w:after="283"/>
              <w:jc w:val="left"/>
              <w:rPr/>
            </w:pPr>
            <w:r>
              <w:rPr/>
              <w:t> </w:t>
            </w:r>
          </w:p>
        </w:tc>
        <w:tc>
          <w:tcPr>
            <w:tcW w:w="305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3683"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Simon Sharon</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2572" w:type="dxa"/>
            <w:tcBorders/>
            <w:shd w:fill="CCEEFF" w:val="clear"/>
            <w:tcMar>
              <w:bottom w:w="0" w:type="dxa"/>
            </w:tcMar>
            <w:vAlign w:val="center"/>
          </w:tcPr>
          <w:p>
            <w:pPr>
              <w:pStyle w:val="TableContents"/>
              <w:bidi w:val="0"/>
              <w:spacing w:before="0" w:after="283"/>
              <w:jc w:val="right"/>
              <w:rPr/>
            </w:pPr>
            <w:r>
              <w:rPr/>
              <w:t>83,357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6" w:type="dxa"/>
            <w:tcBorders/>
            <w:shd w:fill="CCEEFF" w:val="clear"/>
            <w:tcMar>
              <w:bottom w:w="0" w:type="dxa"/>
            </w:tcMar>
            <w:vAlign w:val="center"/>
          </w:tcPr>
          <w:p>
            <w:pPr>
              <w:pStyle w:val="TableContents"/>
              <w:bidi w:val="0"/>
              <w:spacing w:before="0" w:after="283"/>
              <w:jc w:val="left"/>
              <w:rPr/>
            </w:pPr>
            <w:r>
              <w:rPr/>
              <w:t> </w:t>
            </w:r>
          </w:p>
        </w:tc>
        <w:tc>
          <w:tcPr>
            <w:tcW w:w="305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3683"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Tal Wenderow</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2572" w:type="dxa"/>
            <w:tcBorders/>
            <w:shd w:fill="FFFFFF" w:val="clear"/>
            <w:tcMar>
              <w:bottom w:w="0" w:type="dxa"/>
            </w:tcMar>
            <w:vAlign w:val="center"/>
          </w:tcPr>
          <w:p>
            <w:pPr>
              <w:pStyle w:val="TableContents"/>
              <w:bidi w:val="0"/>
              <w:spacing w:before="0" w:after="283"/>
              <w:jc w:val="right"/>
              <w:rPr/>
            </w:pPr>
            <w:r>
              <w:rPr/>
              <w:t>44,139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6" w:type="dxa"/>
            <w:tcBorders/>
            <w:shd w:fill="FFFFFF" w:val="clear"/>
            <w:tcMar>
              <w:bottom w:w="0" w:type="dxa"/>
            </w:tcMar>
            <w:vAlign w:val="center"/>
          </w:tcPr>
          <w:p>
            <w:pPr>
              <w:pStyle w:val="TableContents"/>
              <w:bidi w:val="0"/>
              <w:spacing w:before="0" w:after="283"/>
              <w:jc w:val="left"/>
              <w:rPr/>
            </w:pPr>
            <w:r>
              <w:rPr/>
              <w:t> </w:t>
            </w:r>
          </w:p>
        </w:tc>
        <w:tc>
          <w:tcPr>
            <w:tcW w:w="305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3683"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Rachel Vaknin</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2572" w:type="dxa"/>
            <w:tcBorders/>
            <w:shd w:fill="CCEEFF" w:val="clear"/>
            <w:tcMar>
              <w:bottom w:w="0" w:type="dxa"/>
            </w:tcMar>
            <w:vAlign w:val="center"/>
          </w:tcPr>
          <w:p>
            <w:pPr>
              <w:pStyle w:val="TableContents"/>
              <w:bidi w:val="0"/>
              <w:spacing w:before="0" w:after="283"/>
              <w:jc w:val="right"/>
              <w:rPr/>
            </w:pPr>
            <w:r>
              <w:rPr/>
              <w:t>51,112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6" w:type="dxa"/>
            <w:tcBorders/>
            <w:shd w:fill="CCEEFF" w:val="clear"/>
            <w:tcMar>
              <w:bottom w:w="0" w:type="dxa"/>
            </w:tcMar>
            <w:vAlign w:val="center"/>
          </w:tcPr>
          <w:p>
            <w:pPr>
              <w:pStyle w:val="TableContents"/>
              <w:bidi w:val="0"/>
              <w:spacing w:before="0" w:after="283"/>
              <w:jc w:val="left"/>
              <w:rPr/>
            </w:pPr>
            <w:r>
              <w:rPr/>
              <w:t> </w:t>
            </w:r>
          </w:p>
        </w:tc>
        <w:tc>
          <w:tcPr>
            <w:tcW w:w="305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3683"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Juan Diaz-Cartelle</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257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6" w:type="dxa"/>
            <w:tcBorders/>
            <w:shd w:fill="FFFFFF" w:val="clear"/>
            <w:tcMar>
              <w:bottom w:w="0" w:type="dxa"/>
            </w:tcMar>
            <w:vAlign w:val="center"/>
          </w:tcPr>
          <w:p>
            <w:pPr>
              <w:pStyle w:val="TableContents"/>
              <w:bidi w:val="0"/>
              <w:spacing w:before="0" w:after="283"/>
              <w:jc w:val="left"/>
              <w:rPr/>
            </w:pPr>
            <w:r>
              <w:rPr/>
              <w:t> </w:t>
            </w:r>
          </w:p>
        </w:tc>
        <w:tc>
          <w:tcPr>
            <w:tcW w:w="3056" w:type="dxa"/>
            <w:tcBorders/>
            <w:shd w:fill="FFFFFF" w:val="clear"/>
            <w:tcMar>
              <w:bottom w:w="0" w:type="dxa"/>
            </w:tcMar>
            <w:vAlign w:val="center"/>
          </w:tcPr>
          <w:p>
            <w:pPr>
              <w:pStyle w:val="TableContents"/>
              <w:bidi w:val="0"/>
              <w:spacing w:before="0" w:after="283"/>
              <w:jc w:val="right"/>
              <w:rPr/>
            </w:pPr>
            <w:r>
              <w:rPr/>
              <w:t>-</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3683"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Eyal Morag</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257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6" w:type="dxa"/>
            <w:tcBorders/>
            <w:shd w:fill="CCEEFF" w:val="clear"/>
            <w:tcMar>
              <w:bottom w:w="0" w:type="dxa"/>
            </w:tcMar>
            <w:vAlign w:val="center"/>
          </w:tcPr>
          <w:p>
            <w:pPr>
              <w:pStyle w:val="TableContents"/>
              <w:bidi w:val="0"/>
              <w:spacing w:before="0" w:after="283"/>
              <w:jc w:val="left"/>
              <w:rPr/>
            </w:pPr>
            <w:r>
              <w:rPr/>
              <w:t> </w:t>
            </w:r>
          </w:p>
        </w:tc>
        <w:tc>
          <w:tcPr>
            <w:tcW w:w="305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3683"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current directors and executive officers as a group (10 persons)</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2572" w:type="dxa"/>
            <w:tcBorders/>
            <w:shd w:fill="FFFFFF" w:val="clear"/>
            <w:tcMar>
              <w:bottom w:w="0" w:type="dxa"/>
            </w:tcMar>
            <w:vAlign w:val="center"/>
          </w:tcPr>
          <w:p>
            <w:pPr>
              <w:pStyle w:val="TableContents"/>
              <w:bidi w:val="0"/>
              <w:spacing w:before="0" w:after="283"/>
              <w:jc w:val="right"/>
              <w:rPr/>
            </w:pPr>
            <w:r>
              <w:rPr/>
              <w:t>1,700,943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6" w:type="dxa"/>
            <w:tcBorders/>
            <w:shd w:fill="FFFFFF" w:val="clear"/>
            <w:tcMar>
              <w:bottom w:w="0" w:type="dxa"/>
            </w:tcMar>
            <w:vAlign w:val="center"/>
          </w:tcPr>
          <w:p>
            <w:pPr>
              <w:pStyle w:val="TableContents"/>
              <w:bidi w:val="0"/>
              <w:spacing w:before="0" w:after="283"/>
              <w:jc w:val="left"/>
              <w:rPr/>
            </w:pPr>
            <w:r>
              <w:rPr/>
              <w:t> </w:t>
            </w:r>
          </w:p>
        </w:tc>
        <w:tc>
          <w:tcPr>
            <w:tcW w:w="3056" w:type="dxa"/>
            <w:tcBorders/>
            <w:shd w:fill="FFFFFF" w:val="clear"/>
            <w:tcMar>
              <w:bottom w:w="0" w:type="dxa"/>
            </w:tcMar>
            <w:vAlign w:val="center"/>
          </w:tcPr>
          <w:p>
            <w:pPr>
              <w:pStyle w:val="TableContents"/>
              <w:bidi w:val="0"/>
              <w:spacing w:before="0" w:after="283"/>
              <w:jc w:val="right"/>
              <w:rPr/>
            </w:pPr>
            <w:r>
              <w:rPr/>
              <w:t>10.82</w:t>
            </w:r>
          </w:p>
        </w:tc>
        <w:tc>
          <w:tcPr>
            <w:tcW w:w="233"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136,847 shares of our common stock owned by MEDX Ventures Group LLC, (ii) 77,846 shares of our common stock issuable upon the exercise of options granted to MEDX Ventures Group LLC, and (iii) 816,580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tc>
      </w:tr>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242,028 shares of our common stock owned by LSA - Life Science Accelerator Ltd. and (ii) 50,826 shares of our common stock issuable to Mr. Bornstein upon exercise of options. Based on representations and other information made or provided to the Company by Mr. Bornstein, Mr. Bornstein is the CEO and Director of LSA - Life Science Accelerator Ltd. and of Shizim Ltd., and Mr. Bornstein is the majority equity owner of Shizim Ltd. Shizim Ltd. is the majority equity owner of LSA - Life Science Accelerator Ltd. Accordingly, Mr. Bornstein may be deemed to share voting and investment power over the shares beneficially owned by these entities and has an address of 16 Irus Street, Rosh-Ha’Ayin Israel 4858022.</w:t>
            </w:r>
          </w:p>
        </w:tc>
      </w:tr>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options to acquire shares of our common stock.</w:t>
            </w:r>
          </w:p>
        </w:tc>
      </w:tr>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shares of our common stock issuable upon the exercise of options as set forth in footnotes (1), (2) and (3).</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6" w:name="Na_023"/>
      <w:bookmarkEnd w:id="56"/>
      <w:r>
        <w:rPr>
          <w:rFonts w:ascii="Times New Roman;Times;Serif" w:hAnsi="Times New Roman;Times;Serif"/>
          <w:b/>
          <w:i w:val="false"/>
          <w:caps w:val="false"/>
          <w:smallCaps w:val="false"/>
          <w:sz w:val="20"/>
        </w:rPr>
        <w:t xml:space="preserve">Item 13. </w:t>
      </w:r>
      <w:r>
        <w:rPr>
          <w:rFonts w:ascii="Times New Roman;Times;Serif" w:hAnsi="Times New Roman;Times;Serif"/>
          <w:b/>
          <w:i w:val="false"/>
          <w:caps w:val="false"/>
          <w:smallCaps w:val="false"/>
          <w:sz w:val="20"/>
          <w:u w:val="single"/>
        </w:rPr>
        <w:t>Certain Relationships and Related Transactions, and Director Independence.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related party transactions or any other transactions or relationships required to be disclosed pursuant to Item 404 of Regulation S-K.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Independence</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NASDAQ’s listing standards and the Company’s Corporate Governance Guidelines require that the Company’s Board of Directors consist of a majority of independent directors, as determined under the applicable NASDAQ listing rules.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independent members of our Board are Messrs. Bornstein, Burell, Madden, Laxminarain and Wenderow, and Ms. Stockburger.</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7" w:name="Na_024"/>
      <w:bookmarkEnd w:id="57"/>
      <w:r>
        <w:rPr>
          <w:rFonts w:ascii="Times New Roman;Times;Serif" w:hAnsi="Times New Roman;Times;Serif"/>
          <w:b/>
          <w:i w:val="false"/>
          <w:caps w:val="false"/>
          <w:smallCaps w:val="false"/>
          <w:sz w:val="20"/>
        </w:rPr>
        <w:t xml:space="preserve">Item 14. </w:t>
      </w:r>
      <w:r>
        <w:rPr>
          <w:rFonts w:ascii="Times New Roman;Times;Serif" w:hAnsi="Times New Roman;Times;Serif"/>
          <w:b/>
          <w:i w:val="false"/>
          <w:caps w:val="false"/>
          <w:smallCaps w:val="false"/>
          <w:sz w:val="20"/>
          <w:u w:val="single"/>
        </w:rPr>
        <w:t>Principal Accountant Fees and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and Tax Fees</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upon the recommendation of the Audit Committee, has selected the independent accounting firm of Brightman Almagor Zohar &amp; Co., a Firm in the Deloitte Global Network, to audit the accounts of the Company for the year ending December 31, 2023.</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considered the tax compliance services provided by Brightman Almagor Zohar &amp; Co. and Deloitte Israel &amp; Co., concluded that provision of such services is compatible with maintaining the independence of the independent accountants, and approved the provision by Brightman Almagor Zohar &amp; Co. of tax compliance services with respect to the year ending December 31, 2023.</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received the following information concerning the fees of the independent accountants for the years ended December 31, 2023 and 2022, has considered whether the provision of these services is compatible with independence of the independent accountants, and concluded that it is:</w:t>
      </w:r>
    </w:p>
    <w:p>
      <w:pPr>
        <w:pStyle w:val="TextBody"/>
        <w:shd w:fill="FFFFFF" w:val="clear"/>
        <w:bidi w:val="0"/>
        <w:spacing w:before="0" w:after="0"/>
        <w:jc w:val="both"/>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1760"/>
        <w:gridCol w:w="60"/>
        <w:gridCol w:w="140"/>
        <w:gridCol w:w="800"/>
        <w:gridCol w:w="60"/>
        <w:gridCol w:w="60"/>
        <w:gridCol w:w="140"/>
        <w:gridCol w:w="800"/>
        <w:gridCol w:w="75"/>
      </w:tblGrid>
      <w:tr>
        <w:trPr/>
        <w:tc>
          <w:tcPr>
            <w:tcW w:w="1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pPr>
            <w:r>
              <w:rPr/>
              <w:t>Audit Fees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120,000</w:t>
            </w:r>
          </w:p>
        </w:tc>
        <w:tc>
          <w:tcPr>
            <w:tcW w:w="75"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pPr>
            <w:r>
              <w:rPr/>
              <w:t>Tax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11,250</w:t>
            </w:r>
          </w:p>
        </w:tc>
        <w:tc>
          <w:tcPr>
            <w:tcW w:w="75"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pPr>
            <w:r>
              <w:rPr/>
              <w:t>All Other Fees (2)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represents fees for the audit of our annual consolidated financial statements and reviews of the interim consolidated financial statements, and review of audit-related SEC filings.</w:t>
            </w:r>
          </w:p>
        </w:tc>
      </w:tr>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fees related to issuing a comfort letter and Auditor consents, for Registration Statements on Forms S-1 and S-3.</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and tax fees include administrative overhead charges and reimbursement for out-of-pocket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Pre-Approval Policies and Procedures</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 impair the auditors’ independence. Under the policy, pre-approval is generally provided up to one year and any pre-approval is detailed as to the particular service or category of services and is subject to a specific budget. In addition, the Audit Committee may pre-approve additional services on a case-by-case basis.</w:t>
      </w:r>
    </w:p>
    <w:p>
      <w:pPr>
        <w:pStyle w:val="TextBody"/>
        <w:shd w:fill="FFFFFF" w:val="clear"/>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8" w:name="Na_025"/>
      <w:bookmarkEnd w:id="58"/>
      <w:r>
        <w:rPr>
          <w:rFonts w:ascii="Times New Roman;Times;Serif" w:hAnsi="Times New Roman;Times;Serif"/>
          <w:b/>
          <w:i w:val="false"/>
          <w:caps w:val="false"/>
          <w:smallCaps w:val="false"/>
          <w:sz w:val="20"/>
        </w:rPr>
        <w:t>PART IV</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9" w:name="Na_026"/>
      <w:bookmarkEnd w:id="59"/>
      <w:r>
        <w:rPr>
          <w:rFonts w:ascii="Times New Roman;Times;Serif" w:hAnsi="Times New Roman;Times;Serif"/>
          <w:b/>
          <w:i w:val="false"/>
          <w:caps w:val="false"/>
          <w:smallCaps w:val="false"/>
          <w:sz w:val="20"/>
        </w:rPr>
        <w:t xml:space="preserve">Item 15. </w:t>
      </w:r>
      <w:r>
        <w:rPr>
          <w:rFonts w:ascii="Times New Roman;Times;Serif" w:hAnsi="Times New Roman;Times;Serif"/>
          <w:b/>
          <w:i w:val="false"/>
          <w:caps w:val="false"/>
          <w:smallCaps w:val="false"/>
          <w:sz w:val="20"/>
          <w:u w:val="single"/>
        </w:rPr>
        <w:t>Exhibits and Financial Statement Schedules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following documents are filed as part of this Annual Report on Form 10-K: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Financial Statements:</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are filed as part of this Annual Report on Form 10-K commencing on page F-1 and are hereby incorporated by reference.</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Financial Statement Schedules:</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 schedules are omitted as they are either not applicable or the information required is presented in the financial statements and notes thereto.</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Exhibits:</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set forth below are filed herewith or incorporated by reference to the location indicated.</w:t>
      </w:r>
    </w:p>
    <w:p>
      <w:pPr>
        <w:pStyle w:val="TextBody"/>
        <w:shd w:fill="FFFFFF" w:val="clear"/>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4"/>
        <w:gridCol w:w="60"/>
        <w:gridCol w:w="9151"/>
      </w:tblGrid>
      <w:tr>
        <w:trPr/>
        <w:tc>
          <w:tcPr>
            <w:tcW w:w="994"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Document</w:t>
            </w:r>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Agreement and Plan of Merger and Reorganization, dated as of August 15, 2016, by and among StemCells, Inc., C&amp;RD Israel Ltd. and Microbot Medical Ltd. (incorporated by reference to the Company’s Current Report on Form 8-K filed on August 15, 2016).</w:t>
              </w:r>
            </w:hyperlink>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Restated Certificate of Incorporation of the Company (incorporated by reference to the Company’s Annual Report on Form 10-K for the fiscal year ended December 31, 2006 and filed on March 15, 2007).</w:t>
              </w:r>
            </w:hyperlink>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Certificate of Amendment to the Restated Certificate of Incorporation of the Company (incorporated by reference to the Company’s Current Report on Form 8-K filed on November 29, 2016).</w:t>
              </w:r>
            </w:hyperlink>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Certificate of Amendment to the Restated Certificate of Incorporation (incorporated by reference to the Company’s Current Report on Form 8-K filed on September 4, 2018).</w:t>
              </w:r>
            </w:hyperlink>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Amended and Restated By-Laws of the Company (incorporated by reference to the Company’s Current Report on Form 8-K filed on May 3, 2016).</w:t>
              </w:r>
            </w:hyperlink>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Certificate of Elimination (incorporated by reference to the Company’s Current Report on Form 8-K filed on December 12, 2018).</w:t>
              </w:r>
            </w:hyperlink>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Certificate of Amendment to the Restated Certificate of Incorporation (incorporated by reference to the Company’s Current Report on Form 8-K filed on September 11, 2019).</w:t>
              </w:r>
            </w:hyperlink>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Amendment to Section 5 of the Amended and Restated By-Laws of the Company (incorporated by reference to the Company’s Current Report on Form 8-K filed on May 3, 2021).</w:t>
              </w:r>
            </w:hyperlink>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Description of the Company’s Securities (incorporated by reference to the Registrant’s Annual Report on Form 10-K for the fiscal year ended December 31, 2019).</w:t>
              </w:r>
            </w:hyperlink>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Form of Series A Warrant (incorporated by reference to the Registrant’s Current Report on Form 8-K filed on October 25, 2022)</w:t>
              </w:r>
            </w:hyperlink>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October 25, 2022)</w:t>
              </w:r>
            </w:hyperlink>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May 23, 2023)</w:t>
              </w:r>
            </w:hyperlink>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May 24, 2023)</w:t>
              </w:r>
            </w:hyperlink>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Form of Warrant Amendment Agreement (incorporated by reference to the Registrant’s Current Report on Form 8-K filed on May 24, 2023)</w:t>
              </w:r>
            </w:hyperlink>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Form of Series C Warrant (incorporated by reference to the Registrant’s Current Report on Form 8-K filed on June 6, 2023)</w:t>
              </w:r>
            </w:hyperlink>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June 6, 2023)</w:t>
              </w:r>
            </w:hyperlink>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Form of Series D Warrant (incorporated by reference to the Registrant’s Current Report on Form 8-K filed on June 28, 2023)</w:t>
              </w:r>
            </w:hyperlink>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June 28, 2023)</w:t>
              </w:r>
            </w:hyperlink>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Form of Inducement Investment Option (incorporated by reference to the Registrant’s Current Report on Form 8-K filed on January 2, 2024)</w:t>
              </w:r>
            </w:hyperlink>
          </w:p>
        </w:tc>
      </w:tr>
      <w:tr>
        <w:trPr/>
        <w:tc>
          <w:tcPr>
            <w:tcW w:w="99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1" w:type="dxa"/>
            <w:tcBorders/>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January 2, 2024)</w:t>
              </w:r>
            </w:hyperlink>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8"/>
        <w:gridCol w:w="60"/>
        <w:gridCol w:w="9567"/>
      </w:tblGrid>
      <w:tr>
        <w:trPr/>
        <w:tc>
          <w:tcPr>
            <w:tcW w:w="5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67" w:type="dxa"/>
            <w:tcBorders/>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Form of Indemnification Agreement, between the Company and each of its Directors and Officers (incorporated by reference to the Company’s Current Report on Form 8-K filed on November 29, 2016).</w:t>
              </w:r>
            </w:hyperlink>
          </w:p>
        </w:tc>
      </w:tr>
      <w:tr>
        <w:trPr/>
        <w:tc>
          <w:tcPr>
            <w:tcW w:w="5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67" w:type="dxa"/>
            <w:tcBorders/>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Employment Agreement with Harel Gadot (incorporated by reference to the Company’s Current Report on Form 8-K filed on November 29, 2016).</w:t>
              </w:r>
            </w:hyperlink>
          </w:p>
        </w:tc>
      </w:tr>
      <w:tr>
        <w:trPr/>
        <w:tc>
          <w:tcPr>
            <w:tcW w:w="5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67" w:type="dxa"/>
            <w:tcBorders/>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License Agreement, dated June 20, 2012, by and between Technion Research and Development Foundation, and Microbot Medical Ltd. (incorporated by reference to the Company’s Annual Report on Form 10-K for the fiscal year ended December 31, 2016 and filed on March 21, 2017).</w:t>
              </w:r>
            </w:hyperlink>
          </w:p>
        </w:tc>
      </w:tr>
      <w:tr>
        <w:trPr/>
        <w:tc>
          <w:tcPr>
            <w:tcW w:w="5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67"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Form of Stock Option Agreement under the Microbot Medical Inc. 2017 Equity Incentive Plan (incorporated by reference to the Company’s Quarterly Report on Form 10-Q for the Quarter ended September 30, 2017, filed on November 14, 2017).</w:t>
              </w:r>
            </w:hyperlink>
          </w:p>
        </w:tc>
      </w:tr>
      <w:tr>
        <w:trPr/>
        <w:tc>
          <w:tcPr>
            <w:tcW w:w="5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67"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Agreement, dated January 4, 2018, by and between CardioSert Ltd. and Microbot Medical Ltd. (incorporated by reference to the Company’s Current Report on Form 8-K filed on January 8, 2018).</w:t>
              </w:r>
            </w:hyperlink>
          </w:p>
        </w:tc>
      </w:tr>
      <w:tr>
        <w:trPr/>
        <w:tc>
          <w:tcPr>
            <w:tcW w:w="5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67"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Employment Agreement with Dr. Eyal Morag (incorporated by reference to the Registrant’s Annual Report on Form 10-K for the fiscal year ended December 31, 2019 filed on April 14, 2020).</w:t>
              </w:r>
            </w:hyperlink>
          </w:p>
        </w:tc>
      </w:tr>
      <w:tr>
        <w:trPr/>
        <w:tc>
          <w:tcPr>
            <w:tcW w:w="5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67"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Microbot Medical Inc. 2017 Equity Incentive Plan (incorporated by reference to Exhibit A of the Company’s Definitive Proxy Statement on Schedule 14A filed on August 11, 2017).</w:t>
              </w:r>
            </w:hyperlink>
          </w:p>
        </w:tc>
      </w:tr>
      <w:tr>
        <w:trPr/>
        <w:tc>
          <w:tcPr>
            <w:tcW w:w="5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67"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Microbot Medical Inc. 2020 Omnibus Performance Award Plan (incorporated by reference to Exhibit A of the Company’s definitive Proxy Statement on Schedule 14A filed on July 31, 2020)</w:t>
              </w:r>
            </w:hyperlink>
          </w:p>
        </w:tc>
      </w:tr>
      <w:tr>
        <w:trPr/>
        <w:tc>
          <w:tcPr>
            <w:tcW w:w="5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67"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Form of Restricted Stock Unit Award Agreement under the Microbot Medical Inc. 2020 Omnibus Performance Award Plan (incorporated by reference to Exhibit 4.2 of the registration Statement on Form S-8 of the Company filed on November 25, 2020)</w:t>
              </w:r>
            </w:hyperlink>
          </w:p>
        </w:tc>
      </w:tr>
      <w:tr>
        <w:trPr/>
        <w:tc>
          <w:tcPr>
            <w:tcW w:w="5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67"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Form of NQO Award Agreement under the Microbot Medical Ltd. 2020 Omnibus Performance Award Plan (incorporated by reference to Exhibit 4.3 of the registration Statement on Form S-8 of the Company filed on November 25, 2020)</w:t>
              </w:r>
            </w:hyperlink>
          </w:p>
        </w:tc>
      </w:tr>
      <w:tr>
        <w:trPr/>
        <w:tc>
          <w:tcPr>
            <w:tcW w:w="5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67"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Form of Restricted Stock Award Agreement under the Microbot Medical Ltd. 2020 Omnibus Performance Award Plan (incorporated by reference to Exhibit 4.4 of the registration Statement on Form S-8 of the Company filed on November 25, 2020)</w:t>
              </w:r>
            </w:hyperlink>
          </w:p>
        </w:tc>
      </w:tr>
      <w:tr>
        <w:trPr/>
        <w:tc>
          <w:tcPr>
            <w:tcW w:w="5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67"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Form of SAR Award Agreement under the Microbot Medical Ltd. 2020 Omnibus Performance Award Plan (incorporated by reference to Exhibit 4.5 of the registration Statement on Form S-8 of the Company filed on November 25, 2020)</w:t>
              </w:r>
            </w:hyperlink>
          </w:p>
        </w:tc>
      </w:tr>
      <w:tr>
        <w:trPr/>
        <w:tc>
          <w:tcPr>
            <w:tcW w:w="5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67"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Form of ISO Award Agreement under the Microbot Medical Ltd. 2020 Omnibus Performance Award Plan (incorporated by reference to Exhibit 4.6 of the registration Statement on Form S-8 of the Company filed on November 25, 2020)</w:t>
              </w:r>
            </w:hyperlink>
          </w:p>
        </w:tc>
      </w:tr>
      <w:tr>
        <w:trPr/>
        <w:tc>
          <w:tcPr>
            <w:tcW w:w="5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67"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Employment Agreement, as of March 31, 2018, with Simon Sharon (incorporated by reference to Exhibit 10.1 of the Company’s Form 8-K filed on April 7, 2021)</w:t>
              </w:r>
            </w:hyperlink>
          </w:p>
        </w:tc>
      </w:tr>
      <w:tr>
        <w:trPr/>
        <w:tc>
          <w:tcPr>
            <w:tcW w:w="5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67"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First Amendment to Employment Agreement, dated as of April 19, 2021, with Simon Sharon (incorporated by reference to Exhibit 10.1 of the Company’s Form 8-K filed on April 22, 2021)</w:t>
              </w:r>
            </w:hyperlink>
          </w:p>
        </w:tc>
      </w:tr>
      <w:tr>
        <w:trPr/>
        <w:tc>
          <w:tcPr>
            <w:tcW w:w="5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67"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At the Market Offering Agreement, dated June 10, 2021, by and between Microbot Medical Inc. and H.C. Wainwright &amp; Co., LLC (incorporated by reference to Exhibit 10.1 of the Company’s Form 8-K filed on June 10, 2021)</w:t>
              </w:r>
            </w:hyperlink>
          </w:p>
        </w:tc>
      </w:tr>
      <w:tr>
        <w:trPr/>
        <w:tc>
          <w:tcPr>
            <w:tcW w:w="5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67"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Strategic Collaboration Agreement for Technology Co-Development with Stryker Corporation, acting through its Neurovascular Division (incorporated by reference to Exhibit 10.1 of the Company’s Form 8-K filed on December 27, 2021)</w:t>
              </w:r>
            </w:hyperlink>
          </w:p>
        </w:tc>
      </w:tr>
      <w:tr>
        <w:trPr/>
        <w:tc>
          <w:tcPr>
            <w:tcW w:w="5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67"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Asset Purchase Agreement with Nitiloop, Ltd. dated October 6, 2022 (incorporated by reference to the Registrant’s Current Report on Form 8-K filed on October 7, 2022)</w:t>
              </w:r>
            </w:hyperlink>
          </w:p>
        </w:tc>
      </w:tr>
      <w:tr>
        <w:trPr/>
        <w:tc>
          <w:tcPr>
            <w:tcW w:w="5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67" w:type="dxa"/>
            <w:tcBorders/>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Employment Agreement with Rachel Vaknin (incorporated by reference to the Company’s Current Report on Form 8-K filed on April 5, 2022)</w:t>
              </w:r>
            </w:hyperlink>
          </w:p>
        </w:tc>
      </w:tr>
      <w:tr>
        <w:trPr/>
        <w:tc>
          <w:tcPr>
            <w:tcW w:w="5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67" w:type="dxa"/>
            <w:tcBorders/>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Second Amendment to Employment Agreement with Harel Gadot (incorporated by reference to the Company’s Current Report on Form 8-K filed on February 1, 2022)</w:t>
              </w:r>
            </w:hyperlink>
          </w:p>
        </w:tc>
      </w:tr>
      <w:tr>
        <w:trPr/>
        <w:tc>
          <w:tcPr>
            <w:tcW w:w="5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67" w:type="dxa"/>
            <w:tcBorders/>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Letter Agreements dated March 18, 2021 between Microbot Medical Ltd. and Technion Research and Development Foundation Ltd. (incorporated by reference to the Company’s Annual Report on Form 10-K for the Fiscal Year ended December 31, 2022, filed on March 31, 2023)</w:t>
              </w:r>
            </w:hyperlink>
          </w:p>
        </w:tc>
      </w:tr>
      <w:tr>
        <w:trPr/>
        <w:tc>
          <w:tcPr>
            <w:tcW w:w="5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67" w:type="dxa"/>
            <w:tcBorders/>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Form of Securities Purchase Agreement, dated as of October 21, 2022, by and among Microbot Medical Inc. and the purchaser party thereto (incorporated by reference to the Registrant’s Current Report on Form 8-K filed on October 25, 2022)</w:t>
              </w:r>
            </w:hyperlink>
          </w:p>
        </w:tc>
      </w:tr>
      <w:tr>
        <w:trPr/>
        <w:tc>
          <w:tcPr>
            <w:tcW w:w="5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67" w:type="dxa"/>
            <w:tcBorders/>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Addendum to Employment Agreement with Rachel Vaknin (incorporated by reference to the Company’s Current Report on Form 8-K filed on May 22, 2023)</w:t>
              </w:r>
            </w:hyperlink>
          </w:p>
        </w:tc>
      </w:tr>
      <w:tr>
        <w:trPr/>
        <w:tc>
          <w:tcPr>
            <w:tcW w:w="5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67" w:type="dxa"/>
            <w:tcBorders/>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Addendum to Employment Agreement with Simon Sharon (incorporated by reference to the Company’s Current Report on Form 8-K filed on May 22, 2023)</w:t>
              </w:r>
            </w:hyperlink>
          </w:p>
        </w:tc>
      </w:tr>
      <w:tr>
        <w:trPr/>
        <w:tc>
          <w:tcPr>
            <w:tcW w:w="5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67" w:type="dxa"/>
            <w:tcBorders/>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Addendum to Employment Agreement with Eyal Morag (incorporated by reference to the Company’s Current Report on Form 8-K filed on May 22, 2023)</w:t>
              </w:r>
            </w:hyperlink>
          </w:p>
        </w:tc>
      </w:tr>
      <w:tr>
        <w:trPr/>
        <w:tc>
          <w:tcPr>
            <w:tcW w:w="5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67" w:type="dxa"/>
            <w:tcBorders/>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Addendum to Employment Agreement with Eyal Morag. (incorporated by reference to the Company’s Current Report on Form 8-K filed on May 22, 2023)</w:t>
              </w:r>
            </w:hyperlink>
          </w:p>
        </w:tc>
      </w:tr>
      <w:tr>
        <w:trPr/>
        <w:tc>
          <w:tcPr>
            <w:tcW w:w="57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67" w:type="dxa"/>
            <w:tcBorders/>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Form of Securities Purchase Agreement, dated as of May 22, 2023, by and among Microbot Medical Inc. and the purchasers party thereto (incorporated by reference to the Registrant’s Current Report on Form 8-K filed on May 23, 2023)</w:t>
              </w:r>
            </w:hyperlink>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1"/>
        <w:gridCol w:w="60"/>
        <w:gridCol w:w="9514"/>
      </w:tblGrid>
      <w:tr>
        <w:trPr/>
        <w:tc>
          <w:tcPr>
            <w:tcW w:w="6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4" w:type="dxa"/>
            <w:tcBorders/>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Form of Securities Purchase Agreement, dated as of May 23, 2023, by and among Microbot Medical Inc. and the purchaser party thereto (incorporated by reference to the Registrant’s Current Report on Form 8-K filed on May 24, 2023)</w:t>
              </w:r>
            </w:hyperlink>
          </w:p>
        </w:tc>
      </w:tr>
      <w:tr>
        <w:trPr/>
        <w:tc>
          <w:tcPr>
            <w:tcW w:w="6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4" w:type="dxa"/>
            <w:tcBorders/>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Form of Securities Purchase Agreement, dated as of June 2, 2023, by and among Microbot Medical Inc. and the purchasers party thereto (incorporated by reference to the Registrant’s Current Report on Form 8-K filed on June 6, 2023)</w:t>
              </w:r>
            </w:hyperlink>
          </w:p>
        </w:tc>
      </w:tr>
      <w:tr>
        <w:trPr/>
        <w:tc>
          <w:tcPr>
            <w:tcW w:w="6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4" w:type="dxa"/>
            <w:tcBorders/>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Form of Securities Purchase Agreement, dated as of June 26, 2023, by and among Microbot Medical Inc. and the purchasers party thereto (incorporated by reference to the Registrant’s Current Report on Form 8-K filed on June 28, 2023)</w:t>
              </w:r>
            </w:hyperlink>
          </w:p>
        </w:tc>
      </w:tr>
      <w:tr>
        <w:trPr/>
        <w:tc>
          <w:tcPr>
            <w:tcW w:w="6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4" w:type="dxa"/>
            <w:tcBorders/>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Employment Agreement with Juan Diaz-Cartelle, MD (incorporated by reference to the Registrant’s Current Report on Form 8-K filed on November 21, 2023)</w:t>
              </w:r>
            </w:hyperlink>
          </w:p>
        </w:tc>
      </w:tr>
      <w:tr>
        <w:trPr/>
        <w:tc>
          <w:tcPr>
            <w:tcW w:w="6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4" w:type="dxa"/>
            <w:tcBorders/>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Form of Inducement Letter (incorporated by reference to the Registrant’s Current Report on Form 8-K filed on January 2, 2024)</w:t>
              </w:r>
            </w:hyperlink>
          </w:p>
        </w:tc>
      </w:tr>
      <w:tr>
        <w:trPr/>
        <w:tc>
          <w:tcPr>
            <w:tcW w:w="6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4" w:type="dxa"/>
            <w:tcBorders/>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Settlement Agreement and Release dated as of January 26, 2024 (incorporated by reference to the Registrant’s Current Report on Form 8-K filed on January 30, 2024)</w:t>
              </w:r>
            </w:hyperlink>
          </w:p>
        </w:tc>
      </w:tr>
      <w:tr>
        <w:trPr/>
        <w:tc>
          <w:tcPr>
            <w:tcW w:w="6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4" w:type="dxa"/>
            <w:tcBorders/>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Registration Rights Agreement dated as of January 26, 2024 (incorporated by reference to the Registrant’s Current Report on Form 8-K filed on January 30, 2024)</w:t>
              </w:r>
            </w:hyperlink>
          </w:p>
        </w:tc>
      </w:tr>
      <w:tr>
        <w:trPr/>
        <w:tc>
          <w:tcPr>
            <w:tcW w:w="6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4" w:type="dxa"/>
            <w:tcBorders/>
            <w:vAlign w:val="center"/>
          </w:tcPr>
          <w:p>
            <w:pPr>
              <w:pStyle w:val="TableContents"/>
              <w:bidi w:val="0"/>
              <w:spacing w:before="0" w:after="283"/>
              <w:jc w:val="both"/>
              <w:rPr/>
            </w:pPr>
            <w:hyperlink r:id="rId56">
              <w:r>
                <w:rPr>
                  <w:rStyle w:val="InternetLink"/>
                  <w:rFonts w:ascii="Times New Roman;Times;Serif" w:hAnsi="Times New Roman;Times;Serif"/>
                  <w:b w:val="false"/>
                  <w:i w:val="false"/>
                  <w:caps w:val="false"/>
                  <w:smallCaps w:val="false"/>
                  <w:sz w:val="20"/>
                </w:rPr>
                <w:t>Subsidiaries of the Company (incorporated by reference to the Company’s Annual Report on Form 10-K for the fiscal year ended December 31, 2016 and filed on March 21, 2017).</w:t>
              </w:r>
            </w:hyperlink>
          </w:p>
        </w:tc>
      </w:tr>
      <w:tr>
        <w:trPr/>
        <w:tc>
          <w:tcPr>
            <w:tcW w:w="6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4" w:type="dxa"/>
            <w:tcBorders/>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Independent Registered Public Accounting Firm</w:t>
              </w:r>
            </w:hyperlink>
          </w:p>
        </w:tc>
      </w:tr>
      <w:tr>
        <w:trPr/>
        <w:tc>
          <w:tcPr>
            <w:tcW w:w="6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4"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Pursuant to Securities Exchange Act Rule 13(a)-14(a), as Adopted Pursuant to Section 302 of the Sarbanes-Oxley Act of 2002 (Harel Gadot, Chief Executive Officer)</w:t>
              </w:r>
            </w:hyperlink>
          </w:p>
        </w:tc>
      </w:tr>
      <w:tr>
        <w:trPr/>
        <w:tc>
          <w:tcPr>
            <w:tcW w:w="6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4"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Pursuant to Securities Exchange Act Rule 13(a)-14(a), as Adopted Pursuant to Section 302 of the Sarbanes-Oxley Act of 2002 (Rachel Vaknin, Chief Financial Officer)</w:t>
              </w:r>
            </w:hyperlink>
          </w:p>
        </w:tc>
      </w:tr>
      <w:tr>
        <w:trPr/>
        <w:tc>
          <w:tcPr>
            <w:tcW w:w="6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4"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Pursuant to 18 U.S.C. Section 1350, As Adopted Pursuant to Section 906 of the Sarbanes-Oxley Act of 2002 (Harel Gadot, Chief Executive Officer)</w:t>
              </w:r>
            </w:hyperlink>
          </w:p>
        </w:tc>
      </w:tr>
      <w:tr>
        <w:trPr/>
        <w:tc>
          <w:tcPr>
            <w:tcW w:w="6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4" w:type="dxa"/>
            <w:tcBorders/>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Pursuant to 18 U.S.C. Section 1350, As Adopted Pursuant to Section 906 of the Sarbanes-Oxley Act of 2002 (Rachel Vaknin, Chief Financial Officer)</w:t>
              </w:r>
            </w:hyperlink>
          </w:p>
        </w:tc>
      </w:tr>
      <w:tr>
        <w:trPr/>
        <w:tc>
          <w:tcPr>
            <w:tcW w:w="6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4" w:type="dxa"/>
            <w:tcBorders/>
            <w:vAlign w:val="center"/>
          </w:tcPr>
          <w:p>
            <w:pPr>
              <w:pStyle w:val="TableContents"/>
              <w:bidi w:val="0"/>
              <w:spacing w:before="0" w:after="283"/>
              <w:jc w:val="both"/>
              <w:rPr/>
            </w:pPr>
            <w:hyperlink w:anchor="ex97-1.htm">
              <w:r>
                <w:rPr>
                  <w:rStyle w:val="InternetLink"/>
                  <w:rFonts w:ascii="Times New Roman;Times;Serif" w:hAnsi="Times New Roman;Times;Serif"/>
                  <w:b w:val="false"/>
                  <w:i w:val="false"/>
                  <w:caps w:val="false"/>
                  <w:smallCaps w:val="false"/>
                  <w:sz w:val="20"/>
                </w:rPr>
                <w:t>Clawback Policy</w:t>
              </w:r>
            </w:hyperlink>
          </w:p>
        </w:tc>
      </w:tr>
      <w:tr>
        <w:trPr/>
        <w:tc>
          <w:tcPr>
            <w:tcW w:w="6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 The instance document does not appear in the Interactive Data File because its XBRL tags are embedded within the Inline XBRL document.</w:t>
            </w:r>
          </w:p>
        </w:tc>
      </w:tr>
      <w:tr>
        <w:trPr/>
        <w:tc>
          <w:tcPr>
            <w:tcW w:w="6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w:t>
            </w:r>
          </w:p>
        </w:tc>
      </w:tr>
      <w:tr>
        <w:trPr/>
        <w:tc>
          <w:tcPr>
            <w:tcW w:w="6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w:t>
            </w:r>
          </w:p>
        </w:tc>
      </w:tr>
      <w:tr>
        <w:trPr/>
        <w:tc>
          <w:tcPr>
            <w:tcW w:w="6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w:t>
            </w:r>
          </w:p>
        </w:tc>
      </w:tr>
      <w:tr>
        <w:trPr/>
        <w:tc>
          <w:tcPr>
            <w:tcW w:w="6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Labels.</w:t>
            </w:r>
          </w:p>
        </w:tc>
      </w:tr>
      <w:tr>
        <w:trPr/>
        <w:tc>
          <w:tcPr>
            <w:tcW w:w="6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w:t>
            </w:r>
          </w:p>
        </w:tc>
      </w:tr>
      <w:tr>
        <w:trPr/>
        <w:tc>
          <w:tcPr>
            <w:tcW w:w="6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Management contract or compensatory plan or arrangement</w:t>
            </w:r>
          </w:p>
        </w:tc>
      </w:tr>
      <w:tr>
        <w:trPr/>
        <w:tc>
          <w:tcPr>
            <w:tcW w:w="2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identified information has been excluded from this exhibit because it is both (i) not material and (ii) would be competitively harmful if publicly disclosed.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0" w:name="Na_027"/>
      <w:bookmarkEnd w:id="60"/>
      <w:r>
        <w:rPr>
          <w:rFonts w:ascii="Times New Roman;Times;Serif" w:hAnsi="Times New Roman;Times;Serif"/>
          <w:b/>
          <w:i w:val="false"/>
          <w:caps w:val="false"/>
          <w:smallCaps w:val="false"/>
          <w:sz w:val="20"/>
        </w:rPr>
        <w:t xml:space="preserve">Item 16. </w:t>
      </w:r>
      <w:r>
        <w:rPr>
          <w:rFonts w:ascii="Times New Roman;Times;Serif" w:hAnsi="Times New Roman;Times;Serif"/>
          <w:b/>
          <w:i w:val="false"/>
          <w:caps w:val="false"/>
          <w:smallCaps w:val="false"/>
          <w:sz w:val="20"/>
          <w:u w:val="single"/>
        </w:rPr>
        <w:t>Form 10-K Summary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not to provide summary information.</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1910"/>
        <w:gridCol w:w="4040"/>
      </w:tblGrid>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40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tc>
      </w:tr>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40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40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Harel Gadot </w:t>
            </w:r>
          </w:p>
        </w:tc>
      </w:tr>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4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40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Chief Executive Officer and Chairman</w:t>
            </w:r>
          </w:p>
        </w:tc>
      </w:tr>
      <w:tr>
        <w:trPr/>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March 27, 2024</w:t>
            </w:r>
          </w:p>
        </w:tc>
        <w:tc>
          <w:tcPr>
            <w:tcW w:w="404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this report has been signed below by the following persons on behalf of the registrant and in the capacities and on the dates indicated.</w:t>
      </w:r>
    </w:p>
    <w:p>
      <w:pPr>
        <w:pStyle w:val="TextBody"/>
        <w:shd w:fill="FFFFFF" w:val="clear"/>
        <w:bidi w:val="0"/>
        <w:spacing w:before="0" w:after="0"/>
        <w:jc w:val="both"/>
        <w:rPr>
          <w:caps w:val="false"/>
          <w:smallCaps w:val="false"/>
        </w:rPr>
      </w:pPr>
      <w:r>
        <w:rPr>
          <w:caps w:val="false"/>
          <w:smallCaps w:val="false"/>
        </w:rPr>
        <w:t> </w:t>
      </w:r>
    </w:p>
    <w:tbl>
      <w:tblPr>
        <w:tblW w:w="7635" w:type="dxa"/>
        <w:jc w:val="left"/>
        <w:tblInd w:w="0" w:type="dxa"/>
        <w:tblLayout w:type="fixed"/>
        <w:tblCellMar>
          <w:top w:w="0" w:type="dxa"/>
          <w:left w:w="0" w:type="dxa"/>
          <w:bottom w:w="28" w:type="dxa"/>
          <w:right w:w="0" w:type="dxa"/>
        </w:tblCellMar>
      </w:tblPr>
      <w:tblGrid>
        <w:gridCol w:w="2180"/>
        <w:gridCol w:w="60"/>
        <w:gridCol w:w="4010"/>
        <w:gridCol w:w="60"/>
        <w:gridCol w:w="1325"/>
      </w:tblGrid>
      <w:tr>
        <w:trPr/>
        <w:tc>
          <w:tcPr>
            <w:tcW w:w="218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Chairman, President and Chief Executive Officer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2024</w:t>
            </w:r>
          </w:p>
        </w:tc>
      </w:tr>
      <w:tr>
        <w:trPr/>
        <w:tc>
          <w:tcPr>
            <w:tcW w:w="218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Harel Gadot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Rachel Vaknin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2024</w:t>
            </w:r>
          </w:p>
        </w:tc>
      </w:tr>
      <w:tr>
        <w:trPr/>
        <w:tc>
          <w:tcPr>
            <w:tcW w:w="218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Rachel Vaknin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Financial and Accounting Officer)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Yoseph Bornstein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2024</w:t>
            </w:r>
          </w:p>
        </w:tc>
      </w:tr>
      <w:tr>
        <w:trPr/>
        <w:tc>
          <w:tcPr>
            <w:tcW w:w="218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Yoseph Bornstein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Prattipati Laxminarain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2024</w:t>
            </w:r>
          </w:p>
        </w:tc>
      </w:tr>
      <w:tr>
        <w:trPr/>
        <w:tc>
          <w:tcPr>
            <w:tcW w:w="218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Prattipati Laxminarain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Scott Burell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2024</w:t>
            </w:r>
          </w:p>
        </w:tc>
      </w:tr>
      <w:tr>
        <w:trPr/>
        <w:tc>
          <w:tcPr>
            <w:tcW w:w="218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Scott Burell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Martin Madden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2024</w:t>
            </w:r>
          </w:p>
        </w:tc>
      </w:tr>
      <w:tr>
        <w:trPr/>
        <w:tc>
          <w:tcPr>
            <w:tcW w:w="218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Martin Madden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Aileen Stockburger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2024</w:t>
            </w:r>
          </w:p>
        </w:tc>
      </w:tr>
      <w:tr>
        <w:trPr/>
        <w:tc>
          <w:tcPr>
            <w:tcW w:w="218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Aileen Stockburger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8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Tal Wenderow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2024</w:t>
            </w:r>
          </w:p>
        </w:tc>
      </w:tr>
      <w:tr>
        <w:trPr/>
        <w:tc>
          <w:tcPr>
            <w:tcW w:w="218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Tal Wenderow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120" w:after="283"/>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center"/>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8030"/>
        <w:gridCol w:w="875"/>
      </w:tblGrid>
      <w:tr>
        <w:trPr/>
        <w:tc>
          <w:tcPr>
            <w:tcW w:w="803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803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30" w:type="dxa"/>
            <w:tcBorders/>
            <w:shd w:fill="CCEEFF" w:val="clear"/>
            <w:vAlign w:val="center"/>
          </w:tcPr>
          <w:p>
            <w:pPr>
              <w:pStyle w:val="TableContents"/>
              <w:bidi w:val="0"/>
              <w:spacing w:before="0" w:after="283"/>
              <w:jc w:val="left"/>
              <w:rPr/>
            </w:pPr>
            <w:hyperlink w:anchor="ku_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ID No. </w:t>
            </w:r>
            <w:bookmarkStart w:id="61" w:name="xdx_901_edei--AuditorFirmId_c20230101__2"/>
            <w:bookmarkEnd w:id="61"/>
            <w:r>
              <w:rPr>
                <w:rFonts w:ascii="Times New Roman;Times;Serif" w:hAnsi="Times New Roman;Times;Serif"/>
                <w:b w:val="false"/>
                <w:i w:val="false"/>
                <w:caps w:val="false"/>
                <w:smallCaps w:val="false"/>
                <w:sz w:val="20"/>
              </w:rPr>
              <w:t>1197)</w:t>
            </w:r>
          </w:p>
        </w:tc>
        <w:tc>
          <w:tcPr>
            <w:tcW w:w="8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F-2 – F-3 </w:t>
            </w:r>
          </w:p>
        </w:tc>
      </w:tr>
      <w:tr>
        <w:trPr/>
        <w:tc>
          <w:tcPr>
            <w:tcW w:w="80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30" w:type="dxa"/>
            <w:tcBorders/>
            <w:shd w:fill="CCEEFF" w:val="clear"/>
            <w:vAlign w:val="center"/>
          </w:tcPr>
          <w:p>
            <w:pPr>
              <w:pStyle w:val="TableContents"/>
              <w:bidi w:val="0"/>
              <w:spacing w:before="0" w:after="283"/>
              <w:jc w:val="left"/>
              <w:rPr/>
            </w:pPr>
            <w:hyperlink w:anchor="ku_002">
              <w:r>
                <w:rPr>
                  <w:rStyle w:val="InternetLink"/>
                  <w:rFonts w:ascii="Times New Roman;Times;Serif" w:hAnsi="Times New Roman;Times;Serif"/>
                  <w:b w:val="false"/>
                  <w:i w:val="false"/>
                  <w:caps w:val="false"/>
                  <w:smallCaps w:val="false"/>
                  <w:sz w:val="20"/>
                </w:rPr>
                <w:t>Consolidated Balance Sheets as of December 31, 2023, and 2022</w:t>
              </w:r>
            </w:hyperlink>
          </w:p>
        </w:tc>
        <w:tc>
          <w:tcPr>
            <w:tcW w:w="8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80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30" w:type="dxa"/>
            <w:tcBorders/>
            <w:shd w:fill="CCEEFF" w:val="clear"/>
            <w:vAlign w:val="center"/>
          </w:tcPr>
          <w:p>
            <w:pPr>
              <w:pStyle w:val="TableContents"/>
              <w:bidi w:val="0"/>
              <w:spacing w:before="0" w:after="283"/>
              <w:jc w:val="left"/>
              <w:rPr/>
            </w:pPr>
            <w:hyperlink w:anchor="ku_003">
              <w:r>
                <w:rPr>
                  <w:rStyle w:val="InternetLink"/>
                  <w:rFonts w:ascii="Times New Roman;Times;Serif" w:hAnsi="Times New Roman;Times;Serif"/>
                  <w:b w:val="false"/>
                  <w:i w:val="false"/>
                  <w:caps w:val="false"/>
                  <w:smallCaps w:val="false"/>
                  <w:sz w:val="20"/>
                </w:rPr>
                <w:t>Consolidated Statements of Comprehensive Loss for the years ended December 31, 2023 and 2022</w:t>
              </w:r>
            </w:hyperlink>
          </w:p>
        </w:tc>
        <w:tc>
          <w:tcPr>
            <w:tcW w:w="8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80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30" w:type="dxa"/>
            <w:tcBorders/>
            <w:shd w:fill="CCEEFF" w:val="clear"/>
            <w:vAlign w:val="center"/>
          </w:tcPr>
          <w:p>
            <w:pPr>
              <w:pStyle w:val="TableContents"/>
              <w:bidi w:val="0"/>
              <w:spacing w:before="0" w:after="283"/>
              <w:jc w:val="left"/>
              <w:rPr/>
            </w:pPr>
            <w:hyperlink w:anchor="ku_004">
              <w:r>
                <w:rPr>
                  <w:rStyle w:val="InternetLink"/>
                  <w:rFonts w:ascii="Times New Roman;Times;Serif" w:hAnsi="Times New Roman;Times;Serif"/>
                  <w:b w:val="false"/>
                  <w:i w:val="false"/>
                  <w:caps w:val="false"/>
                  <w:smallCaps w:val="false"/>
                  <w:sz w:val="20"/>
                </w:rPr>
                <w:t>Consolidated Statements of Shareholders’ Equity for the years ended December 31, 2023 and 2022</w:t>
              </w:r>
            </w:hyperlink>
          </w:p>
        </w:tc>
        <w:tc>
          <w:tcPr>
            <w:tcW w:w="8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80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30" w:type="dxa"/>
            <w:tcBorders/>
            <w:shd w:fill="CCEEFF" w:val="clear"/>
            <w:vAlign w:val="center"/>
          </w:tcPr>
          <w:p>
            <w:pPr>
              <w:pStyle w:val="TableContents"/>
              <w:bidi w:val="0"/>
              <w:spacing w:before="0" w:after="283"/>
              <w:jc w:val="left"/>
              <w:rPr/>
            </w:pPr>
            <w:hyperlink w:anchor="ku_005">
              <w:r>
                <w:rPr>
                  <w:rStyle w:val="InternetLink"/>
                  <w:rFonts w:ascii="Times New Roman;Times;Serif" w:hAnsi="Times New Roman;Times;Serif"/>
                  <w:b w:val="false"/>
                  <w:i w:val="false"/>
                  <w:caps w:val="false"/>
                  <w:smallCaps w:val="false"/>
                  <w:sz w:val="20"/>
                </w:rPr>
                <w:t>Consolidated Statements of Cash Flows for the years ended December 31, 2023 and 2022</w:t>
              </w:r>
            </w:hyperlink>
          </w:p>
        </w:tc>
        <w:tc>
          <w:tcPr>
            <w:tcW w:w="8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80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30" w:type="dxa"/>
            <w:tcBorders/>
            <w:shd w:fill="CCEEFF" w:val="clear"/>
            <w:vAlign w:val="center"/>
          </w:tcPr>
          <w:p>
            <w:pPr>
              <w:pStyle w:val="TableContents"/>
              <w:bidi w:val="0"/>
              <w:spacing w:before="0" w:after="283"/>
              <w:jc w:val="left"/>
              <w:rPr/>
            </w:pPr>
            <w:hyperlink w:anchor="ku_006">
              <w:r>
                <w:rPr>
                  <w:rStyle w:val="InternetLink"/>
                  <w:rFonts w:ascii="Times New Roman;Times;Serif" w:hAnsi="Times New Roman;Times;Serif"/>
                  <w:b w:val="false"/>
                  <w:i w:val="false"/>
                  <w:caps w:val="false"/>
                  <w:smallCaps w:val="false"/>
                  <w:sz w:val="20"/>
                </w:rPr>
                <w:t>Notes to the Consolidated Financial Statements</w:t>
              </w:r>
            </w:hyperlink>
          </w:p>
        </w:tc>
        <w:tc>
          <w:tcPr>
            <w:tcW w:w="8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 – F-33</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62" w:name="ku_001"/>
      <w:bookmarkEnd w:id="62"/>
      <w:r>
        <w:rPr>
          <w:caps w:val="false"/>
          <w:smallCaps w:val="false"/>
        </w:rPr>
        <w:drawing>
          <wp:inline distT="0" distB="0" distL="0" distR="0">
            <wp:extent cx="228600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7"/>
                    <a:stretch>
                      <a:fillRect/>
                    </a:stretch>
                  </pic:blipFill>
                  <pic:spPr bwMode="auto">
                    <a:xfrm>
                      <a:off x="0" y="0"/>
                      <a:ext cx="2286000" cy="5048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the Board of Directors of Microbot Medical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Microbot Medical Inc. and its subsidiary (the “Company”) as of December 31, 2023 and 2022, and the related consolidated statements of comprehensive loss, shareholders’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discussed in Note 1B to the financial statements, the Company’s financial statements include a net loss of $ 10,740 thousand for the year ended December 31, 2023 and accumulated deficit of $ 79,501 thousand as of December 31, 2023. The Company is dependent on its ability to obtain additional debt and/or equity in order to continue its operations. These conditions raise substantial doubt about its ability to continue as a going concern. The financial statements do not include any adjustments that might result from the outcome of this uncertainty.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120" w:after="283"/>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drawing>
          <wp:inline distT="0" distB="0" distL="0" distR="0">
            <wp:extent cx="2286000"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8"/>
                    <a:stretch>
                      <a:fillRect/>
                    </a:stretch>
                  </pic:blipFill>
                  <pic:spPr bwMode="auto">
                    <a:xfrm>
                      <a:off x="0" y="0"/>
                      <a:ext cx="2286000" cy="504825"/>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Contingencies - Settlement of litigation resulting from the 2017 financing — Refer to Notes 9G and 16C to the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Critical Audit Matter Description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2024, the Company entered into a settlement agreement and release with third parties, effectively resolving a lawsuit brought against the Company in 2020. The lawsuit stemmed from securities purchase agreements made between the Company and the third parties in 2017. The settlement amount consisted of a cash payment and shares of restricted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that the settlement agreement gave rise to loss contingency in the scope of Accounting Standards Codification Subtopic 450-20, Contingencies – Loss Contingencies, and as of December 31, 2023, the Company recorded a contingent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settlement amount was recorded in the Company’s consolidated financial statements as non-operating loss, offset by loss recovery received from the Company’s insurance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significant judgments made by management with respect to the contingent liability arising from the settlement agreement and the loss recovery received from the Company’s insurance company, performing audit procedures to evaluate the reasonableness of management’s assumptions and conclusions concerning the recognition and measurement of the contingent liability and the insurance recovery receivables, required a high degree of auditor judgment and an increased extent of effort.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the Critical Audit Matter Was Addressed in the Audit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read the settlement agreement, agreement with the Company’s insurance company, and other supporting documentation, followed by inquiries with the Company’s external counsel and general counsel regarding the details of the agreements.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assistance of our technical accounting specialists, we evaluated the management’s assessment and conclusion with regards to the accounting treatment of the settlement agreement and loss recovery received from the Company’s insurance company. Our procedures included evaluating the Company’s accounting memorandum and inquires with the management with regard to judgements made.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the Company’s calculation of the contingent liability.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the appropriateness of the disclosures in the financial statements pertinent to the settlement agreement and loss recovery received from the Company’s insurance company by comparing management’s disclosures to audit evidence obtained.</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Brightman Almagor Zohar &amp; Co.</w:t>
      </w:r>
    </w:p>
    <w:p>
      <w:pPr>
        <w:pStyle w:val="TextBody"/>
        <w:bidi w:val="0"/>
        <w:spacing w:before="0" w:after="0"/>
        <w:jc w:val="both"/>
        <w:rPr>
          <w:rFonts w:ascii="Times New Roman;Times;Serif" w:hAnsi="Times New Roman;Times;Serif"/>
          <w:b w:val="false"/>
          <w:i w:val="false"/>
          <w:caps w:val="false"/>
          <w:smallCaps w:val="false"/>
          <w:sz w:val="20"/>
        </w:rPr>
      </w:pPr>
      <w:bookmarkStart w:id="63" w:name="xdx_904_edei--AuditorName_c20230101__202"/>
      <w:bookmarkEnd w:id="63"/>
      <w:r>
        <w:rPr>
          <w:rFonts w:ascii="Times New Roman;Times;Serif" w:hAnsi="Times New Roman;Times;Serif"/>
          <w:b w:val="false"/>
          <w:i w:val="false"/>
          <w:caps w:val="false"/>
          <w:smallCaps w:val="false"/>
          <w:sz w:val="20"/>
        </w:rPr>
        <w:t>Brightman Almagor Zohar &amp; Co.</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Certified Public Accountants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firm in the Deloitte Global Network</w:t>
      </w:r>
    </w:p>
    <w:p>
      <w:pPr>
        <w:pStyle w:val="TextBody"/>
        <w:bidi w:val="0"/>
        <w:spacing w:before="0" w:after="0"/>
        <w:jc w:val="both"/>
        <w:rPr>
          <w:rFonts w:ascii="Times New Roman;Times;Serif" w:hAnsi="Times New Roman;Times;Serif"/>
          <w:b w:val="false"/>
          <w:i w:val="false"/>
          <w:caps w:val="false"/>
          <w:smallCaps w:val="false"/>
          <w:sz w:val="20"/>
        </w:rPr>
      </w:pPr>
      <w:bookmarkStart w:id="64" w:name="xdx_90B_edei--AuditorLocation_c20230101_"/>
      <w:bookmarkEnd w:id="64"/>
      <w:r>
        <w:rPr>
          <w:rFonts w:ascii="Times New Roman;Times;Serif" w:hAnsi="Times New Roman;Times;Serif"/>
          <w:b w:val="false"/>
          <w:i w:val="false"/>
          <w:caps w:val="false"/>
          <w:smallCaps w:val="false"/>
          <w:sz w:val="20"/>
        </w:rPr>
        <w:t>Tel Aviv, Israel</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1800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9"/>
                    <a:stretch>
                      <a:fillRect/>
                    </a:stretch>
                  </pic:blipFill>
                  <pic:spPr bwMode="auto">
                    <a:xfrm>
                      <a:off x="0" y="0"/>
                      <a:ext cx="5943600" cy="18002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65" w:name="ku_002"/>
      <w:bookmarkEnd w:id="65"/>
      <w:r>
        <w:rPr>
          <w:rFonts w:ascii="Times New Roman;Times;Serif" w:hAnsi="Times New Roman;Times;Serif"/>
          <w:b/>
          <w:i w:val="false"/>
          <w:caps w:val="false"/>
          <w:smallCaps w:val="false"/>
          <w:sz w:val="20"/>
          <w:u w:val="single"/>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6" w:name="xdx_305_111_pn3n3_zQLKWr9ZzHta"/>
      <w:bookmarkStart w:id="67" w:name="xdx_305_111_pn3n3_zQLKWr9ZzHta"/>
      <w:bookmarkEnd w:id="67"/>
    </w:p>
    <w:tbl>
      <w:tblPr>
        <w:tblW w:w="10205" w:type="dxa"/>
        <w:jc w:val="left"/>
        <w:tblInd w:w="0" w:type="dxa"/>
        <w:tblLayout w:type="fixed"/>
        <w:tblCellMar>
          <w:top w:w="0" w:type="dxa"/>
          <w:left w:w="0" w:type="dxa"/>
          <w:bottom w:w="0" w:type="dxa"/>
          <w:right w:w="0" w:type="dxa"/>
        </w:tblCellMar>
      </w:tblPr>
      <w:tblGrid>
        <w:gridCol w:w="7424"/>
        <w:gridCol w:w="60"/>
        <w:gridCol w:w="590"/>
        <w:gridCol w:w="60"/>
        <w:gridCol w:w="140"/>
        <w:gridCol w:w="761"/>
        <w:gridCol w:w="95"/>
        <w:gridCol w:w="60"/>
        <w:gridCol w:w="140"/>
        <w:gridCol w:w="761"/>
        <w:gridCol w:w="114"/>
      </w:tblGrid>
      <w:tr>
        <w:trPr/>
        <w:tc>
          <w:tcPr>
            <w:tcW w:w="74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8" w:name="xdx_49D_20231231_zmFPIZ7QyZfl"/>
            <w:bookmarkEnd w:id="68"/>
          </w:p>
        </w:tc>
        <w:tc>
          <w:tcPr>
            <w:tcW w:w="901" w:type="dxa"/>
            <w:gridSpan w:val="2"/>
            <w:tcBorders>
              <w:bottom w:val="single" w:sz="12"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9" w:name="xdx_49F_20221231_zpkuEG7ubSd6"/>
            <w:bookmarkEnd w:id="69"/>
          </w:p>
        </w:tc>
        <w:tc>
          <w:tcPr>
            <w:tcW w:w="901" w:type="dxa"/>
            <w:gridSpan w:val="2"/>
            <w:tcBorders>
              <w:bottom w:val="single" w:sz="12" w:space="0" w:color="000000"/>
            </w:tcBorders>
            <w:tcMar>
              <w:bottom w:w="28" w:type="dxa"/>
            </w:tcMar>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left"/>
              <w:rPr/>
            </w:pPr>
            <w:r>
              <w:rPr/>
              <w:t> </w:t>
            </w:r>
          </w:p>
        </w:tc>
      </w:tr>
      <w:tr>
        <w:trPr/>
        <w:tc>
          <w:tcPr>
            <w:tcW w:w="74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14" w:type="dxa"/>
            <w:tcBorders/>
            <w:vAlign w:val="center"/>
          </w:tcPr>
          <w:p>
            <w:pPr>
              <w:pStyle w:val="TableContents"/>
              <w:bidi w:val="0"/>
              <w:spacing w:before="0" w:after="283"/>
              <w:jc w:val="left"/>
              <w:rPr/>
            </w:pPr>
            <w:r>
              <w:rPr/>
              <w:t> </w:t>
            </w:r>
          </w:p>
        </w:tc>
      </w:tr>
      <w:tr>
        <w:trPr/>
        <w:tc>
          <w:tcPr>
            <w:tcW w:w="74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9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4" w:type="dxa"/>
            <w:tcBorders/>
            <w:vAlign w:val="center"/>
          </w:tcPr>
          <w:p>
            <w:pPr>
              <w:pStyle w:val="TableContents"/>
              <w:bidi w:val="0"/>
              <w:spacing w:before="0" w:after="283"/>
              <w:jc w:val="left"/>
              <w:rPr/>
            </w:pPr>
            <w:r>
              <w:rPr/>
              <w:t> </w:t>
            </w:r>
            <w:bookmarkStart w:id="70" w:name="xdx_403_eus-gaap--AssetsAbstract_iB_zEOz"/>
            <w:bookmarkEnd w:id="70"/>
          </w:p>
        </w:tc>
      </w:tr>
      <w:tr>
        <w:trPr/>
        <w:tc>
          <w:tcPr>
            <w:tcW w:w="7424"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71" w:name="xdx_403_eus-gaap--AssetsCurrentAbstract_"/>
            <w:bookmarkEnd w:id="71"/>
          </w:p>
        </w:tc>
      </w:tr>
      <w:tr>
        <w:trPr/>
        <w:tc>
          <w:tcPr>
            <w:tcW w:w="7424"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72" w:name="xdx_400_eus-gaap--CashAndCashEquivalents"/>
            <w:bookmarkEnd w:id="72"/>
          </w:p>
        </w:tc>
      </w:tr>
      <w:tr>
        <w:trPr/>
        <w:tc>
          <w:tcPr>
            <w:tcW w:w="7424"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2,468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2,442</w:t>
            </w:r>
          </w:p>
        </w:tc>
        <w:tc>
          <w:tcPr>
            <w:tcW w:w="114" w:type="dxa"/>
            <w:tcBorders/>
            <w:shd w:fill="CCEEFF" w:val="clear"/>
            <w:vAlign w:val="center"/>
          </w:tcPr>
          <w:p>
            <w:pPr>
              <w:pStyle w:val="TableContents"/>
              <w:bidi w:val="0"/>
              <w:spacing w:before="0" w:after="283"/>
              <w:jc w:val="left"/>
              <w:rPr/>
            </w:pPr>
            <w:r>
              <w:rPr/>
              <w:t> </w:t>
            </w:r>
            <w:bookmarkStart w:id="73" w:name="xdx_401_eus-gaap--MarketableSecuritiesCu"/>
            <w:bookmarkEnd w:id="73"/>
          </w:p>
        </w:tc>
      </w:tr>
      <w:tr>
        <w:trPr/>
        <w:tc>
          <w:tcPr>
            <w:tcW w:w="7424"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3,4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3,917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5,760</w:t>
            </w:r>
          </w:p>
        </w:tc>
        <w:tc>
          <w:tcPr>
            <w:tcW w:w="114" w:type="dxa"/>
            <w:tcBorders/>
            <w:shd w:fill="FFFFFF" w:val="clear"/>
            <w:vAlign w:val="center"/>
          </w:tcPr>
          <w:p>
            <w:pPr>
              <w:pStyle w:val="TableContents"/>
              <w:bidi w:val="0"/>
              <w:spacing w:before="0" w:after="283"/>
              <w:jc w:val="left"/>
              <w:rPr/>
            </w:pPr>
            <w:r>
              <w:rPr/>
              <w:t> </w:t>
            </w:r>
            <w:bookmarkStart w:id="74" w:name="xdx_404_eus-gaap--DepositsAssetsCurrent_"/>
            <w:bookmarkEnd w:id="74"/>
          </w:p>
        </w:tc>
      </w:tr>
      <w:tr>
        <w:trPr/>
        <w:tc>
          <w:tcPr>
            <w:tcW w:w="7424" w:type="dxa"/>
            <w:tcBorders/>
            <w:shd w:fill="CCEEFF" w:val="clear"/>
            <w:vAlign w:val="center"/>
          </w:tcPr>
          <w:p>
            <w:pPr>
              <w:pStyle w:val="TableContents"/>
              <w:bidi w:val="0"/>
              <w:spacing w:before="0" w:after="283"/>
              <w:jc w:val="left"/>
              <w:rPr/>
            </w:pPr>
            <w:r>
              <w:rPr/>
              <w:t>Short-term deposit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3</w:t>
            </w:r>
          </w:p>
        </w:tc>
        <w:tc>
          <w:tcPr>
            <w:tcW w:w="114" w:type="dxa"/>
            <w:tcBorders/>
            <w:shd w:fill="CCEEFF" w:val="clear"/>
            <w:vAlign w:val="center"/>
          </w:tcPr>
          <w:p>
            <w:pPr>
              <w:pStyle w:val="TableContents"/>
              <w:bidi w:val="0"/>
              <w:spacing w:before="0" w:after="283"/>
              <w:jc w:val="left"/>
              <w:rPr/>
            </w:pPr>
            <w:r>
              <w:rPr/>
              <w:t> </w:t>
            </w:r>
            <w:bookmarkStart w:id="75" w:name="xdx_40A_eus-gaap--RestrictedCashAndCashE"/>
            <w:bookmarkEnd w:id="75"/>
          </w:p>
        </w:tc>
      </w:tr>
      <w:tr>
        <w:trPr/>
        <w:tc>
          <w:tcPr>
            <w:tcW w:w="7424"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77</w:t>
            </w:r>
          </w:p>
        </w:tc>
        <w:tc>
          <w:tcPr>
            <w:tcW w:w="114" w:type="dxa"/>
            <w:tcBorders/>
            <w:shd w:fill="FFFFFF" w:val="clear"/>
            <w:vAlign w:val="center"/>
          </w:tcPr>
          <w:p>
            <w:pPr>
              <w:pStyle w:val="TableContents"/>
              <w:bidi w:val="0"/>
              <w:spacing w:before="0" w:after="283"/>
              <w:jc w:val="left"/>
              <w:rPr/>
            </w:pPr>
            <w:r>
              <w:rPr/>
              <w:t> </w:t>
            </w:r>
            <w:bookmarkStart w:id="76" w:name="xdx_40B_eus-gaap--OtherAssetsCurrent_i02"/>
            <w:bookmarkEnd w:id="76"/>
          </w:p>
        </w:tc>
      </w:tr>
      <w:tr>
        <w:trPr/>
        <w:tc>
          <w:tcPr>
            <w:tcW w:w="7424" w:type="dxa"/>
            <w:tcBorders/>
            <w:shd w:fill="CCEEFF" w:val="clear"/>
            <w:vAlign w:val="center"/>
          </w:tcPr>
          <w:p>
            <w:pPr>
              <w:pStyle w:val="TableContents"/>
              <w:bidi w:val="0"/>
              <w:spacing w:before="0" w:after="283"/>
              <w:jc w:val="left"/>
              <w:rPr/>
            </w:pPr>
            <w:r>
              <w:rPr/>
              <w:t>Insurance recovery receivable related to legal settlement and legal expenses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16C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1,335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77" w:name="xdx_40B_eus-gaap--PrepaidExpenseAndOther"/>
            <w:bookmarkEnd w:id="77"/>
          </w:p>
        </w:tc>
      </w:tr>
      <w:tr>
        <w:trPr/>
        <w:tc>
          <w:tcPr>
            <w:tcW w:w="7424"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FFFFFF" w:val="clear"/>
            <w:tcMar>
              <w:bottom w:w="28" w:type="dxa"/>
            </w:tcMar>
            <w:vAlign w:val="center"/>
          </w:tcPr>
          <w:p>
            <w:pPr>
              <w:pStyle w:val="TableContents"/>
              <w:bidi w:val="0"/>
              <w:spacing w:before="0" w:after="283"/>
              <w:jc w:val="right"/>
              <w:rPr/>
            </w:pPr>
            <w:r>
              <w:rPr/>
              <w:t>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FFFFFF" w:val="clear"/>
            <w:tcMar>
              <w:bottom w:w="28" w:type="dxa"/>
            </w:tcMar>
            <w:vAlign w:val="center"/>
          </w:tcPr>
          <w:p>
            <w:pPr>
              <w:pStyle w:val="TableContents"/>
              <w:bidi w:val="0"/>
              <w:spacing w:before="0" w:after="283"/>
              <w:jc w:val="right"/>
              <w:rPr/>
            </w:pPr>
            <w:r>
              <w:rPr/>
              <w:t>532</w:t>
            </w:r>
          </w:p>
        </w:tc>
        <w:tc>
          <w:tcPr>
            <w:tcW w:w="114" w:type="dxa"/>
            <w:tcBorders/>
            <w:shd w:fill="FFFFFF" w:val="clear"/>
            <w:vAlign w:val="center"/>
          </w:tcPr>
          <w:p>
            <w:pPr>
              <w:pStyle w:val="TableContents"/>
              <w:bidi w:val="0"/>
              <w:spacing w:before="0" w:after="283"/>
              <w:jc w:val="left"/>
              <w:rPr/>
            </w:pPr>
            <w:r>
              <w:rPr/>
              <w:t> </w:t>
            </w:r>
            <w:bookmarkStart w:id="78" w:name="xdx_40C_eus-gaap--AssetsCurrent_i02TI_mt"/>
            <w:bookmarkEnd w:id="78"/>
          </w:p>
        </w:tc>
      </w:tr>
      <w:tr>
        <w:trPr/>
        <w:tc>
          <w:tcPr>
            <w:tcW w:w="7424"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7,921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8,814</w:t>
            </w:r>
          </w:p>
        </w:tc>
        <w:tc>
          <w:tcPr>
            <w:tcW w:w="114" w:type="dxa"/>
            <w:tcBorders/>
            <w:shd w:fill="CCEEFF" w:val="clear"/>
            <w:vAlign w:val="center"/>
          </w:tcPr>
          <w:p>
            <w:pPr>
              <w:pStyle w:val="TableContents"/>
              <w:bidi w:val="0"/>
              <w:spacing w:before="0" w:after="283"/>
              <w:jc w:val="left"/>
              <w:rPr/>
            </w:pPr>
            <w:r>
              <w:rPr/>
              <w:t> </w:t>
            </w:r>
          </w:p>
        </w:tc>
      </w:tr>
      <w:tr>
        <w:trPr/>
        <w:tc>
          <w:tcPr>
            <w:tcW w:w="74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79" w:name="xdx_401_eus-gaap--PropertyPlantAndEquipm"/>
            <w:bookmarkEnd w:id="79"/>
          </w:p>
        </w:tc>
      </w:tr>
      <w:tr>
        <w:trPr/>
        <w:tc>
          <w:tcPr>
            <w:tcW w:w="7424"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146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221</w:t>
            </w:r>
          </w:p>
        </w:tc>
        <w:tc>
          <w:tcPr>
            <w:tcW w:w="114" w:type="dxa"/>
            <w:tcBorders/>
            <w:shd w:fill="CCEEFF" w:val="clear"/>
            <w:vAlign w:val="center"/>
          </w:tcPr>
          <w:p>
            <w:pPr>
              <w:pStyle w:val="TableContents"/>
              <w:bidi w:val="0"/>
              <w:spacing w:before="0" w:after="283"/>
              <w:jc w:val="left"/>
              <w:rPr/>
            </w:pPr>
            <w:r>
              <w:rPr/>
              <w:t> </w:t>
            </w:r>
            <w:bookmarkStart w:id="80" w:name="xdx_40A_eus-gaap--OperatingLeaseRightOfU"/>
            <w:bookmarkEnd w:id="80"/>
          </w:p>
        </w:tc>
      </w:tr>
      <w:tr>
        <w:trPr/>
        <w:tc>
          <w:tcPr>
            <w:tcW w:w="7424" w:type="dxa"/>
            <w:tcBorders/>
            <w:shd w:fill="FFFFFF" w:val="clear"/>
            <w:vAlign w:val="center"/>
          </w:tcPr>
          <w:p>
            <w:pPr>
              <w:pStyle w:val="TableContents"/>
              <w:bidi w:val="0"/>
              <w:spacing w:before="0" w:after="283"/>
              <w:jc w:val="left"/>
              <w:rPr/>
            </w:pPr>
            <w:r>
              <w:rPr/>
              <w:t>Operating right-of-use assets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FFFFFF" w:val="clear"/>
            <w:tcMar>
              <w:bottom w:w="28" w:type="dxa"/>
            </w:tcMar>
            <w:vAlign w:val="center"/>
          </w:tcPr>
          <w:p>
            <w:pPr>
              <w:pStyle w:val="TableContents"/>
              <w:bidi w:val="0"/>
              <w:spacing w:before="0" w:after="283"/>
              <w:jc w:val="right"/>
              <w:rPr/>
            </w:pPr>
            <w:r>
              <w:rPr/>
              <w:t>260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FFFFFF" w:val="clear"/>
            <w:tcMar>
              <w:bottom w:w="28" w:type="dxa"/>
            </w:tcMar>
            <w:vAlign w:val="center"/>
          </w:tcPr>
          <w:p>
            <w:pPr>
              <w:pStyle w:val="TableContents"/>
              <w:bidi w:val="0"/>
              <w:spacing w:before="0" w:after="283"/>
              <w:jc w:val="right"/>
              <w:rPr/>
            </w:pPr>
            <w:r>
              <w:rPr/>
              <w:t>502</w:t>
            </w:r>
          </w:p>
        </w:tc>
        <w:tc>
          <w:tcPr>
            <w:tcW w:w="114" w:type="dxa"/>
            <w:tcBorders/>
            <w:shd w:fill="FFFFFF" w:val="clear"/>
            <w:vAlign w:val="center"/>
          </w:tcPr>
          <w:p>
            <w:pPr>
              <w:pStyle w:val="TableContents"/>
              <w:bidi w:val="0"/>
              <w:spacing w:before="0" w:after="283"/>
              <w:jc w:val="left"/>
              <w:rPr/>
            </w:pPr>
            <w:r>
              <w:rPr/>
              <w:t> </w:t>
            </w:r>
            <w:bookmarkStart w:id="81" w:name="xdx_409_eus-gaap--Assets_i01TI_mtAzPly_z"/>
            <w:bookmarkEnd w:id="81"/>
          </w:p>
        </w:tc>
      </w:tr>
      <w:tr>
        <w:trPr/>
        <w:tc>
          <w:tcPr>
            <w:tcW w:w="7424"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61" w:type="dxa"/>
            <w:tcBorders>
              <w:bottom w:val="double" w:sz="6" w:space="0" w:color="000000"/>
            </w:tcBorders>
            <w:shd w:fill="CCEEFF" w:val="clear"/>
            <w:tcMar>
              <w:bottom w:w="28" w:type="dxa"/>
            </w:tcMar>
            <w:vAlign w:val="center"/>
          </w:tcPr>
          <w:p>
            <w:pPr>
              <w:pStyle w:val="TableContents"/>
              <w:bidi w:val="0"/>
              <w:spacing w:before="0" w:after="283"/>
              <w:jc w:val="right"/>
              <w:rPr/>
            </w:pPr>
            <w:r>
              <w:rPr/>
              <w:t>8,327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61" w:type="dxa"/>
            <w:tcBorders>
              <w:bottom w:val="double" w:sz="6" w:space="0" w:color="000000"/>
            </w:tcBorders>
            <w:shd w:fill="CCEEFF" w:val="clear"/>
            <w:tcMar>
              <w:bottom w:w="28" w:type="dxa"/>
            </w:tcMar>
            <w:vAlign w:val="center"/>
          </w:tcPr>
          <w:p>
            <w:pPr>
              <w:pStyle w:val="TableContents"/>
              <w:bidi w:val="0"/>
              <w:spacing w:before="0" w:after="283"/>
              <w:jc w:val="right"/>
              <w:rPr/>
            </w:pPr>
            <w:r>
              <w:rPr/>
              <w:t>9,537</w:t>
            </w:r>
          </w:p>
        </w:tc>
        <w:tc>
          <w:tcPr>
            <w:tcW w:w="114" w:type="dxa"/>
            <w:tcBorders/>
            <w:shd w:fill="CCEEFF" w:val="clear"/>
            <w:vAlign w:val="center"/>
          </w:tcPr>
          <w:p>
            <w:pPr>
              <w:pStyle w:val="TableContents"/>
              <w:bidi w:val="0"/>
              <w:spacing w:before="0" w:after="283"/>
              <w:jc w:val="left"/>
              <w:rPr/>
            </w:pPr>
            <w:r>
              <w:rPr/>
              <w:t> </w:t>
            </w:r>
          </w:p>
        </w:tc>
      </w:tr>
      <w:tr>
        <w:trPr/>
        <w:tc>
          <w:tcPr>
            <w:tcW w:w="74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82" w:name="xdx_40C_eus-gaap--LiabilitiesAndStockhol"/>
            <w:bookmarkEnd w:id="82"/>
          </w:p>
        </w:tc>
      </w:tr>
      <w:tr>
        <w:trPr/>
        <w:tc>
          <w:tcPr>
            <w:tcW w:w="7424" w:type="dxa"/>
            <w:tcBorders/>
            <w:shd w:fill="CCEEFF" w:val="clear"/>
            <w:vAlign w:val="center"/>
          </w:tcPr>
          <w:p>
            <w:pPr>
              <w:pStyle w:val="TableContents"/>
              <w:bidi w:val="0"/>
              <w:spacing w:before="0" w:after="283"/>
              <w:jc w:val="left"/>
              <w:rPr/>
            </w:pPr>
            <w:r>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83" w:name="xdx_409_eus-gaap--LiabilitiesCurrentAbst"/>
            <w:bookmarkEnd w:id="83"/>
          </w:p>
        </w:tc>
      </w:tr>
      <w:tr>
        <w:trPr/>
        <w:tc>
          <w:tcPr>
            <w:tcW w:w="7424"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84" w:name="xdx_40D_eus-gaap--AccountsPayableTradeCu"/>
            <w:bookmarkEnd w:id="84"/>
          </w:p>
        </w:tc>
      </w:tr>
      <w:tr>
        <w:trPr/>
        <w:tc>
          <w:tcPr>
            <w:tcW w:w="7424" w:type="dxa"/>
            <w:tcBorders/>
            <w:shd w:fill="CCEEFF" w:val="clear"/>
            <w:vAlign w:val="center"/>
          </w:tcPr>
          <w:p>
            <w:pPr>
              <w:pStyle w:val="TableContents"/>
              <w:bidi w:val="0"/>
              <w:spacing w:before="0" w:after="283"/>
              <w:jc w:val="left"/>
              <w:rPr/>
            </w:pPr>
            <w:r>
              <w:rPr/>
              <w:t>Trade accounts payables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357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116</w:t>
            </w:r>
          </w:p>
        </w:tc>
        <w:tc>
          <w:tcPr>
            <w:tcW w:w="114" w:type="dxa"/>
            <w:tcBorders/>
            <w:shd w:fill="CCEEFF" w:val="clear"/>
            <w:vAlign w:val="center"/>
          </w:tcPr>
          <w:p>
            <w:pPr>
              <w:pStyle w:val="TableContents"/>
              <w:bidi w:val="0"/>
              <w:spacing w:before="0" w:after="283"/>
              <w:jc w:val="left"/>
              <w:rPr/>
            </w:pPr>
            <w:r>
              <w:rPr/>
              <w:t> </w:t>
            </w:r>
            <w:bookmarkStart w:id="85" w:name="xdx_401_eus-gaap--OperatingLeaseLiabilit"/>
            <w:bookmarkEnd w:id="85"/>
          </w:p>
        </w:tc>
      </w:tr>
      <w:tr>
        <w:trPr/>
        <w:tc>
          <w:tcPr>
            <w:tcW w:w="7424"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191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283</w:t>
            </w:r>
          </w:p>
        </w:tc>
        <w:tc>
          <w:tcPr>
            <w:tcW w:w="114" w:type="dxa"/>
            <w:tcBorders/>
            <w:shd w:fill="FFFFFF" w:val="clear"/>
            <w:vAlign w:val="center"/>
          </w:tcPr>
          <w:p>
            <w:pPr>
              <w:pStyle w:val="TableContents"/>
              <w:bidi w:val="0"/>
              <w:spacing w:before="0" w:after="283"/>
              <w:jc w:val="left"/>
              <w:rPr/>
            </w:pPr>
            <w:r>
              <w:rPr/>
              <w:t> </w:t>
            </w:r>
            <w:bookmarkStart w:id="86" w:name="xdx_404_eus-gaap--LitigationReserveCurre"/>
            <w:bookmarkEnd w:id="86"/>
          </w:p>
        </w:tc>
      </w:tr>
      <w:tr>
        <w:trPr/>
        <w:tc>
          <w:tcPr>
            <w:tcW w:w="7424" w:type="dxa"/>
            <w:tcBorders/>
            <w:shd w:fill="CCEEFF" w:val="clear"/>
            <w:vAlign w:val="center"/>
          </w:tcPr>
          <w:p>
            <w:pPr>
              <w:pStyle w:val="TableContents"/>
              <w:bidi w:val="0"/>
              <w:spacing w:before="0" w:after="283"/>
              <w:jc w:val="left"/>
              <w:rPr/>
            </w:pPr>
            <w:r>
              <w:rPr/>
              <w:t>Legal settlement accrual</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16C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2,211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87" w:name="xdx_40C_eus-gaap--AccruedLiabilitiesCurr"/>
            <w:bookmarkEnd w:id="87"/>
          </w:p>
        </w:tc>
      </w:tr>
      <w:tr>
        <w:trPr/>
        <w:tc>
          <w:tcPr>
            <w:tcW w:w="7424" w:type="dxa"/>
            <w:tcBorders/>
            <w:shd w:fill="FFFFFF" w:val="clear"/>
            <w:vAlign w:val="center"/>
          </w:tcPr>
          <w:p>
            <w:pPr>
              <w:pStyle w:val="TableContents"/>
              <w:bidi w:val="0"/>
              <w:spacing w:before="0" w:after="283"/>
              <w:jc w:val="left"/>
              <w:rPr/>
            </w:pPr>
            <w:r>
              <w:rPr/>
              <w:t>Accrued liabilities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8</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FFFFFF" w:val="clear"/>
            <w:tcMar>
              <w:bottom w:w="28" w:type="dxa"/>
            </w:tcMar>
            <w:vAlign w:val="center"/>
          </w:tcPr>
          <w:p>
            <w:pPr>
              <w:pStyle w:val="TableContents"/>
              <w:bidi w:val="0"/>
              <w:spacing w:before="0" w:after="283"/>
              <w:jc w:val="right"/>
              <w:rPr/>
            </w:pPr>
            <w:r>
              <w:rPr/>
              <w:t>1,027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FFFFFF" w:val="clear"/>
            <w:tcMar>
              <w:bottom w:w="28" w:type="dxa"/>
            </w:tcMar>
            <w:vAlign w:val="center"/>
          </w:tcPr>
          <w:p>
            <w:pPr>
              <w:pStyle w:val="TableContents"/>
              <w:bidi w:val="0"/>
              <w:spacing w:before="0" w:after="283"/>
              <w:jc w:val="right"/>
              <w:rPr/>
            </w:pPr>
            <w:r>
              <w:rPr/>
              <w:t>1,670</w:t>
            </w:r>
          </w:p>
        </w:tc>
        <w:tc>
          <w:tcPr>
            <w:tcW w:w="114" w:type="dxa"/>
            <w:tcBorders/>
            <w:shd w:fill="FFFFFF" w:val="clear"/>
            <w:vAlign w:val="center"/>
          </w:tcPr>
          <w:p>
            <w:pPr>
              <w:pStyle w:val="TableContents"/>
              <w:bidi w:val="0"/>
              <w:spacing w:before="0" w:after="283"/>
              <w:jc w:val="left"/>
              <w:rPr/>
            </w:pPr>
            <w:r>
              <w:rPr/>
              <w:t> </w:t>
            </w:r>
            <w:bookmarkStart w:id="88" w:name="xdx_401_eus-gaap--LiabilitiesCurrent_i02"/>
            <w:bookmarkEnd w:id="88"/>
          </w:p>
        </w:tc>
      </w:tr>
      <w:tr>
        <w:trPr/>
        <w:tc>
          <w:tcPr>
            <w:tcW w:w="7424"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3,786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2,069</w:t>
            </w:r>
          </w:p>
        </w:tc>
        <w:tc>
          <w:tcPr>
            <w:tcW w:w="114" w:type="dxa"/>
            <w:tcBorders/>
            <w:shd w:fill="CCEEFF" w:val="clear"/>
            <w:vAlign w:val="center"/>
          </w:tcPr>
          <w:p>
            <w:pPr>
              <w:pStyle w:val="TableContents"/>
              <w:bidi w:val="0"/>
              <w:spacing w:before="0" w:after="283"/>
              <w:jc w:val="left"/>
              <w:rPr/>
            </w:pPr>
            <w:r>
              <w:rPr/>
              <w:t> </w:t>
            </w:r>
          </w:p>
        </w:tc>
      </w:tr>
      <w:tr>
        <w:trPr/>
        <w:tc>
          <w:tcPr>
            <w:tcW w:w="74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89" w:name="xdx_405_eus-gaap--LiabilitiesNoncurrentA"/>
            <w:bookmarkEnd w:id="89"/>
          </w:p>
        </w:tc>
      </w:tr>
      <w:tr>
        <w:trPr/>
        <w:tc>
          <w:tcPr>
            <w:tcW w:w="7424" w:type="dxa"/>
            <w:tcBorders/>
            <w:shd w:fill="CCEEFF" w:val="clear"/>
            <w:vAlign w:val="center"/>
          </w:tcPr>
          <w:p>
            <w:pPr>
              <w:pStyle w:val="TableContents"/>
              <w:bidi w:val="0"/>
              <w:spacing w:before="0" w:after="283"/>
              <w:jc w:val="left"/>
              <w:rPr/>
            </w:pPr>
            <w:r>
              <w:rPr/>
              <w:t>Non-current liabilities: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90" w:name="xdx_402_eus-gaap--OperatingLeaseLiabilit"/>
            <w:bookmarkEnd w:id="90"/>
          </w:p>
        </w:tc>
      </w:tr>
      <w:tr>
        <w:trPr/>
        <w:tc>
          <w:tcPr>
            <w:tcW w:w="7424" w:type="dxa"/>
            <w:tcBorders/>
            <w:shd w:fill="FFFFFF" w:val="clear"/>
            <w:vAlign w:val="center"/>
          </w:tcPr>
          <w:p>
            <w:pPr>
              <w:pStyle w:val="TableContents"/>
              <w:bidi w:val="0"/>
              <w:spacing w:before="0" w:after="283"/>
              <w:jc w:val="left"/>
              <w:rPr/>
            </w:pPr>
            <w:r>
              <w:rPr/>
              <w:t>Long-term lease liabilities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FFFFFF" w:val="clear"/>
            <w:tcMar>
              <w:bottom w:w="28" w:type="dxa"/>
            </w:tcMar>
            <w:vAlign w:val="center"/>
          </w:tcPr>
          <w:p>
            <w:pPr>
              <w:pStyle w:val="TableContents"/>
              <w:bidi w:val="0"/>
              <w:spacing w:before="0" w:after="283"/>
              <w:jc w:val="right"/>
              <w:rPr/>
            </w:pPr>
            <w:r>
              <w:rPr/>
              <w:t>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FFFFFF" w:val="clear"/>
            <w:tcMar>
              <w:bottom w:w="28" w:type="dxa"/>
            </w:tcMar>
            <w:vAlign w:val="center"/>
          </w:tcPr>
          <w:p>
            <w:pPr>
              <w:pStyle w:val="TableContents"/>
              <w:bidi w:val="0"/>
              <w:spacing w:before="0" w:after="283"/>
              <w:jc w:val="right"/>
              <w:rPr/>
            </w:pPr>
            <w:r>
              <w:rPr/>
              <w:t>179</w:t>
            </w:r>
          </w:p>
        </w:tc>
        <w:tc>
          <w:tcPr>
            <w:tcW w:w="114" w:type="dxa"/>
            <w:tcBorders/>
            <w:shd w:fill="FFFFFF" w:val="clear"/>
            <w:vAlign w:val="center"/>
          </w:tcPr>
          <w:p>
            <w:pPr>
              <w:pStyle w:val="TableContents"/>
              <w:bidi w:val="0"/>
              <w:spacing w:before="0" w:after="283"/>
              <w:jc w:val="left"/>
              <w:rPr/>
            </w:pPr>
            <w:r>
              <w:rPr/>
              <w:t> </w:t>
            </w:r>
            <w:bookmarkStart w:id="91" w:name="xdx_40E_eus-gaap--Liabilities_i01TI_mtCz"/>
            <w:bookmarkEnd w:id="91"/>
          </w:p>
        </w:tc>
      </w:tr>
      <w:tr>
        <w:trPr/>
        <w:tc>
          <w:tcPr>
            <w:tcW w:w="7424"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center"/>
          </w:tcPr>
          <w:p>
            <w:pPr>
              <w:pStyle w:val="TableContents"/>
              <w:bidi w:val="0"/>
              <w:spacing w:before="0" w:after="283"/>
              <w:jc w:val="right"/>
              <w:rPr/>
            </w:pPr>
            <w:r>
              <w:rPr/>
              <w:t>3,826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center"/>
          </w:tcPr>
          <w:p>
            <w:pPr>
              <w:pStyle w:val="TableContents"/>
              <w:bidi w:val="0"/>
              <w:spacing w:before="0" w:after="283"/>
              <w:jc w:val="right"/>
              <w:rPr/>
            </w:pPr>
            <w:r>
              <w:rPr/>
              <w:t>2,248</w:t>
            </w:r>
          </w:p>
        </w:tc>
        <w:tc>
          <w:tcPr>
            <w:tcW w:w="114" w:type="dxa"/>
            <w:tcBorders/>
            <w:shd w:fill="CCEEFF" w:val="clear"/>
            <w:vAlign w:val="center"/>
          </w:tcPr>
          <w:p>
            <w:pPr>
              <w:pStyle w:val="TableContents"/>
              <w:bidi w:val="0"/>
              <w:spacing w:before="0" w:after="283"/>
              <w:jc w:val="left"/>
              <w:rPr/>
            </w:pPr>
            <w:r>
              <w:rPr/>
              <w:t> </w:t>
            </w:r>
          </w:p>
        </w:tc>
      </w:tr>
      <w:tr>
        <w:trPr/>
        <w:tc>
          <w:tcPr>
            <w:tcW w:w="74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92" w:name="xdx_40A_eus-gaap--CommitmentsAndContinge"/>
            <w:bookmarkEnd w:id="92"/>
          </w:p>
        </w:tc>
      </w:tr>
      <w:tr>
        <w:trPr/>
        <w:tc>
          <w:tcPr>
            <w:tcW w:w="7424" w:type="dxa"/>
            <w:tcBorders/>
            <w:shd w:fill="CCEEFF" w:val="clear"/>
            <w:vAlign w:val="center"/>
          </w:tcPr>
          <w:p>
            <w:pPr>
              <w:pStyle w:val="TableContents"/>
              <w:bidi w:val="0"/>
              <w:spacing w:before="0" w:after="283"/>
              <w:jc w:val="left"/>
              <w:rPr/>
            </w:pPr>
            <w:r>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4" w:type="dxa"/>
            <w:tcBorders/>
            <w:shd w:fill="CCEEFF" w:val="clear"/>
            <w:vAlign w:val="center"/>
          </w:tcPr>
          <w:p>
            <w:pPr>
              <w:pStyle w:val="TableContents"/>
              <w:bidi w:val="0"/>
              <w:spacing w:before="0" w:after="283"/>
              <w:jc w:val="left"/>
              <w:rPr/>
            </w:pPr>
            <w:r>
              <w:rPr/>
              <w:t> </w:t>
            </w:r>
          </w:p>
        </w:tc>
      </w:tr>
      <w:tr>
        <w:trPr/>
        <w:tc>
          <w:tcPr>
            <w:tcW w:w="74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93" w:name="xdx_40B_eus-gaap--StockholdersEquityAbst"/>
            <w:bookmarkEnd w:id="93"/>
          </w:p>
        </w:tc>
      </w:tr>
      <w:tr>
        <w:trPr/>
        <w:tc>
          <w:tcPr>
            <w:tcW w:w="7424" w:type="dxa"/>
            <w:tcBorders/>
            <w:shd w:fill="CCEEFF" w:val="clear"/>
            <w:vAlign w:val="center"/>
          </w:tcPr>
          <w:p>
            <w:pPr>
              <w:pStyle w:val="TableContents"/>
              <w:bidi w:val="0"/>
              <w:spacing w:before="0" w:after="283"/>
              <w:jc w:val="left"/>
              <w:rPr/>
            </w:pPr>
            <w:r>
              <w:rPr/>
              <w:t>Shareholders’ equity:</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4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94" w:name="xdx_405_eus-gaap--CommonStockValue_i02I_"/>
            <w:bookmarkEnd w:id="94"/>
          </w:p>
        </w:tc>
      </w:tr>
      <w:tr>
        <w:trPr/>
        <w:tc>
          <w:tcPr>
            <w:tcW w:w="7424" w:type="dxa"/>
            <w:tcBorders/>
            <w:shd w:fill="CCEEFF" w:val="clear"/>
            <w:vAlign w:val="center"/>
          </w:tcPr>
          <w:p>
            <w:pPr>
              <w:pStyle w:val="TableContents"/>
              <w:bidi w:val="0"/>
              <w:spacing w:before="0" w:after="283"/>
              <w:jc w:val="both"/>
              <w:rPr/>
            </w:pPr>
            <w:r>
              <w:rPr/>
              <w:t>Common stock; $</w:t>
            </w:r>
            <w:bookmarkStart w:id="95" w:name="xdx_900_eus-gaap--CommonStockParOrStated"/>
            <w:bookmarkStart w:id="96" w:name="xdx_901_eus-gaap--CommonStockParOrStated"/>
            <w:bookmarkEnd w:id="95"/>
            <w:bookmarkEnd w:id="96"/>
            <w:r>
              <w:rPr/>
              <w:t xml:space="preserve">0.01 par value; </w:t>
            </w:r>
            <w:bookmarkStart w:id="97" w:name="xdx_902_eus-gaap--CommonStockSharesAutho"/>
            <w:bookmarkStart w:id="98" w:name="xdx_908_eus-gaap--CommonStockSharesAutho"/>
            <w:bookmarkEnd w:id="97"/>
            <w:bookmarkEnd w:id="98"/>
            <w:r>
              <w:rPr/>
              <w:t xml:space="preserve">60,000,000 shares authorized as of December 31, 2023 and 2022; </w:t>
            </w:r>
            <w:bookmarkStart w:id="99" w:name="xdx_906_eus-gaap--CommonStockSharesOutst"/>
            <w:bookmarkStart w:id="100" w:name="xdx_90E_eus-gaap--CommonStockSharesIssue"/>
            <w:bookmarkEnd w:id="99"/>
            <w:bookmarkEnd w:id="100"/>
            <w:r>
              <w:rPr/>
              <w:t xml:space="preserve">11,707,317 and </w:t>
            </w:r>
            <w:bookmarkStart w:id="101" w:name="xdx_903_eus-gaap--CommonStockSharesOutst"/>
            <w:bookmarkStart w:id="102" w:name="xdx_906_eus-gaap--CommonStockSharesIssue"/>
            <w:bookmarkEnd w:id="101"/>
            <w:bookmarkEnd w:id="102"/>
            <w:r>
              <w:rPr/>
              <w:t>7,890,628 shares issued and outstanding as of December 31, 2023 and 2022, respectively.</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10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118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80</w:t>
            </w:r>
          </w:p>
        </w:tc>
        <w:tc>
          <w:tcPr>
            <w:tcW w:w="114" w:type="dxa"/>
            <w:tcBorders/>
            <w:shd w:fill="CCEEFF" w:val="clear"/>
            <w:vAlign w:val="center"/>
          </w:tcPr>
          <w:p>
            <w:pPr>
              <w:pStyle w:val="TableContents"/>
              <w:bidi w:val="0"/>
              <w:spacing w:before="0" w:after="283"/>
              <w:jc w:val="left"/>
              <w:rPr/>
            </w:pPr>
            <w:r>
              <w:rPr/>
              <w:t> </w:t>
            </w:r>
            <w:bookmarkStart w:id="103" w:name="xdx_40B_eus-gaap--AdditionalPaidInCapita"/>
            <w:bookmarkEnd w:id="103"/>
          </w:p>
        </w:tc>
      </w:tr>
      <w:tr>
        <w:trPr/>
        <w:tc>
          <w:tcPr>
            <w:tcW w:w="7424"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83,884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75,970</w:t>
            </w:r>
          </w:p>
        </w:tc>
        <w:tc>
          <w:tcPr>
            <w:tcW w:w="114" w:type="dxa"/>
            <w:tcBorders/>
            <w:shd w:fill="FFFFFF" w:val="clear"/>
            <w:vAlign w:val="center"/>
          </w:tcPr>
          <w:p>
            <w:pPr>
              <w:pStyle w:val="TableContents"/>
              <w:bidi w:val="0"/>
              <w:spacing w:before="0" w:after="283"/>
              <w:jc w:val="left"/>
              <w:rPr/>
            </w:pPr>
            <w:r>
              <w:rPr/>
              <w:t> </w:t>
            </w:r>
            <w:bookmarkStart w:id="104" w:name="xdx_40F_eus-gaap--RetainedEarningsAccumu"/>
            <w:bookmarkEnd w:id="104"/>
          </w:p>
        </w:tc>
      </w:tr>
      <w:tr>
        <w:trPr/>
        <w:tc>
          <w:tcPr>
            <w:tcW w:w="7424"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center"/>
          </w:tcPr>
          <w:p>
            <w:pPr>
              <w:pStyle w:val="TableContents"/>
              <w:bidi w:val="0"/>
              <w:spacing w:before="0" w:after="283"/>
              <w:jc w:val="right"/>
              <w:rPr/>
            </w:pPr>
            <w:r>
              <w:rPr/>
              <w:t>(79,501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center"/>
          </w:tcPr>
          <w:p>
            <w:pPr>
              <w:pStyle w:val="TableContents"/>
              <w:bidi w:val="0"/>
              <w:spacing w:before="0" w:after="283"/>
              <w:jc w:val="right"/>
              <w:rPr/>
            </w:pPr>
            <w:r>
              <w:rPr/>
              <w:t>(68,761</w:t>
            </w:r>
          </w:p>
        </w:tc>
        <w:tc>
          <w:tcPr>
            <w:tcW w:w="114" w:type="dxa"/>
            <w:tcBorders/>
            <w:shd w:fill="CCEEFF" w:val="clear"/>
            <w:vAlign w:val="center"/>
          </w:tcPr>
          <w:p>
            <w:pPr>
              <w:pStyle w:val="TableContents"/>
              <w:bidi w:val="0"/>
              <w:spacing w:before="0" w:after="283"/>
              <w:jc w:val="left"/>
              <w:rPr/>
            </w:pPr>
            <w:r>
              <w:rPr/>
              <w:t>)</w:t>
            </w:r>
            <w:bookmarkStart w:id="105" w:name="xdx_404_eus-gaap--StockholdersEquity_i02"/>
            <w:bookmarkEnd w:id="105"/>
          </w:p>
        </w:tc>
      </w:tr>
      <w:tr>
        <w:trPr/>
        <w:tc>
          <w:tcPr>
            <w:tcW w:w="7424" w:type="dxa"/>
            <w:tcBorders/>
            <w:shd w:fill="FFFFFF" w:val="clear"/>
            <w:vAlign w:val="center"/>
          </w:tcPr>
          <w:p>
            <w:pPr>
              <w:pStyle w:val="TableContents"/>
              <w:bidi w:val="0"/>
              <w:spacing w:before="0" w:after="283"/>
              <w:jc w:val="left"/>
              <w:rPr/>
            </w:pPr>
            <w:r>
              <w:rPr/>
              <w:t>Total shareholders’ equity</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FFFFFF" w:val="clear"/>
            <w:tcMar>
              <w:bottom w:w="28" w:type="dxa"/>
            </w:tcMar>
            <w:vAlign w:val="center"/>
          </w:tcPr>
          <w:p>
            <w:pPr>
              <w:pStyle w:val="TableContents"/>
              <w:bidi w:val="0"/>
              <w:spacing w:before="0" w:after="283"/>
              <w:jc w:val="right"/>
              <w:rPr/>
            </w:pPr>
            <w:r>
              <w:rPr/>
              <w:t>4,501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FFFFFF" w:val="clear"/>
            <w:tcMar>
              <w:bottom w:w="28" w:type="dxa"/>
            </w:tcMar>
            <w:vAlign w:val="center"/>
          </w:tcPr>
          <w:p>
            <w:pPr>
              <w:pStyle w:val="TableContents"/>
              <w:bidi w:val="0"/>
              <w:spacing w:before="0" w:after="283"/>
              <w:jc w:val="right"/>
              <w:rPr/>
            </w:pPr>
            <w:r>
              <w:rPr/>
              <w:t>7,289</w:t>
            </w:r>
          </w:p>
        </w:tc>
        <w:tc>
          <w:tcPr>
            <w:tcW w:w="114" w:type="dxa"/>
            <w:tcBorders/>
            <w:shd w:fill="FFFFFF" w:val="clear"/>
            <w:vAlign w:val="center"/>
          </w:tcPr>
          <w:p>
            <w:pPr>
              <w:pStyle w:val="TableContents"/>
              <w:bidi w:val="0"/>
              <w:spacing w:before="0" w:after="283"/>
              <w:jc w:val="left"/>
              <w:rPr/>
            </w:pPr>
            <w:r>
              <w:rPr/>
              <w:t> </w:t>
            </w:r>
            <w:bookmarkStart w:id="106" w:name="xdx_405_eus-gaap--LiabilitiesAndStockhol"/>
            <w:bookmarkEnd w:id="106"/>
          </w:p>
        </w:tc>
      </w:tr>
      <w:tr>
        <w:trPr/>
        <w:tc>
          <w:tcPr>
            <w:tcW w:w="7424" w:type="dxa"/>
            <w:tcBorders/>
            <w:shd w:fill="CCEEFF" w:val="clear"/>
            <w:vAlign w:val="center"/>
          </w:tcPr>
          <w:p>
            <w:pPr>
              <w:pStyle w:val="TableContents"/>
              <w:bidi w:val="0"/>
              <w:spacing w:before="0" w:after="283"/>
              <w:jc w:val="left"/>
              <w:rPr/>
            </w:pPr>
            <w:r>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61" w:type="dxa"/>
            <w:tcBorders>
              <w:bottom w:val="double" w:sz="6" w:space="0" w:color="000000"/>
            </w:tcBorders>
            <w:shd w:fill="CCEEFF" w:val="clear"/>
            <w:tcMar>
              <w:bottom w:w="28" w:type="dxa"/>
            </w:tcMar>
            <w:vAlign w:val="center"/>
          </w:tcPr>
          <w:p>
            <w:pPr>
              <w:pStyle w:val="TableContents"/>
              <w:bidi w:val="0"/>
              <w:spacing w:before="0" w:after="283"/>
              <w:jc w:val="right"/>
              <w:rPr/>
            </w:pPr>
            <w:r>
              <w:rPr/>
              <w:t>8,327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61" w:type="dxa"/>
            <w:tcBorders>
              <w:bottom w:val="double" w:sz="6" w:space="0" w:color="000000"/>
            </w:tcBorders>
            <w:shd w:fill="CCEEFF" w:val="clear"/>
            <w:tcMar>
              <w:bottom w:w="28" w:type="dxa"/>
            </w:tcMar>
            <w:vAlign w:val="center"/>
          </w:tcPr>
          <w:p>
            <w:pPr>
              <w:pStyle w:val="TableContents"/>
              <w:bidi w:val="0"/>
              <w:spacing w:before="0" w:after="283"/>
              <w:jc w:val="right"/>
              <w:rPr/>
            </w:pPr>
            <w:r>
              <w:rPr/>
              <w:t>9,537</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07" w:name="ku_003"/>
      <w:bookmarkEnd w:id="107"/>
      <w:r>
        <w:rPr>
          <w:rFonts w:ascii="Times New Roman;Times;Serif" w:hAnsi="Times New Roman;Times;Serif"/>
          <w:b/>
          <w:i w:val="false"/>
          <w:caps w:val="false"/>
          <w:smallCaps w:val="false"/>
          <w:sz w:val="20"/>
          <w:u w:val="single"/>
        </w:rPr>
        <w:t>Consolidated Statements of Comprehensive Loss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8" w:name="xdx_30D_113_pn3n3_zGOO0wj9Rmki"/>
      <w:bookmarkStart w:id="109" w:name="xdx_30D_113_pn3n3_zGOO0wj9Rmki"/>
      <w:bookmarkEnd w:id="109"/>
    </w:p>
    <w:tbl>
      <w:tblPr>
        <w:tblW w:w="9415" w:type="dxa"/>
        <w:jc w:val="left"/>
        <w:tblInd w:w="0" w:type="dxa"/>
        <w:tblLayout w:type="fixed"/>
        <w:tblCellMar>
          <w:top w:w="0" w:type="dxa"/>
          <w:left w:w="0" w:type="dxa"/>
          <w:bottom w:w="0" w:type="dxa"/>
          <w:right w:w="0" w:type="dxa"/>
        </w:tblCellMar>
      </w:tblPr>
      <w:tblGrid>
        <w:gridCol w:w="6080"/>
        <w:gridCol w:w="60"/>
        <w:gridCol w:w="590"/>
        <w:gridCol w:w="60"/>
        <w:gridCol w:w="140"/>
        <w:gridCol w:w="1100"/>
        <w:gridCol w:w="95"/>
        <w:gridCol w:w="60"/>
        <w:gridCol w:w="140"/>
        <w:gridCol w:w="980"/>
        <w:gridCol w:w="110"/>
      </w:tblGrid>
      <w:tr>
        <w:trPr/>
        <w:tc>
          <w:tcPr>
            <w:tcW w:w="6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10" w:name="xdx_492_20230101__20231231_znQdLRnO231l"/>
            <w:bookmarkEnd w:id="110"/>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11" w:name="xdx_49C_20220101__20221231_zuDsdTtOdbr4"/>
            <w:bookmarkEnd w:id="111"/>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251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110" w:type="dxa"/>
            <w:tcBorders/>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bookmarkStart w:id="112" w:name="xdx_404_eus-gaap--ResearchAndDevelopment"/>
            <w:bookmarkEnd w:id="112"/>
          </w:p>
        </w:tc>
      </w:tr>
      <w:tr>
        <w:trPr/>
        <w:tc>
          <w:tcPr>
            <w:tcW w:w="6080" w:type="dxa"/>
            <w:tcBorders/>
            <w:shd w:fill="CCEEFF" w:val="clear"/>
            <w:vAlign w:val="center"/>
          </w:tcPr>
          <w:p>
            <w:pPr>
              <w:pStyle w:val="TableContents"/>
              <w:bidi w:val="0"/>
              <w:spacing w:before="0" w:after="283"/>
              <w:jc w:val="left"/>
              <w:rPr/>
            </w:pPr>
            <w:r>
              <w:rPr/>
              <w:t>Research and development, net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12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(5,724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(7,736</w:t>
            </w:r>
          </w:p>
        </w:tc>
        <w:tc>
          <w:tcPr>
            <w:tcW w:w="110" w:type="dxa"/>
            <w:tcBorders/>
            <w:shd w:fill="CCEEFF" w:val="clear"/>
            <w:vAlign w:val="center"/>
          </w:tcPr>
          <w:p>
            <w:pPr>
              <w:pStyle w:val="TableContents"/>
              <w:bidi w:val="0"/>
              <w:spacing w:before="0" w:after="283"/>
              <w:jc w:val="left"/>
              <w:rPr/>
            </w:pPr>
            <w:r>
              <w:rPr/>
              <w:t>)</w:t>
            </w:r>
            <w:bookmarkStart w:id="113" w:name="xdx_401_eus-gaap--GeneralAndAdministrati"/>
            <w:bookmarkEnd w:id="113"/>
          </w:p>
        </w:tc>
      </w:tr>
      <w:tr>
        <w:trPr/>
        <w:tc>
          <w:tcPr>
            <w:tcW w:w="6080" w:type="dxa"/>
            <w:tcBorders/>
            <w:shd w:fill="FFFFFF" w:val="clear"/>
            <w:vAlign w:val="center"/>
          </w:tcPr>
          <w:p>
            <w:pPr>
              <w:pStyle w:val="TableContents"/>
              <w:bidi w:val="0"/>
              <w:spacing w:before="0" w:after="283"/>
              <w:jc w:val="left"/>
              <w:rPr/>
            </w:pPr>
            <w:r>
              <w:rPr/>
              <w:t>General and administrative, net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13</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(4,131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(5,545</w:t>
            </w:r>
          </w:p>
        </w:tc>
        <w:tc>
          <w:tcPr>
            <w:tcW w:w="110" w:type="dxa"/>
            <w:tcBorders/>
            <w:shd w:fill="FFFFFF" w:val="clear"/>
            <w:vAlign w:val="center"/>
          </w:tcPr>
          <w:p>
            <w:pPr>
              <w:pStyle w:val="TableContents"/>
              <w:bidi w:val="0"/>
              <w:spacing w:before="0" w:after="283"/>
              <w:jc w:val="left"/>
              <w:rPr/>
            </w:pPr>
            <w:r>
              <w:rPr/>
              <w:t>)</w:t>
            </w:r>
            <w:bookmarkStart w:id="114" w:name="xdx_408_eus-gaap--OperatingIncomeLoss_iT"/>
            <w:bookmarkEnd w:id="114"/>
          </w:p>
        </w:tc>
      </w:tr>
      <w:tr>
        <w:trPr/>
        <w:tc>
          <w:tcPr>
            <w:tcW w:w="6080"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(9,855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(13,281</w:t>
            </w:r>
          </w:p>
        </w:tc>
        <w:tc>
          <w:tcPr>
            <w:tcW w:w="110" w:type="dxa"/>
            <w:tcBorders/>
            <w:shd w:fill="CCEEFF" w:val="clear"/>
            <w:vAlign w:val="center"/>
          </w:tcPr>
          <w:p>
            <w:pPr>
              <w:pStyle w:val="TableContents"/>
              <w:bidi w:val="0"/>
              <w:spacing w:before="0" w:after="283"/>
              <w:jc w:val="left"/>
              <w:rPr/>
            </w:pPr>
            <w:r>
              <w:rPr/>
              <w:t>)</w:t>
            </w:r>
          </w:p>
        </w:tc>
      </w:tr>
      <w:tr>
        <w:trPr/>
        <w:tc>
          <w:tcPr>
            <w:tcW w:w="6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5" w:name="xdx_408_eus-gaap--InterestIncomeExpenseN"/>
            <w:bookmarkEnd w:id="115"/>
          </w:p>
        </w:tc>
      </w:tr>
      <w:tr>
        <w:trPr/>
        <w:tc>
          <w:tcPr>
            <w:tcW w:w="6080" w:type="dxa"/>
            <w:tcBorders/>
            <w:shd w:fill="CCEEFF" w:val="clear"/>
            <w:vAlign w:val="center"/>
          </w:tcPr>
          <w:p>
            <w:pPr>
              <w:pStyle w:val="TableContents"/>
              <w:bidi w:val="0"/>
              <w:spacing w:before="0" w:after="283"/>
              <w:jc w:val="left"/>
              <w:rPr/>
            </w:pPr>
            <w:r>
              <w:rPr/>
              <w:t>Financing income, net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118</w:t>
            </w:r>
          </w:p>
        </w:tc>
        <w:tc>
          <w:tcPr>
            <w:tcW w:w="110" w:type="dxa"/>
            <w:tcBorders/>
            <w:shd w:fill="CCEEFF" w:val="clear"/>
            <w:vAlign w:val="center"/>
          </w:tcPr>
          <w:p>
            <w:pPr>
              <w:pStyle w:val="TableContents"/>
              <w:bidi w:val="0"/>
              <w:spacing w:before="0" w:after="283"/>
              <w:jc w:val="left"/>
              <w:rPr/>
            </w:pPr>
            <w:r>
              <w:rPr/>
              <w:t> </w:t>
            </w:r>
            <w:bookmarkStart w:id="116" w:name="xdx_401_eus-gaap--GainLossOnSaleOfProper"/>
            <w:bookmarkEnd w:id="116"/>
          </w:p>
        </w:tc>
      </w:tr>
      <w:tr>
        <w:trPr/>
        <w:tc>
          <w:tcPr>
            <w:tcW w:w="6080" w:type="dxa"/>
            <w:tcBorders/>
            <w:shd w:fill="FFFFFF" w:val="clear"/>
            <w:vAlign w:val="center"/>
          </w:tcPr>
          <w:p>
            <w:pPr>
              <w:pStyle w:val="TableContents"/>
              <w:bidi w:val="0"/>
              <w:spacing w:before="0" w:after="283"/>
              <w:jc w:val="left"/>
              <w:rPr/>
            </w:pPr>
            <w:r>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w:t>
            </w:r>
          </w:p>
        </w:tc>
        <w:tc>
          <w:tcPr>
            <w:tcW w:w="110" w:type="dxa"/>
            <w:tcBorders/>
            <w:shd w:fill="FFFFFF" w:val="clear"/>
            <w:vAlign w:val="center"/>
          </w:tcPr>
          <w:p>
            <w:pPr>
              <w:pStyle w:val="TableContents"/>
              <w:bidi w:val="0"/>
              <w:spacing w:before="0" w:after="283"/>
              <w:jc w:val="left"/>
              <w:rPr/>
            </w:pPr>
            <w:r>
              <w:rPr/>
              <w:t>)</w:t>
            </w:r>
            <w:bookmarkStart w:id="117" w:name="xdx_40E_eus-gaap--GainLossRelatedToLitig"/>
            <w:bookmarkEnd w:id="117"/>
          </w:p>
        </w:tc>
      </w:tr>
      <w:tr>
        <w:trPr/>
        <w:tc>
          <w:tcPr>
            <w:tcW w:w="6080" w:type="dxa"/>
            <w:tcBorders/>
            <w:shd w:fill="CCEEFF" w:val="clear"/>
            <w:vAlign w:val="center"/>
          </w:tcPr>
          <w:p>
            <w:pPr>
              <w:pStyle w:val="TableContents"/>
              <w:bidi w:val="0"/>
              <w:spacing w:before="0" w:after="283"/>
              <w:jc w:val="left"/>
              <w:rPr/>
            </w:pPr>
            <w:r>
              <w:rPr/>
              <w:t>Loss on legal settlement, net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16C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(1,111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18" w:name="xdx_406_eus-gaap--NetIncomeLoss_iT_mtNIL"/>
            <w:bookmarkEnd w:id="118"/>
          </w:p>
        </w:tc>
      </w:tr>
      <w:tr>
        <w:trPr/>
        <w:tc>
          <w:tcPr>
            <w:tcW w:w="608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(10,740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(13,168</w:t>
            </w:r>
          </w:p>
        </w:tc>
        <w:tc>
          <w:tcPr>
            <w:tcW w:w="110" w:type="dxa"/>
            <w:tcBorders/>
            <w:shd w:fill="FFFFFF" w:val="clear"/>
            <w:vAlign w:val="center"/>
          </w:tcPr>
          <w:p>
            <w:pPr>
              <w:pStyle w:val="TableContents"/>
              <w:bidi w:val="0"/>
              <w:spacing w:before="0" w:after="283"/>
              <w:jc w:val="left"/>
              <w:rPr/>
            </w:pPr>
            <w:r>
              <w:rPr/>
              <w:t>)</w:t>
            </w:r>
          </w:p>
        </w:tc>
      </w:tr>
      <w:tr>
        <w:trPr/>
        <w:tc>
          <w:tcPr>
            <w:tcW w:w="60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shd w:fill="FFFFFF" w:val="clear"/>
            <w:vAlign w:val="center"/>
          </w:tcPr>
          <w:p>
            <w:pPr>
              <w:pStyle w:val="TableContents"/>
              <w:bidi w:val="0"/>
              <w:spacing w:before="0" w:after="283"/>
              <w:jc w:val="left"/>
              <w:rPr/>
            </w:pPr>
            <w:r>
              <w:rPr/>
              <w:t>Basic and diluted net loss per share</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19" w:name="xdx_90E_eus-gaap--EarningsPerShareDilute"/>
            <w:bookmarkStart w:id="120" w:name="xdx_90E_eus-gaap--EarningsPerShareBasic_"/>
            <w:bookmarkEnd w:id="119"/>
            <w:bookmarkEnd w:id="120"/>
            <w:r>
              <w:rPr/>
              <w:t>(1.05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1" w:name="xdx_90A_eus-gaap--EarningsPerShareDilute"/>
            <w:bookmarkStart w:id="122" w:name="xdx_904_eus-gaap--EarningsPerShareBasic_"/>
            <w:bookmarkEnd w:id="121"/>
            <w:bookmarkEnd w:id="122"/>
            <w:r>
              <w:rPr/>
              <w:t>(1.81</w:t>
            </w:r>
          </w:p>
        </w:tc>
        <w:tc>
          <w:tcPr>
            <w:tcW w:w="110" w:type="dxa"/>
            <w:tcBorders/>
            <w:shd w:fill="FFFFFF" w:val="clear"/>
            <w:vAlign w:val="center"/>
          </w:tcPr>
          <w:p>
            <w:pPr>
              <w:pStyle w:val="TableContents"/>
              <w:bidi w:val="0"/>
              <w:spacing w:before="0" w:after="283"/>
              <w:jc w:val="left"/>
              <w:rPr/>
            </w:pPr>
            <w:r>
              <w:rPr/>
              <w:t>)</w:t>
            </w:r>
          </w:p>
        </w:tc>
      </w:tr>
      <w:tr>
        <w:trPr/>
        <w:tc>
          <w:tcPr>
            <w:tcW w:w="60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shd w:fill="FFFFFF" w:val="clear"/>
            <w:vAlign w:val="center"/>
          </w:tcPr>
          <w:p>
            <w:pPr>
              <w:pStyle w:val="TableContents"/>
              <w:bidi w:val="0"/>
              <w:spacing w:before="0" w:after="283"/>
              <w:jc w:val="left"/>
              <w:rPr/>
            </w:pPr>
            <w:r>
              <w:rPr/>
              <w:t>Basic and diluted 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3" w:name="xdx_90F_eus-gaap--WeightedAverageNumberO"/>
            <w:bookmarkStart w:id="124" w:name="xdx_900_eus-gaap--WeightedAverageNumberO"/>
            <w:bookmarkEnd w:id="123"/>
            <w:bookmarkEnd w:id="124"/>
            <w:r>
              <w:rPr/>
              <w:t>10,199,984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5" w:name="xdx_900_eus-gaap--WeightedAverageNumberO"/>
            <w:bookmarkStart w:id="126" w:name="xdx_904_eus-gaap--WeightedAverageNumberO"/>
            <w:bookmarkEnd w:id="125"/>
            <w:bookmarkEnd w:id="126"/>
            <w:r>
              <w:rPr/>
              <w:t>7,260,344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27" w:name="ku_004"/>
      <w:bookmarkEnd w:id="127"/>
      <w:r>
        <w:rPr>
          <w:rFonts w:ascii="Times New Roman;Times;Serif" w:hAnsi="Times New Roman;Times;Serif"/>
          <w:b/>
          <w:i w:val="false"/>
          <w:caps w:val="false"/>
          <w:smallCaps w:val="false"/>
          <w:sz w:val="20"/>
          <w:u w:val="single"/>
        </w:rPr>
        <w:t>Consolidated Statements of Shareholders’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8" w:name="xdx_306_114_pn3n3_zwnBQNlEaeH6"/>
      <w:bookmarkStart w:id="129" w:name="xdx_306_114_pn3n3_zwnBQNlEaeH6"/>
      <w:bookmarkEnd w:id="129"/>
    </w:p>
    <w:tbl>
      <w:tblPr>
        <w:tblW w:w="10205" w:type="dxa"/>
        <w:jc w:val="left"/>
        <w:tblInd w:w="0" w:type="dxa"/>
        <w:tblLayout w:type="fixed"/>
        <w:tblCellMar>
          <w:top w:w="0" w:type="dxa"/>
          <w:left w:w="0" w:type="dxa"/>
          <w:bottom w:w="0" w:type="dxa"/>
          <w:right w:w="0" w:type="dxa"/>
        </w:tblCellMar>
      </w:tblPr>
      <w:tblGrid>
        <w:gridCol w:w="3242"/>
        <w:gridCol w:w="60"/>
        <w:gridCol w:w="60"/>
        <w:gridCol w:w="1100"/>
        <w:gridCol w:w="60"/>
        <w:gridCol w:w="60"/>
        <w:gridCol w:w="231"/>
        <w:gridCol w:w="629"/>
        <w:gridCol w:w="60"/>
        <w:gridCol w:w="60"/>
        <w:gridCol w:w="245"/>
        <w:gridCol w:w="1197"/>
        <w:gridCol w:w="60"/>
        <w:gridCol w:w="60"/>
        <w:gridCol w:w="217"/>
        <w:gridCol w:w="1175"/>
        <w:gridCol w:w="95"/>
        <w:gridCol w:w="60"/>
        <w:gridCol w:w="177"/>
        <w:gridCol w:w="1244"/>
        <w:gridCol w:w="113"/>
      </w:tblGrid>
      <w:tr>
        <w:trPr/>
        <w:tc>
          <w:tcPr>
            <w:tcW w:w="32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0" w:name="xdx_4B8_us-gaap--StatementEquityComponen"/>
            <w:bookmarkEnd w:id="130"/>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1" w:name="xdx_4B7_us-gaap--StatementEquityComponen"/>
            <w:bookmarkEnd w:id="131"/>
          </w:p>
        </w:tc>
        <w:tc>
          <w:tcPr>
            <w:tcW w:w="1442"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2" w:name="xdx_4BA_us-gaap--StatementEquityComponen"/>
            <w:bookmarkEnd w:id="132"/>
          </w:p>
        </w:tc>
        <w:tc>
          <w:tcPr>
            <w:tcW w:w="1392"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3" w:name="xdx_4BD_zttujgwZDSU5"/>
            <w:bookmarkEnd w:id="133"/>
          </w:p>
        </w:tc>
        <w:tc>
          <w:tcPr>
            <w:tcW w:w="1421" w:type="dxa"/>
            <w:gridSpan w:val="2"/>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r>
      <w:tr>
        <w:trPr/>
        <w:tc>
          <w:tcPr>
            <w:tcW w:w="324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2" w:type="dxa"/>
            <w:gridSpan w:val="2"/>
            <w:tcBorders/>
            <w:vAlign w:val="center"/>
          </w:tcPr>
          <w:p>
            <w:pPr>
              <w:pStyle w:val="TableContents"/>
              <w:bidi w:val="0"/>
              <w:spacing w:before="0" w:after="283"/>
              <w:jc w:val="center"/>
              <w:rPr>
                <w:b/>
              </w:rPr>
            </w:pPr>
            <w:r>
              <w:rPr>
                <w:b/>
              </w:rPr>
              <w:t xml:space="preserve">Additional Paid-In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2" w:type="dxa"/>
            <w:gridSpan w:val="2"/>
            <w:tcBorders/>
            <w:vAlign w:val="center"/>
          </w:tcPr>
          <w:p>
            <w:pPr>
              <w:pStyle w:val="TableContents"/>
              <w:bidi w:val="0"/>
              <w:spacing w:before="0" w:after="283"/>
              <w:jc w:val="center"/>
              <w:rPr>
                <w:b/>
              </w:rPr>
            </w:pPr>
            <w:r>
              <w:rPr>
                <w:b/>
              </w:rPr>
              <w:t xml:space="preserve">Accumulated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1" w:type="dxa"/>
            <w:gridSpan w:val="2"/>
            <w:tcBorders/>
            <w:vAlign w:val="center"/>
          </w:tcPr>
          <w:p>
            <w:pPr>
              <w:pStyle w:val="TableContents"/>
              <w:bidi w:val="0"/>
              <w:spacing w:before="0" w:after="283"/>
              <w:jc w:val="center"/>
              <w:rPr>
                <w:b/>
              </w:rPr>
            </w:pPr>
            <w:r>
              <w:rPr>
                <w:b/>
              </w:rPr>
              <w:t>Total</w:t>
              <w:br/>
              <w:t xml:space="preserve">Shareholders’ </w:t>
            </w:r>
          </w:p>
        </w:tc>
        <w:tc>
          <w:tcPr>
            <w:tcW w:w="113" w:type="dxa"/>
            <w:tcBorders/>
            <w:vAlign w:val="center"/>
          </w:tcPr>
          <w:p>
            <w:pPr>
              <w:pStyle w:val="TableContents"/>
              <w:bidi w:val="0"/>
              <w:spacing w:before="0" w:after="283"/>
              <w:jc w:val="left"/>
              <w:rPr/>
            </w:pPr>
            <w:r>
              <w:rPr/>
              <w:t> </w:t>
            </w:r>
          </w:p>
        </w:tc>
      </w:tr>
      <w:tr>
        <w:trPr/>
        <w:tc>
          <w:tcPr>
            <w:tcW w:w="324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13" w:type="dxa"/>
            <w:tcBorders/>
            <w:vAlign w:val="center"/>
          </w:tcPr>
          <w:p>
            <w:pPr>
              <w:pStyle w:val="TableContents"/>
              <w:bidi w:val="0"/>
              <w:spacing w:before="0" w:after="283"/>
              <w:jc w:val="left"/>
              <w:rPr/>
            </w:pPr>
            <w:r>
              <w:rPr/>
              <w:t> </w:t>
            </w:r>
          </w:p>
        </w:tc>
      </w:tr>
      <w:tr>
        <w:trPr/>
        <w:tc>
          <w:tcPr>
            <w:tcW w:w="32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2"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2"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1" w:type="dxa"/>
            <w:gridSpan w:val="2"/>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bookmarkStart w:id="134" w:name="xdx_435_c20220101__20221231_eus-gaap--St"/>
            <w:bookmarkEnd w:id="134"/>
          </w:p>
        </w:tc>
      </w:tr>
      <w:tr>
        <w:trPr/>
        <w:tc>
          <w:tcPr>
            <w:tcW w:w="3242" w:type="dxa"/>
            <w:tcBorders/>
            <w:shd w:fill="CCEEFF" w:val="clear"/>
            <w:vAlign w:val="center"/>
          </w:tcPr>
          <w:p>
            <w:pPr>
              <w:pStyle w:val="TableContents"/>
              <w:bidi w:val="0"/>
              <w:spacing w:before="0" w:after="283"/>
              <w:jc w:val="left"/>
              <w:rPr/>
            </w:pPr>
            <w:r>
              <w:rPr/>
              <w:t>Balances,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5" w:name="xdx_985_eus-gaap--SharesOutstanding_iS_p"/>
            <w:bookmarkEnd w:id="135"/>
          </w:p>
        </w:tc>
        <w:tc>
          <w:tcPr>
            <w:tcW w:w="1100" w:type="dxa"/>
            <w:tcBorders/>
            <w:shd w:fill="CCEEFF" w:val="clear"/>
            <w:vAlign w:val="center"/>
          </w:tcPr>
          <w:p>
            <w:pPr>
              <w:pStyle w:val="TableContents"/>
              <w:bidi w:val="0"/>
              <w:spacing w:before="0" w:after="283"/>
              <w:jc w:val="right"/>
              <w:rPr/>
            </w:pPr>
            <w:r>
              <w:rPr/>
              <w:t>7,108,133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197" w:type="dxa"/>
            <w:tcBorders/>
            <w:shd w:fill="CCEEFF" w:val="clear"/>
            <w:vAlign w:val="center"/>
          </w:tcPr>
          <w:p>
            <w:pPr>
              <w:pStyle w:val="TableContents"/>
              <w:bidi w:val="0"/>
              <w:spacing w:before="0" w:after="283"/>
              <w:jc w:val="right"/>
              <w:rPr/>
            </w:pPr>
            <w:r>
              <w:rPr/>
              <w:t>69,902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(55,593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     </w:t>
            </w:r>
            <w:r>
              <w:rPr/>
              <w:t>14,381</w:t>
            </w:r>
          </w:p>
        </w:tc>
        <w:tc>
          <w:tcPr>
            <w:tcW w:w="113" w:type="dxa"/>
            <w:tcBorders/>
            <w:shd w:fill="CCEEFF" w:val="clear"/>
            <w:vAlign w:val="center"/>
          </w:tcPr>
          <w:p>
            <w:pPr>
              <w:pStyle w:val="TableContents"/>
              <w:bidi w:val="0"/>
              <w:spacing w:before="0" w:after="283"/>
              <w:jc w:val="left"/>
              <w:rPr/>
            </w:pPr>
            <w:r>
              <w:rPr/>
              <w:t> </w:t>
            </w:r>
            <w:bookmarkStart w:id="136" w:name="xdx_40D_eus-gaap--StockIssuedDuringPerio"/>
            <w:bookmarkEnd w:id="136"/>
          </w:p>
        </w:tc>
      </w:tr>
      <w:tr>
        <w:trPr/>
        <w:tc>
          <w:tcPr>
            <w:tcW w:w="3242" w:type="dxa"/>
            <w:tcBorders/>
            <w:shd w:fill="FFFFFF" w:val="clear"/>
            <w:vAlign w:val="center"/>
          </w:tcPr>
          <w:p>
            <w:pPr>
              <w:pStyle w:val="TableContents"/>
              <w:bidi w:val="0"/>
              <w:spacing w:before="0" w:after="283"/>
              <w:jc w:val="left"/>
              <w:rPr/>
            </w:pPr>
            <w:r>
              <w:rPr/>
              <w:t xml:space="preserve">Issuance of common stock and warrants net of issuance costs </w:t>
            </w:r>
            <w:bookmarkStart w:id="137" w:name="xdx_F41_zb35woyFnB7"/>
            <w:bookmarkEnd w:id="137"/>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8" w:name="xdx_980_eus-gaap--StockIssuedDuringPerio"/>
            <w:bookmarkEnd w:id="138"/>
          </w:p>
        </w:tc>
        <w:tc>
          <w:tcPr>
            <w:tcW w:w="1100" w:type="dxa"/>
            <w:tcBorders/>
            <w:shd w:fill="FFFFFF" w:val="clear"/>
            <w:vAlign w:val="center"/>
          </w:tcPr>
          <w:p>
            <w:pPr>
              <w:pStyle w:val="TableContents"/>
              <w:bidi w:val="0"/>
              <w:spacing w:before="0" w:after="283"/>
              <w:jc w:val="right"/>
              <w:rPr/>
            </w:pPr>
            <w:r>
              <w:rPr/>
              <w:t>782,495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4,316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4,324</w:t>
            </w:r>
          </w:p>
        </w:tc>
        <w:tc>
          <w:tcPr>
            <w:tcW w:w="113" w:type="dxa"/>
            <w:tcBorders/>
            <w:shd w:fill="FFFFFF" w:val="clear"/>
            <w:vAlign w:val="center"/>
          </w:tcPr>
          <w:p>
            <w:pPr>
              <w:pStyle w:val="TableContents"/>
              <w:bidi w:val="0"/>
              <w:spacing w:before="0" w:after="283"/>
              <w:jc w:val="left"/>
              <w:rPr/>
            </w:pPr>
            <w:r>
              <w:rPr/>
              <w:t> </w:t>
            </w:r>
            <w:bookmarkStart w:id="139" w:name="xdx_407_eus-gaap--AdjustmentsToAdditiona"/>
            <w:bookmarkEnd w:id="139"/>
          </w:p>
        </w:tc>
      </w:tr>
      <w:tr>
        <w:trPr/>
        <w:tc>
          <w:tcPr>
            <w:tcW w:w="3242"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1,752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1,752</w:t>
            </w:r>
          </w:p>
        </w:tc>
        <w:tc>
          <w:tcPr>
            <w:tcW w:w="113" w:type="dxa"/>
            <w:tcBorders/>
            <w:shd w:fill="CCEEFF" w:val="clear"/>
            <w:vAlign w:val="center"/>
          </w:tcPr>
          <w:p>
            <w:pPr>
              <w:pStyle w:val="TableContents"/>
              <w:bidi w:val="0"/>
              <w:spacing w:before="0" w:after="283"/>
              <w:jc w:val="left"/>
              <w:rPr/>
            </w:pPr>
            <w:r>
              <w:rPr/>
              <w:t> </w:t>
            </w:r>
            <w:bookmarkStart w:id="140" w:name="xdx_40C_eus-gaap--NetIncomeLoss_z1vCJKeH"/>
            <w:bookmarkEnd w:id="140"/>
          </w:p>
        </w:tc>
      </w:tr>
      <w:tr>
        <w:trPr/>
        <w:tc>
          <w:tcPr>
            <w:tcW w:w="3242"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(13,168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FFFFFF" w:val="clear"/>
            <w:tcMar>
              <w:bottom w:w="28" w:type="dxa"/>
            </w:tcMar>
            <w:vAlign w:val="center"/>
          </w:tcPr>
          <w:p>
            <w:pPr>
              <w:pStyle w:val="TableContents"/>
              <w:bidi w:val="0"/>
              <w:spacing w:before="0" w:after="283"/>
              <w:jc w:val="right"/>
              <w:rPr/>
            </w:pPr>
            <w:r>
              <w:rPr/>
              <w:t>(13,168</w:t>
            </w:r>
          </w:p>
        </w:tc>
        <w:tc>
          <w:tcPr>
            <w:tcW w:w="113" w:type="dxa"/>
            <w:tcBorders/>
            <w:shd w:fill="FFFFFF" w:val="clear"/>
            <w:vAlign w:val="center"/>
          </w:tcPr>
          <w:p>
            <w:pPr>
              <w:pStyle w:val="TableContents"/>
              <w:bidi w:val="0"/>
              <w:spacing w:before="0" w:after="283"/>
              <w:jc w:val="left"/>
              <w:rPr/>
            </w:pPr>
            <w:r>
              <w:rPr/>
              <w:t>)</w:t>
            </w:r>
            <w:bookmarkStart w:id="141" w:name="xdx_436_c20230101__20231231_eus-gaap--St"/>
            <w:bookmarkEnd w:id="141"/>
          </w:p>
        </w:tc>
      </w:tr>
      <w:tr>
        <w:trPr/>
        <w:tc>
          <w:tcPr>
            <w:tcW w:w="3242" w:type="dxa"/>
            <w:tcBorders/>
            <w:shd w:fill="CCEEFF" w:val="clear"/>
            <w:vAlign w:val="center"/>
          </w:tcPr>
          <w:p>
            <w:pPr>
              <w:pStyle w:val="TableContents"/>
              <w:bidi w:val="0"/>
              <w:spacing w:before="0" w:after="283"/>
              <w:jc w:val="left"/>
              <w:rPr/>
            </w:pPr>
            <w:r>
              <w:rPr/>
              <w:t>Balances,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2" w:name="xdx_982_eus-gaap--SharesOutstanding_iS_p"/>
            <w:bookmarkEnd w:id="142"/>
          </w:p>
        </w:tc>
        <w:tc>
          <w:tcPr>
            <w:tcW w:w="1100" w:type="dxa"/>
            <w:tcBorders/>
            <w:shd w:fill="CCEEFF" w:val="clear"/>
            <w:vAlign w:val="center"/>
          </w:tcPr>
          <w:p>
            <w:pPr>
              <w:pStyle w:val="TableContents"/>
              <w:bidi w:val="0"/>
              <w:spacing w:before="0" w:after="283"/>
              <w:jc w:val="right"/>
              <w:rPr/>
            </w:pPr>
            <w:r>
              <w:rPr/>
              <w:t>7,890,628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right"/>
              <w:rPr/>
            </w:pPr>
            <w:r>
              <w:rPr/>
              <w:t>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197" w:type="dxa"/>
            <w:tcBorders/>
            <w:shd w:fill="CCEEFF" w:val="clear"/>
            <w:vAlign w:val="center"/>
          </w:tcPr>
          <w:p>
            <w:pPr>
              <w:pStyle w:val="TableContents"/>
              <w:bidi w:val="0"/>
              <w:spacing w:before="0" w:after="283"/>
              <w:jc w:val="right"/>
              <w:rPr/>
            </w:pPr>
            <w:r>
              <w:rPr/>
              <w:t>75,970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right"/>
              <w:rPr/>
            </w:pPr>
            <w:r>
              <w:rPr/>
              <w:t>(68,761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1244" w:type="dxa"/>
            <w:tcBorders/>
            <w:shd w:fill="CCEEFF" w:val="clear"/>
            <w:vAlign w:val="center"/>
          </w:tcPr>
          <w:p>
            <w:pPr>
              <w:pStyle w:val="TableContents"/>
              <w:bidi w:val="0"/>
              <w:spacing w:before="0" w:after="283"/>
              <w:jc w:val="right"/>
              <w:rPr/>
            </w:pPr>
            <w:r>
              <w:rPr/>
              <w:t>7,289</w:t>
            </w:r>
          </w:p>
        </w:tc>
        <w:tc>
          <w:tcPr>
            <w:tcW w:w="113" w:type="dxa"/>
            <w:tcBorders/>
            <w:shd w:fill="CCEEFF" w:val="clear"/>
            <w:vAlign w:val="center"/>
          </w:tcPr>
          <w:p>
            <w:pPr>
              <w:pStyle w:val="TableContents"/>
              <w:bidi w:val="0"/>
              <w:spacing w:before="0" w:after="283"/>
              <w:jc w:val="left"/>
              <w:rPr/>
            </w:pPr>
            <w:r>
              <w:rPr/>
              <w:t> </w:t>
            </w:r>
            <w:bookmarkStart w:id="143" w:name="xdx_434_c20230101__20231231_eus-gaap--St"/>
            <w:bookmarkEnd w:id="143"/>
          </w:p>
        </w:tc>
      </w:tr>
      <w:tr>
        <w:trPr/>
        <w:tc>
          <w:tcPr>
            <w:tcW w:w="3242" w:type="dxa"/>
            <w:tcBorders/>
            <w:shd w:fill="CCEEFF" w:val="clear"/>
            <w:vAlign w:val="center"/>
          </w:tcPr>
          <w:p>
            <w:pPr>
              <w:pStyle w:val="TableContents"/>
              <w:bidi w:val="0"/>
              <w:spacing w:before="0" w:after="283"/>
              <w:jc w:val="left"/>
              <w:rPr/>
            </w:pPr>
            <w:r>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4" w:name="xdx_982_eus-gaap--SharesOutstanding_iS_p"/>
            <w:bookmarkEnd w:id="144"/>
          </w:p>
        </w:tc>
        <w:tc>
          <w:tcPr>
            <w:tcW w:w="1100" w:type="dxa"/>
            <w:tcBorders/>
            <w:shd w:fill="CCEEFF" w:val="clear"/>
            <w:vAlign w:val="center"/>
          </w:tcPr>
          <w:p>
            <w:pPr>
              <w:pStyle w:val="TableContents"/>
              <w:bidi w:val="0"/>
              <w:spacing w:before="0" w:after="283"/>
              <w:jc w:val="right"/>
              <w:rPr/>
            </w:pPr>
            <w:r>
              <w:rPr/>
              <w:t>7,890,628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197" w:type="dxa"/>
            <w:tcBorders/>
            <w:shd w:fill="CCEEFF" w:val="clear"/>
            <w:vAlign w:val="center"/>
          </w:tcPr>
          <w:p>
            <w:pPr>
              <w:pStyle w:val="TableContents"/>
              <w:bidi w:val="0"/>
              <w:spacing w:before="0" w:after="283"/>
              <w:jc w:val="right"/>
              <w:rPr/>
            </w:pPr>
            <w:r>
              <w:rPr/>
              <w:t>75,970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(68,761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7,289</w:t>
            </w:r>
          </w:p>
        </w:tc>
        <w:tc>
          <w:tcPr>
            <w:tcW w:w="113" w:type="dxa"/>
            <w:tcBorders/>
            <w:shd w:fill="CCEEFF" w:val="clear"/>
            <w:vAlign w:val="center"/>
          </w:tcPr>
          <w:p>
            <w:pPr>
              <w:pStyle w:val="TableContents"/>
              <w:bidi w:val="0"/>
              <w:spacing w:before="0" w:after="283"/>
              <w:jc w:val="left"/>
              <w:rPr/>
            </w:pPr>
            <w:r>
              <w:rPr/>
              <w:t> </w:t>
            </w:r>
            <w:bookmarkStart w:id="145" w:name="xdx_403_eus-gaap--StockIssuedDuringPerio"/>
            <w:bookmarkEnd w:id="145"/>
          </w:p>
        </w:tc>
      </w:tr>
      <w:tr>
        <w:trPr/>
        <w:tc>
          <w:tcPr>
            <w:tcW w:w="3242" w:type="dxa"/>
            <w:tcBorders/>
            <w:shd w:fill="FFFFFF" w:val="clear"/>
            <w:vAlign w:val="center"/>
          </w:tcPr>
          <w:p>
            <w:pPr>
              <w:pStyle w:val="TableContents"/>
              <w:bidi w:val="0"/>
              <w:spacing w:before="0" w:after="283"/>
              <w:jc w:val="left"/>
              <w:rPr/>
            </w:pPr>
            <w:r>
              <w:rPr/>
              <w:t xml:space="preserve">Issuance of common stock and warrants net of issuance costs </w:t>
            </w:r>
            <w:bookmarkStart w:id="146" w:name="xdx_F40_zjkXUrmRQgo1"/>
            <w:bookmarkEnd w:id="146"/>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7" w:name="xdx_986_eus-gaap--StockIssuedDuringPerio"/>
            <w:bookmarkEnd w:id="147"/>
          </w:p>
        </w:tc>
        <w:tc>
          <w:tcPr>
            <w:tcW w:w="1100" w:type="dxa"/>
            <w:tcBorders/>
            <w:shd w:fill="FFFFFF" w:val="clear"/>
            <w:vAlign w:val="center"/>
          </w:tcPr>
          <w:p>
            <w:pPr>
              <w:pStyle w:val="TableContents"/>
              <w:bidi w:val="0"/>
              <w:spacing w:before="0" w:after="283"/>
              <w:jc w:val="right"/>
              <w:rPr/>
            </w:pPr>
            <w:r>
              <w:rPr/>
              <w:t>3,816,689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6,520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6,558</w:t>
            </w:r>
          </w:p>
        </w:tc>
        <w:tc>
          <w:tcPr>
            <w:tcW w:w="113" w:type="dxa"/>
            <w:tcBorders/>
            <w:shd w:fill="FFFFFF" w:val="clear"/>
            <w:vAlign w:val="center"/>
          </w:tcPr>
          <w:p>
            <w:pPr>
              <w:pStyle w:val="TableContents"/>
              <w:bidi w:val="0"/>
              <w:spacing w:before="0" w:after="283"/>
              <w:jc w:val="left"/>
              <w:rPr/>
            </w:pPr>
            <w:r>
              <w:rPr/>
              <w:t> </w:t>
            </w:r>
            <w:bookmarkStart w:id="148" w:name="xdx_407_eus-gaap--AdjustmentsToAdditiona"/>
            <w:bookmarkEnd w:id="148"/>
          </w:p>
        </w:tc>
      </w:tr>
      <w:tr>
        <w:trPr/>
        <w:tc>
          <w:tcPr>
            <w:tcW w:w="3242"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1,394</w:t>
            </w:r>
          </w:p>
        </w:tc>
        <w:tc>
          <w:tcPr>
            <w:tcW w:w="113" w:type="dxa"/>
            <w:tcBorders/>
            <w:shd w:fill="CCEEFF" w:val="clear"/>
            <w:vAlign w:val="center"/>
          </w:tcPr>
          <w:p>
            <w:pPr>
              <w:pStyle w:val="TableContents"/>
              <w:bidi w:val="0"/>
              <w:spacing w:before="0" w:after="283"/>
              <w:jc w:val="left"/>
              <w:rPr/>
            </w:pPr>
            <w:r>
              <w:rPr/>
              <w:t> </w:t>
            </w:r>
            <w:bookmarkStart w:id="149" w:name="xdx_40C_eus-gaap--NetIncomeLoss_zZ119rHw"/>
            <w:bookmarkEnd w:id="149"/>
          </w:p>
        </w:tc>
      </w:tr>
      <w:tr>
        <w:trPr/>
        <w:tc>
          <w:tcPr>
            <w:tcW w:w="3242"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(10,740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FFFFFF" w:val="clear"/>
            <w:tcMar>
              <w:bottom w:w="28" w:type="dxa"/>
            </w:tcMar>
            <w:vAlign w:val="center"/>
          </w:tcPr>
          <w:p>
            <w:pPr>
              <w:pStyle w:val="TableContents"/>
              <w:bidi w:val="0"/>
              <w:spacing w:before="0" w:after="283"/>
              <w:jc w:val="right"/>
              <w:rPr/>
            </w:pPr>
            <w:r>
              <w:rPr/>
              <w:t>(10,740</w:t>
            </w:r>
          </w:p>
        </w:tc>
        <w:tc>
          <w:tcPr>
            <w:tcW w:w="113" w:type="dxa"/>
            <w:tcBorders/>
            <w:shd w:fill="FFFFFF" w:val="clear"/>
            <w:vAlign w:val="center"/>
          </w:tcPr>
          <w:p>
            <w:pPr>
              <w:pStyle w:val="TableContents"/>
              <w:bidi w:val="0"/>
              <w:spacing w:before="0" w:after="283"/>
              <w:jc w:val="left"/>
              <w:rPr/>
            </w:pPr>
            <w:r>
              <w:rPr/>
              <w:t>)</w:t>
            </w:r>
            <w:bookmarkStart w:id="150" w:name="xdx_43C_c20230101__20231231_eus-gaap--St"/>
            <w:bookmarkEnd w:id="150"/>
          </w:p>
        </w:tc>
      </w:tr>
      <w:tr>
        <w:trPr/>
        <w:tc>
          <w:tcPr>
            <w:tcW w:w="3242" w:type="dxa"/>
            <w:tcBorders/>
            <w:shd w:fill="CCEEFF" w:val="clear"/>
            <w:vAlign w:val="center"/>
          </w:tcPr>
          <w:p>
            <w:pPr>
              <w:pStyle w:val="TableContents"/>
              <w:bidi w:val="0"/>
              <w:spacing w:before="0" w:after="283"/>
              <w:jc w:val="left"/>
              <w:rPr/>
            </w:pPr>
            <w:r>
              <w:rPr/>
              <w:t>Balances,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51" w:name="xdx_98B_eus-gaap--SharesOutstanding_iE_p"/>
            <w:bookmarkEnd w:id="151"/>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11,707,317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pPr>
            <w:r>
              <w:rPr/>
              <w:t>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7" w:type="dxa"/>
            <w:tcBorders>
              <w:bottom w:val="double" w:sz="6" w:space="0" w:color="000000"/>
            </w:tcBorders>
            <w:shd w:fill="CCEEFF" w:val="clear"/>
            <w:tcMar>
              <w:bottom w:w="28" w:type="dxa"/>
            </w:tcMar>
            <w:vAlign w:val="center"/>
          </w:tcPr>
          <w:p>
            <w:pPr>
              <w:pStyle w:val="TableContents"/>
              <w:bidi w:val="0"/>
              <w:spacing w:before="0" w:after="283"/>
              <w:jc w:val="right"/>
              <w:rPr/>
            </w:pPr>
            <w:r>
              <w:rPr/>
              <w:t>83,884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(79,501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44" w:type="dxa"/>
            <w:tcBorders>
              <w:bottom w:val="double" w:sz="6" w:space="0" w:color="000000"/>
            </w:tcBorders>
            <w:shd w:fill="CCEEFF" w:val="clear"/>
            <w:tcMar>
              <w:bottom w:w="28" w:type="dxa"/>
            </w:tcMar>
            <w:vAlign w:val="center"/>
          </w:tcPr>
          <w:p>
            <w:pPr>
              <w:pStyle w:val="TableContents"/>
              <w:bidi w:val="0"/>
              <w:spacing w:before="0" w:after="283"/>
              <w:jc w:val="right"/>
              <w:rPr/>
            </w:pPr>
            <w:r>
              <w:rPr/>
              <w:t>4,501</w:t>
            </w:r>
          </w:p>
        </w:tc>
        <w:tc>
          <w:tcPr>
            <w:tcW w:w="113" w:type="dxa"/>
            <w:tcBorders/>
            <w:shd w:fill="CCEEFF" w:val="clear"/>
            <w:vAlign w:val="center"/>
          </w:tcPr>
          <w:p>
            <w:pPr>
              <w:pStyle w:val="TableContents"/>
              <w:bidi w:val="0"/>
              <w:spacing w:before="0" w:after="283"/>
              <w:jc w:val="left"/>
              <w:rPr/>
            </w:pPr>
            <w:r>
              <w:rPr/>
              <w:t> </w:t>
            </w:r>
            <w:bookmarkStart w:id="152" w:name="xdx_43A_c20230101__20231231_eus-gaap--St"/>
            <w:bookmarkEnd w:id="152"/>
          </w:p>
        </w:tc>
      </w:tr>
      <w:tr>
        <w:trPr/>
        <w:tc>
          <w:tcPr>
            <w:tcW w:w="3242" w:type="dxa"/>
            <w:tcBorders/>
            <w:shd w:fill="CCEEFF" w:val="clear"/>
            <w:vAlign w:val="center"/>
          </w:tcPr>
          <w:p>
            <w:pPr>
              <w:pStyle w:val="TableContents"/>
              <w:bidi w:val="0"/>
              <w:spacing w:before="0" w:after="283"/>
              <w:jc w:val="left"/>
              <w:rPr/>
            </w:pPr>
            <w:r>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53" w:name="xdx_984_eus-gaap--SharesOutstanding_iE_p"/>
            <w:bookmarkEnd w:id="153"/>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11,707,317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pPr>
            <w:r>
              <w:rPr/>
              <w:t>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7" w:type="dxa"/>
            <w:tcBorders>
              <w:bottom w:val="double" w:sz="6" w:space="0" w:color="000000"/>
            </w:tcBorders>
            <w:shd w:fill="CCEEFF" w:val="clear"/>
            <w:tcMar>
              <w:bottom w:w="28" w:type="dxa"/>
            </w:tcMar>
            <w:vAlign w:val="center"/>
          </w:tcPr>
          <w:p>
            <w:pPr>
              <w:pStyle w:val="TableContents"/>
              <w:bidi w:val="0"/>
              <w:spacing w:before="0" w:after="283"/>
              <w:jc w:val="right"/>
              <w:rPr/>
            </w:pPr>
            <w:r>
              <w:rPr/>
              <w:t>83,884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(79,501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44" w:type="dxa"/>
            <w:tcBorders>
              <w:bottom w:val="double" w:sz="6" w:space="0" w:color="000000"/>
            </w:tcBorders>
            <w:shd w:fill="CCEEFF" w:val="clear"/>
            <w:tcMar>
              <w:bottom w:w="28" w:type="dxa"/>
            </w:tcMar>
            <w:vAlign w:val="center"/>
          </w:tcPr>
          <w:p>
            <w:pPr>
              <w:pStyle w:val="TableContents"/>
              <w:bidi w:val="0"/>
              <w:spacing w:before="0" w:after="283"/>
              <w:jc w:val="right"/>
              <w:rPr/>
            </w:pPr>
            <w:r>
              <w:rPr/>
              <w:t>4,501</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410"/>
        <w:gridCol w:w="3755"/>
      </w:tblGrid>
      <w:tr>
        <w:trPr/>
        <w:tc>
          <w:tcPr>
            <w:tcW w:w="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54" w:name="xdx_F05_z4WGrJLQI4rb"/>
            <w:bookmarkEnd w:id="154"/>
            <w:r>
              <w:rPr>
                <w:rFonts w:ascii="Times New Roman;Times;Serif" w:hAnsi="Times New Roman;Times;Serif"/>
                <w:b w:val="false"/>
                <w:i w:val="false"/>
                <w:caps w:val="false"/>
                <w:smallCaps w:val="false"/>
                <w:sz w:val="20"/>
              </w:rPr>
              <w:t>(*)</w:t>
            </w:r>
          </w:p>
        </w:tc>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55" w:name="xdx_F1B_zj5QvG1gB5C6"/>
            <w:bookmarkEnd w:id="155"/>
            <w:r>
              <w:rPr>
                <w:rFonts w:ascii="Times New Roman;Times;Serif" w:hAnsi="Times New Roman;Times;Serif"/>
                <w:b w:val="false"/>
                <w:i w:val="false"/>
                <w:caps w:val="false"/>
                <w:smallCaps w:val="false"/>
                <w:sz w:val="20"/>
              </w:rPr>
              <w:t>Net of issuance costs in the amount of $</w:t>
            </w:r>
            <w:bookmarkStart w:id="156" w:name="xdx_906_eus-gaap--PaymentsOfStockIssuanc"/>
            <w:bookmarkEnd w:id="156"/>
            <w:r>
              <w:rPr>
                <w:rFonts w:ascii="Times New Roman;Times;Serif" w:hAnsi="Times New Roman;Times;Serif"/>
                <w:b w:val="false"/>
                <w:i w:val="false"/>
                <w:caps w:val="false"/>
                <w:smallCaps w:val="false"/>
                <w:sz w:val="20"/>
              </w:rPr>
              <w:t>676.</w:t>
            </w:r>
          </w:p>
        </w:tc>
      </w:tr>
      <w:tr>
        <w:trPr/>
        <w:tc>
          <w:tcPr>
            <w:tcW w:w="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57" w:name="xdx_F0C_z4qO9kwIyMR9"/>
            <w:bookmarkEnd w:id="157"/>
            <w:r>
              <w:rPr>
                <w:rFonts w:ascii="Times New Roman;Times;Serif" w:hAnsi="Times New Roman;Times;Serif"/>
                <w:b w:val="false"/>
                <w:i w:val="false"/>
                <w:caps w:val="false"/>
                <w:smallCaps w:val="false"/>
                <w:sz w:val="20"/>
              </w:rPr>
              <w:t xml:space="preserve">(**) </w:t>
            </w:r>
          </w:p>
        </w:tc>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58" w:name="xdx_F1D_zMhrfF2uM6fj"/>
            <w:bookmarkEnd w:id="158"/>
            <w:r>
              <w:rPr>
                <w:rFonts w:ascii="Times New Roman;Times;Serif" w:hAnsi="Times New Roman;Times;Serif"/>
                <w:b w:val="false"/>
                <w:i w:val="false"/>
                <w:caps w:val="false"/>
                <w:smallCaps w:val="false"/>
                <w:sz w:val="20"/>
              </w:rPr>
              <w:t>Net of issuance costs in the amount of $</w:t>
            </w:r>
            <w:bookmarkStart w:id="159" w:name="xdx_909_eus-gaap--PaymentsOfStockIssuanc"/>
            <w:bookmarkEnd w:id="159"/>
            <w:r>
              <w:rPr>
                <w:rFonts w:ascii="Times New Roman;Times;Serif" w:hAnsi="Times New Roman;Times;Serif"/>
                <w:b w:val="false"/>
                <w:i w:val="false"/>
                <w:caps w:val="false"/>
                <w:smallCaps w:val="false"/>
                <w:sz w:val="20"/>
              </w:rPr>
              <w:t>1,075.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60" w:name="ku_005"/>
      <w:bookmarkEnd w:id="160"/>
      <w:r>
        <w:rPr>
          <w:rFonts w:ascii="Times New Roman;Times;Serif" w:hAnsi="Times New Roman;Times;Serif"/>
          <w:b/>
          <w:i w:val="false"/>
          <w:caps w:val="false"/>
          <w:smallCaps w:val="false"/>
          <w:sz w:val="20"/>
          <w:u w:val="single"/>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1" w:name="xdx_30F_112_pn3n3_zoVn09fD2dG6"/>
      <w:bookmarkStart w:id="162" w:name="xdx_30F_112_pn3n3_zoVn09fD2dG6"/>
      <w:bookmarkEnd w:id="162"/>
    </w:p>
    <w:tbl>
      <w:tblPr>
        <w:tblW w:w="9806" w:type="dxa"/>
        <w:jc w:val="left"/>
        <w:tblInd w:w="0" w:type="dxa"/>
        <w:tblLayout w:type="fixed"/>
        <w:tblCellMar>
          <w:top w:w="0" w:type="dxa"/>
          <w:left w:w="0" w:type="dxa"/>
          <w:bottom w:w="0" w:type="dxa"/>
          <w:right w:w="0" w:type="dxa"/>
        </w:tblCellMar>
      </w:tblPr>
      <w:tblGrid>
        <w:gridCol w:w="7415"/>
        <w:gridCol w:w="60"/>
        <w:gridCol w:w="155"/>
        <w:gridCol w:w="840"/>
        <w:gridCol w:w="105"/>
        <w:gridCol w:w="66"/>
        <w:gridCol w:w="155"/>
        <w:gridCol w:w="840"/>
        <w:gridCol w:w="170"/>
      </w:tblGrid>
      <w:tr>
        <w:trPr/>
        <w:tc>
          <w:tcPr>
            <w:tcW w:w="7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bookmarkStart w:id="163" w:name="xdx_49D_20230101__20231231_zDE3QMbA7sb5"/>
            <w:bookmarkEnd w:id="163"/>
          </w:p>
        </w:tc>
        <w:tc>
          <w:tcPr>
            <w:tcW w:w="840"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bookmarkStart w:id="164" w:name="xdx_49F_20220101__20221231_zwH5CAEFaLsk"/>
            <w:bookmarkEnd w:id="164"/>
          </w:p>
        </w:tc>
        <w:tc>
          <w:tcPr>
            <w:tcW w:w="84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7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1" w:type="dxa"/>
            <w:gridSpan w:val="6"/>
            <w:tcBorders>
              <w:bottom w:val="single" w:sz="12" w:space="0" w:color="000000"/>
            </w:tcBorders>
            <w:tcMar>
              <w:bottom w:w="28" w:type="dxa"/>
            </w:tcMar>
            <w:vAlign w:val="center"/>
          </w:tcPr>
          <w:p>
            <w:pPr>
              <w:pStyle w:val="TableContents"/>
              <w:bidi w:val="0"/>
              <w:jc w:val="center"/>
              <w:rPr>
                <w:b/>
              </w:rPr>
            </w:pPr>
            <w:r>
              <w:rPr>
                <w:b/>
              </w:rPr>
              <w:t>For the Years Ended</w:t>
            </w:r>
          </w:p>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7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70" w:type="dxa"/>
            <w:tcBorders/>
            <w:vAlign w:val="center"/>
          </w:tcPr>
          <w:p>
            <w:pPr>
              <w:pStyle w:val="TableContents"/>
              <w:bidi w:val="0"/>
              <w:spacing w:before="0" w:after="283"/>
              <w:jc w:val="left"/>
              <w:rPr/>
            </w:pPr>
            <w:r>
              <w:rPr/>
              <w:t> </w:t>
            </w:r>
            <w:bookmarkStart w:id="165" w:name="xdx_400_eus-gaap--NetCashProvidedByUsedI"/>
            <w:bookmarkEnd w:id="165"/>
          </w:p>
        </w:tc>
      </w:tr>
      <w:tr>
        <w:trPr/>
        <w:tc>
          <w:tcPr>
            <w:tcW w:w="7415"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166" w:name="xdx_409_eus-gaap--NetIncomeLoss_i01_maNC"/>
            <w:bookmarkEnd w:id="166"/>
          </w:p>
        </w:tc>
      </w:tr>
      <w:tr>
        <w:trPr/>
        <w:tc>
          <w:tcPr>
            <w:tcW w:w="741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840" w:type="dxa"/>
            <w:tcBorders/>
            <w:shd w:fill="FFFFFF" w:val="clear"/>
            <w:vAlign w:val="center"/>
          </w:tcPr>
          <w:p>
            <w:pPr>
              <w:pStyle w:val="TableContents"/>
              <w:bidi w:val="0"/>
              <w:spacing w:before="0" w:after="283"/>
              <w:jc w:val="right"/>
              <w:rPr/>
            </w:pPr>
            <w:r>
              <w:rPr/>
              <w:t>(10,740</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840" w:type="dxa"/>
            <w:tcBorders/>
            <w:shd w:fill="FFFFFF" w:val="clear"/>
            <w:vAlign w:val="center"/>
          </w:tcPr>
          <w:p>
            <w:pPr>
              <w:pStyle w:val="TableContents"/>
              <w:bidi w:val="0"/>
              <w:spacing w:before="0" w:after="283"/>
              <w:jc w:val="right"/>
              <w:rPr/>
            </w:pPr>
            <w:r>
              <w:rPr/>
              <w:t>(13,168</w:t>
            </w:r>
          </w:p>
        </w:tc>
        <w:tc>
          <w:tcPr>
            <w:tcW w:w="170" w:type="dxa"/>
            <w:tcBorders/>
            <w:shd w:fill="FFFFFF" w:val="clear"/>
            <w:vAlign w:val="center"/>
          </w:tcPr>
          <w:p>
            <w:pPr>
              <w:pStyle w:val="TableContents"/>
              <w:bidi w:val="0"/>
              <w:spacing w:before="0" w:after="283"/>
              <w:jc w:val="left"/>
              <w:rPr/>
            </w:pPr>
            <w:r>
              <w:rPr/>
              <w:t>)</w:t>
            </w:r>
            <w:bookmarkStart w:id="167" w:name="xdx_401_eus-gaap--AdjustmentsToReconcile"/>
            <w:bookmarkEnd w:id="167"/>
          </w:p>
        </w:tc>
      </w:tr>
      <w:tr>
        <w:trPr/>
        <w:tc>
          <w:tcPr>
            <w:tcW w:w="7415" w:type="dxa"/>
            <w:tcBorders/>
            <w:shd w:fill="CCEEFF" w:val="clear"/>
            <w:vAlign w:val="center"/>
          </w:tcPr>
          <w:p>
            <w:pPr>
              <w:pStyle w:val="TableContents"/>
              <w:bidi w:val="0"/>
              <w:spacing w:before="0" w:after="283"/>
              <w:jc w:val="left"/>
              <w:rPr/>
            </w:pPr>
            <w:r>
              <w:rPr/>
              <w:t>Adjustments to reconcile net loss to net cash flows used in operating activities: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168" w:name="xdx_40C_eus-gaap--DepreciationDepletionA"/>
            <w:bookmarkEnd w:id="168"/>
          </w:p>
        </w:tc>
      </w:tr>
      <w:tr>
        <w:trPr/>
        <w:tc>
          <w:tcPr>
            <w:tcW w:w="7415" w:type="dxa"/>
            <w:tcBorders/>
            <w:shd w:fill="FFFFFF" w:val="clear"/>
            <w:vAlign w:val="center"/>
          </w:tcPr>
          <w:p>
            <w:pPr>
              <w:pStyle w:val="TableContents"/>
              <w:bidi w:val="0"/>
              <w:spacing w:before="0" w:after="283"/>
              <w:jc w:val="left"/>
              <w:rPr/>
            </w:pPr>
            <w:r>
              <w:rPr/>
              <w:t>Depreciation of property and equipment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106</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102</w:t>
            </w:r>
          </w:p>
        </w:tc>
        <w:tc>
          <w:tcPr>
            <w:tcW w:w="170" w:type="dxa"/>
            <w:tcBorders/>
            <w:shd w:fill="FFFFFF" w:val="clear"/>
            <w:vAlign w:val="center"/>
          </w:tcPr>
          <w:p>
            <w:pPr>
              <w:pStyle w:val="TableContents"/>
              <w:bidi w:val="0"/>
              <w:spacing w:before="0" w:after="283"/>
              <w:jc w:val="left"/>
              <w:rPr/>
            </w:pPr>
            <w:r>
              <w:rPr/>
              <w:t> </w:t>
            </w:r>
            <w:bookmarkStart w:id="169" w:name="xdx_40C_ecustom--LossOnLegalSettlement_i"/>
            <w:bookmarkEnd w:id="169"/>
          </w:p>
        </w:tc>
      </w:tr>
      <w:tr>
        <w:trPr/>
        <w:tc>
          <w:tcPr>
            <w:tcW w:w="7415" w:type="dxa"/>
            <w:tcBorders/>
            <w:shd w:fill="CCEEFF" w:val="clear"/>
            <w:vAlign w:val="center"/>
          </w:tcPr>
          <w:p>
            <w:pPr>
              <w:pStyle w:val="TableContents"/>
              <w:bidi w:val="0"/>
              <w:spacing w:before="0" w:after="283"/>
              <w:jc w:val="left"/>
              <w:rPr/>
            </w:pPr>
            <w:r>
              <w:rPr/>
              <w:t>Loss on legal settlement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2,211</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bookmarkStart w:id="170" w:name="xdx_403_eus-gaap--PaymentsForLossesAndLo"/>
            <w:bookmarkEnd w:id="170"/>
          </w:p>
        </w:tc>
      </w:tr>
      <w:tr>
        <w:trPr/>
        <w:tc>
          <w:tcPr>
            <w:tcW w:w="7415" w:type="dxa"/>
            <w:tcBorders/>
            <w:shd w:fill="FFFFFF" w:val="clear"/>
            <w:vAlign w:val="center"/>
          </w:tcPr>
          <w:p>
            <w:pPr>
              <w:pStyle w:val="TableContents"/>
              <w:bidi w:val="0"/>
              <w:spacing w:before="0" w:after="283"/>
              <w:jc w:val="left"/>
              <w:rPr/>
            </w:pPr>
            <w:r>
              <w:rPr/>
              <w:t>Insurance recovery related to legal settlement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(1,335</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283"/>
              <w:jc w:val="left"/>
              <w:rPr/>
            </w:pPr>
            <w:r>
              <w:rPr/>
              <w:t> </w:t>
            </w:r>
            <w:bookmarkStart w:id="171" w:name="xdx_40F_ecustom--InterestIncomeAndUnreal"/>
            <w:bookmarkEnd w:id="171"/>
          </w:p>
        </w:tc>
      </w:tr>
      <w:tr>
        <w:trPr/>
        <w:tc>
          <w:tcPr>
            <w:tcW w:w="7415" w:type="dxa"/>
            <w:tcBorders/>
            <w:shd w:fill="CCEEFF" w:val="clear"/>
            <w:vAlign w:val="center"/>
          </w:tcPr>
          <w:p>
            <w:pPr>
              <w:pStyle w:val="TableContents"/>
              <w:bidi w:val="0"/>
              <w:spacing w:before="0" w:after="283"/>
              <w:jc w:val="left"/>
              <w:rPr/>
            </w:pPr>
            <w:r>
              <w:rPr/>
              <w:t>Interest income and unrealized gains from marketable securities, net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(160</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(12</w:t>
            </w:r>
          </w:p>
        </w:tc>
        <w:tc>
          <w:tcPr>
            <w:tcW w:w="170" w:type="dxa"/>
            <w:tcBorders/>
            <w:shd w:fill="CCEEFF" w:val="clear"/>
            <w:vAlign w:val="center"/>
          </w:tcPr>
          <w:p>
            <w:pPr>
              <w:pStyle w:val="TableContents"/>
              <w:bidi w:val="0"/>
              <w:spacing w:before="0" w:after="283"/>
              <w:jc w:val="left"/>
              <w:rPr/>
            </w:pPr>
            <w:r>
              <w:rPr/>
              <w:t>)</w:t>
            </w:r>
            <w:bookmarkStart w:id="172" w:name="xdx_406_eus-gaap--GainLossOnSaleOfProper"/>
            <w:bookmarkEnd w:id="172"/>
          </w:p>
        </w:tc>
      </w:tr>
      <w:tr>
        <w:trPr/>
        <w:tc>
          <w:tcPr>
            <w:tcW w:w="7415" w:type="dxa"/>
            <w:tcBorders/>
            <w:shd w:fill="FFFFFF" w:val="clear"/>
            <w:vAlign w:val="center"/>
          </w:tcPr>
          <w:p>
            <w:pPr>
              <w:pStyle w:val="TableContents"/>
              <w:bidi w:val="0"/>
              <w:spacing w:before="0" w:after="283"/>
              <w:jc w:val="left"/>
              <w:rPr/>
            </w:pPr>
            <w:r>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2</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5</w:t>
            </w:r>
          </w:p>
        </w:tc>
        <w:tc>
          <w:tcPr>
            <w:tcW w:w="170" w:type="dxa"/>
            <w:tcBorders/>
            <w:shd w:fill="FFFFFF" w:val="clear"/>
            <w:vAlign w:val="center"/>
          </w:tcPr>
          <w:p>
            <w:pPr>
              <w:pStyle w:val="TableContents"/>
              <w:bidi w:val="0"/>
              <w:spacing w:before="0" w:after="283"/>
              <w:jc w:val="left"/>
              <w:rPr/>
            </w:pPr>
            <w:r>
              <w:rPr/>
              <w:t> </w:t>
            </w:r>
            <w:bookmarkStart w:id="173" w:name="xdx_40C_eus-gaap--ShareBasedCompensation"/>
            <w:bookmarkEnd w:id="173"/>
          </w:p>
        </w:tc>
      </w:tr>
      <w:tr>
        <w:trPr/>
        <w:tc>
          <w:tcPr>
            <w:tcW w:w="7415" w:type="dxa"/>
            <w:tcBorders/>
            <w:shd w:fill="CCEEFF" w:val="clear"/>
            <w:vAlign w:val="center"/>
          </w:tcPr>
          <w:p>
            <w:pPr>
              <w:pStyle w:val="TableContents"/>
              <w:bidi w:val="0"/>
              <w:spacing w:before="0" w:after="283"/>
              <w:jc w:val="left"/>
              <w:rPr/>
            </w:pPr>
            <w:r>
              <w:rPr/>
              <w:t xml:space="preserve">Share-based compensation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1,394</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1,752</w:t>
            </w:r>
          </w:p>
        </w:tc>
        <w:tc>
          <w:tcPr>
            <w:tcW w:w="170" w:type="dxa"/>
            <w:tcBorders/>
            <w:shd w:fill="CCEEFF" w:val="clear"/>
            <w:vAlign w:val="center"/>
          </w:tcPr>
          <w:p>
            <w:pPr>
              <w:pStyle w:val="TableContents"/>
              <w:bidi w:val="0"/>
              <w:spacing w:before="0" w:after="283"/>
              <w:jc w:val="left"/>
              <w:rPr/>
            </w:pPr>
            <w:r>
              <w:rPr/>
              <w:t> </w:t>
            </w:r>
            <w:bookmarkStart w:id="174" w:name="xdx_406_eus-gaap--IncreaseDecreaseInOper"/>
            <w:bookmarkEnd w:id="174"/>
          </w:p>
        </w:tc>
      </w:tr>
      <w:tr>
        <w:trPr/>
        <w:tc>
          <w:tcPr>
            <w:tcW w:w="7415" w:type="dxa"/>
            <w:tcBorders/>
            <w:shd w:fill="FFFFFF" w:val="clear"/>
            <w:vAlign w:val="center"/>
          </w:tcPr>
          <w:p>
            <w:pPr>
              <w:pStyle w:val="TableContents"/>
              <w:bidi w:val="0"/>
              <w:spacing w:before="0" w:after="283"/>
              <w:jc w:val="left"/>
              <w:rPr/>
            </w:pPr>
            <w:r>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175" w:name="xdx_404_eus-gaap--IncreaseDecreaseInPrep"/>
            <w:bookmarkEnd w:id="175"/>
          </w:p>
        </w:tc>
      </w:tr>
      <w:tr>
        <w:trPr/>
        <w:tc>
          <w:tcPr>
            <w:tcW w:w="7415"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672</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13</w:t>
            </w:r>
          </w:p>
        </w:tc>
        <w:tc>
          <w:tcPr>
            <w:tcW w:w="170" w:type="dxa"/>
            <w:tcBorders/>
            <w:shd w:fill="CCEEFF" w:val="clear"/>
            <w:vAlign w:val="center"/>
          </w:tcPr>
          <w:p>
            <w:pPr>
              <w:pStyle w:val="TableContents"/>
              <w:bidi w:val="0"/>
              <w:spacing w:before="0" w:after="283"/>
              <w:jc w:val="left"/>
              <w:rPr/>
            </w:pPr>
            <w:r>
              <w:rPr/>
              <w:t> </w:t>
            </w:r>
            <w:bookmarkStart w:id="176" w:name="xdx_40A_eus-gaap--IncreaseDecreaseInOthe"/>
            <w:bookmarkEnd w:id="176"/>
          </w:p>
        </w:tc>
      </w:tr>
      <w:tr>
        <w:trPr/>
        <w:tc>
          <w:tcPr>
            <w:tcW w:w="7415" w:type="dxa"/>
            <w:tcBorders/>
            <w:shd w:fill="FFFFFF" w:val="clear"/>
            <w:vAlign w:val="center"/>
          </w:tcPr>
          <w:p>
            <w:pPr>
              <w:pStyle w:val="TableContents"/>
              <w:bidi w:val="0"/>
              <w:spacing w:before="0" w:after="283"/>
              <w:jc w:val="left"/>
              <w:rPr/>
            </w:pPr>
            <w:r>
              <w:rPr/>
              <w:t>Other payables and accrued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FFFFFF" w:val="clear"/>
            <w:tcMar>
              <w:bottom w:w="28" w:type="dxa"/>
            </w:tcMar>
            <w:vAlign w:val="center"/>
          </w:tcPr>
          <w:p>
            <w:pPr>
              <w:pStyle w:val="TableContents"/>
              <w:bidi w:val="0"/>
              <w:spacing w:before="0" w:after="283"/>
              <w:jc w:val="right"/>
              <w:rPr/>
            </w:pPr>
            <w:r>
              <w:rPr/>
              <w:t>(683</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FFFFFF" w:val="clear"/>
            <w:tcMar>
              <w:bottom w:w="28" w:type="dxa"/>
            </w:tcMar>
            <w:vAlign w:val="center"/>
          </w:tcPr>
          <w:p>
            <w:pPr>
              <w:pStyle w:val="TableContents"/>
              <w:bidi w:val="0"/>
              <w:spacing w:before="0" w:after="283"/>
              <w:jc w:val="right"/>
              <w:rPr/>
            </w:pPr>
            <w:r>
              <w:rPr/>
              <w:t>(241</w:t>
            </w:r>
          </w:p>
        </w:tc>
        <w:tc>
          <w:tcPr>
            <w:tcW w:w="170" w:type="dxa"/>
            <w:tcBorders/>
            <w:shd w:fill="FFFFFF" w:val="clear"/>
            <w:vAlign w:val="center"/>
          </w:tcPr>
          <w:p>
            <w:pPr>
              <w:pStyle w:val="TableContents"/>
              <w:bidi w:val="0"/>
              <w:spacing w:before="0" w:after="283"/>
              <w:jc w:val="left"/>
              <w:rPr/>
            </w:pPr>
            <w:r>
              <w:rPr/>
              <w:t>)</w:t>
            </w:r>
            <w:bookmarkStart w:id="177" w:name="xdx_40C_eus-gaap--NetCashProvidedByUsedI"/>
            <w:bookmarkEnd w:id="177"/>
          </w:p>
        </w:tc>
      </w:tr>
      <w:tr>
        <w:trPr/>
        <w:tc>
          <w:tcPr>
            <w:tcW w:w="7415" w:type="dxa"/>
            <w:tcBorders/>
            <w:shd w:fill="CCEEFF" w:val="clear"/>
            <w:vAlign w:val="center"/>
          </w:tcPr>
          <w:p>
            <w:pPr>
              <w:pStyle w:val="TableContents"/>
              <w:bidi w:val="0"/>
              <w:spacing w:before="0" w:after="283"/>
              <w:jc w:val="left"/>
              <w:rPr/>
            </w:pPr>
            <w:r>
              <w:rPr/>
              <w:t>Net cash flows used in operating activities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(8,533</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(11,549</w:t>
            </w:r>
          </w:p>
        </w:tc>
        <w:tc>
          <w:tcPr>
            <w:tcW w:w="170" w:type="dxa"/>
            <w:tcBorders/>
            <w:shd w:fill="CCEEFF" w:val="clear"/>
            <w:vAlign w:val="center"/>
          </w:tcPr>
          <w:p>
            <w:pPr>
              <w:pStyle w:val="TableContents"/>
              <w:bidi w:val="0"/>
              <w:spacing w:before="0" w:after="283"/>
              <w:jc w:val="left"/>
              <w:rPr/>
            </w:pPr>
            <w:r>
              <w:rPr/>
              <w:t>)</w:t>
            </w:r>
            <w:bookmarkStart w:id="178" w:name="xdx_40D_eus-gaap--NetCashProvidedByUsedI"/>
            <w:bookmarkEnd w:id="178"/>
          </w:p>
        </w:tc>
      </w:tr>
      <w:tr>
        <w:trPr/>
        <w:tc>
          <w:tcPr>
            <w:tcW w:w="7415" w:type="dxa"/>
            <w:tcBorders/>
            <w:shd w:fill="FFFFFF" w:val="clear"/>
            <w:vAlign w:val="center"/>
          </w:tcPr>
          <w:p>
            <w:pPr>
              <w:pStyle w:val="TableContents"/>
              <w:bidi w:val="0"/>
              <w:spacing w:before="0" w:after="283"/>
              <w:jc w:val="left"/>
              <w:rPr/>
            </w:pPr>
            <w:r>
              <w:rPr/>
              <w:t>Investing activities: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179" w:name="xdx_40D_eus-gaap--PaymentsForProceedsFro"/>
            <w:bookmarkEnd w:id="179"/>
          </w:p>
        </w:tc>
      </w:tr>
      <w:tr>
        <w:trPr/>
        <w:tc>
          <w:tcPr>
            <w:tcW w:w="7415" w:type="dxa"/>
            <w:tcBorders/>
            <w:shd w:fill="CCEEFF" w:val="clear"/>
            <w:vAlign w:val="center"/>
          </w:tcPr>
          <w:p>
            <w:pPr>
              <w:pStyle w:val="TableContents"/>
              <w:bidi w:val="0"/>
              <w:spacing w:before="0" w:after="283"/>
              <w:jc w:val="left"/>
              <w:rPr/>
            </w:pPr>
            <w:r>
              <w:rPr/>
              <w:t>Short-term deposit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3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(3</w:t>
            </w:r>
          </w:p>
        </w:tc>
        <w:tc>
          <w:tcPr>
            <w:tcW w:w="170" w:type="dxa"/>
            <w:tcBorders/>
            <w:shd w:fill="CCEEFF" w:val="clear"/>
            <w:vAlign w:val="center"/>
          </w:tcPr>
          <w:p>
            <w:pPr>
              <w:pStyle w:val="TableContents"/>
              <w:bidi w:val="0"/>
              <w:spacing w:before="0" w:after="283"/>
              <w:jc w:val="left"/>
              <w:rPr/>
            </w:pPr>
            <w:r>
              <w:rPr/>
              <w:t>) </w:t>
            </w:r>
            <w:bookmarkStart w:id="180" w:name="xdx_40D_eus-gaap--PaymentsToAcquirePrope"/>
            <w:bookmarkEnd w:id="180"/>
          </w:p>
        </w:tc>
      </w:tr>
      <w:tr>
        <w:trPr/>
        <w:tc>
          <w:tcPr>
            <w:tcW w:w="7415" w:type="dxa"/>
            <w:tcBorders/>
            <w:shd w:fill="FFFFFF" w:val="clear"/>
            <w:vAlign w:val="center"/>
          </w:tcPr>
          <w:p>
            <w:pPr>
              <w:pStyle w:val="TableContents"/>
              <w:bidi w:val="0"/>
              <w:spacing w:before="0" w:after="283"/>
              <w:jc w:val="left"/>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(33</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(84</w:t>
            </w:r>
          </w:p>
        </w:tc>
        <w:tc>
          <w:tcPr>
            <w:tcW w:w="170" w:type="dxa"/>
            <w:tcBorders/>
            <w:shd w:fill="FFFFFF" w:val="clear"/>
            <w:vAlign w:val="center"/>
          </w:tcPr>
          <w:p>
            <w:pPr>
              <w:pStyle w:val="TableContents"/>
              <w:bidi w:val="0"/>
              <w:spacing w:before="0" w:after="283"/>
              <w:jc w:val="left"/>
              <w:rPr/>
            </w:pPr>
            <w:r>
              <w:rPr/>
              <w:t>)</w:t>
            </w:r>
            <w:bookmarkStart w:id="181" w:name="xdx_409_eus-gaap--ProceedsFromSaleAndMat"/>
            <w:bookmarkEnd w:id="181"/>
          </w:p>
        </w:tc>
      </w:tr>
      <w:tr>
        <w:trPr/>
        <w:tc>
          <w:tcPr>
            <w:tcW w:w="7415" w:type="dxa"/>
            <w:tcBorders/>
            <w:shd w:fill="CCEEFF" w:val="clear"/>
            <w:vAlign w:val="center"/>
          </w:tcPr>
          <w:p>
            <w:pPr>
              <w:pStyle w:val="TableContents"/>
              <w:bidi w:val="0"/>
              <w:spacing w:before="0" w:after="283"/>
              <w:jc w:val="left"/>
              <w:rPr/>
            </w:pPr>
            <w:r>
              <w:rPr/>
              <w:t>Proceeds from maturities of marketable securities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9,164</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bookmarkStart w:id="182" w:name="xdx_405_eus-gaap--PaymentsToAcquireMarke"/>
            <w:bookmarkEnd w:id="182"/>
          </w:p>
        </w:tc>
      </w:tr>
      <w:tr>
        <w:trPr/>
        <w:tc>
          <w:tcPr>
            <w:tcW w:w="7415" w:type="dxa"/>
            <w:tcBorders/>
            <w:shd w:fill="FFFFFF" w:val="clear"/>
            <w:vAlign w:val="center"/>
          </w:tcPr>
          <w:p>
            <w:pPr>
              <w:pStyle w:val="TableContents"/>
              <w:bidi w:val="0"/>
              <w:spacing w:before="0" w:after="283"/>
              <w:jc w:val="left"/>
              <w:rPr/>
            </w:pPr>
            <w:r>
              <w:rPr/>
              <w:t>Purchase of marketable securities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(10,060</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(3,749</w:t>
            </w:r>
          </w:p>
        </w:tc>
        <w:tc>
          <w:tcPr>
            <w:tcW w:w="170" w:type="dxa"/>
            <w:tcBorders/>
            <w:shd w:fill="FFFFFF" w:val="clear"/>
            <w:vAlign w:val="center"/>
          </w:tcPr>
          <w:p>
            <w:pPr>
              <w:pStyle w:val="TableContents"/>
              <w:bidi w:val="0"/>
              <w:spacing w:before="0" w:after="283"/>
              <w:jc w:val="left"/>
              <w:rPr/>
            </w:pPr>
            <w:r>
              <w:rPr/>
              <w:t>)</w:t>
            </w:r>
            <w:bookmarkStart w:id="183" w:name="xdx_402_eus-gaap--ProceedsFromSaleAndMat"/>
            <w:bookmarkEnd w:id="183"/>
          </w:p>
        </w:tc>
      </w:tr>
      <w:tr>
        <w:trPr/>
        <w:tc>
          <w:tcPr>
            <w:tcW w:w="7415" w:type="dxa"/>
            <w:tcBorders/>
            <w:shd w:fill="CCEEFF" w:val="clear"/>
            <w:vAlign w:val="center"/>
          </w:tcPr>
          <w:p>
            <w:pPr>
              <w:pStyle w:val="TableContents"/>
              <w:bidi w:val="0"/>
              <w:spacing w:before="0" w:after="283"/>
              <w:jc w:val="left"/>
              <w:rPr/>
            </w:pPr>
            <w:r>
              <w:rPr/>
              <w:t>Proceeds from sales of marketable securities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2,899</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bookmarkStart w:id="184" w:name="xdx_400_eus-gaap--NetCashProvidedByUsedI"/>
            <w:bookmarkEnd w:id="184"/>
          </w:p>
        </w:tc>
      </w:tr>
      <w:tr>
        <w:trPr/>
        <w:tc>
          <w:tcPr>
            <w:tcW w:w="7415" w:type="dxa"/>
            <w:tcBorders/>
            <w:shd w:fill="FFFFFF" w:val="clear"/>
            <w:vAlign w:val="center"/>
          </w:tcPr>
          <w:p>
            <w:pPr>
              <w:pStyle w:val="TableContents"/>
              <w:bidi w:val="0"/>
              <w:spacing w:before="0" w:after="283"/>
              <w:jc w:val="left"/>
              <w:rPr/>
            </w:pPr>
            <w:r>
              <w:rPr/>
              <w:t>Net cash flows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FFFFFF" w:val="clear"/>
            <w:tcMar>
              <w:bottom w:w="28" w:type="dxa"/>
            </w:tcMar>
            <w:vAlign w:val="center"/>
          </w:tcPr>
          <w:p>
            <w:pPr>
              <w:pStyle w:val="TableContents"/>
              <w:bidi w:val="0"/>
              <w:spacing w:before="0" w:after="283"/>
              <w:jc w:val="right"/>
              <w:rPr/>
            </w:pPr>
            <w:r>
              <w:rPr/>
              <w:t>1,973</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FFFFFF" w:val="clear"/>
            <w:tcMar>
              <w:bottom w:w="28" w:type="dxa"/>
            </w:tcMar>
            <w:vAlign w:val="center"/>
          </w:tcPr>
          <w:p>
            <w:pPr>
              <w:pStyle w:val="TableContents"/>
              <w:bidi w:val="0"/>
              <w:spacing w:before="0" w:after="283"/>
              <w:jc w:val="right"/>
              <w:rPr/>
            </w:pPr>
            <w:r>
              <w:rPr/>
              <w:t>(3,836</w:t>
            </w:r>
          </w:p>
        </w:tc>
        <w:tc>
          <w:tcPr>
            <w:tcW w:w="170" w:type="dxa"/>
            <w:tcBorders/>
            <w:shd w:fill="FFFFFF" w:val="clear"/>
            <w:vAlign w:val="center"/>
          </w:tcPr>
          <w:p>
            <w:pPr>
              <w:pStyle w:val="TableContents"/>
              <w:bidi w:val="0"/>
              <w:spacing w:before="0" w:after="283"/>
              <w:jc w:val="left"/>
              <w:rPr/>
            </w:pPr>
            <w:r>
              <w:rPr/>
              <w:t>)</w:t>
            </w:r>
            <w:bookmarkStart w:id="185" w:name="xdx_40F_eus-gaap--NetCashProvidedByUsedI"/>
            <w:bookmarkEnd w:id="185"/>
          </w:p>
        </w:tc>
      </w:tr>
      <w:tr>
        <w:trPr/>
        <w:tc>
          <w:tcPr>
            <w:tcW w:w="7415"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186" w:name="xdx_406_eus-gaap--ProceedsFromIssuanceOr"/>
            <w:bookmarkEnd w:id="186"/>
          </w:p>
        </w:tc>
      </w:tr>
      <w:tr>
        <w:trPr/>
        <w:tc>
          <w:tcPr>
            <w:tcW w:w="7415" w:type="dxa"/>
            <w:tcBorders/>
            <w:shd w:fill="FFFFFF" w:val="clear"/>
            <w:vAlign w:val="center"/>
          </w:tcPr>
          <w:p>
            <w:pPr>
              <w:pStyle w:val="TableContents"/>
              <w:bidi w:val="0"/>
              <w:spacing w:before="0" w:after="283"/>
              <w:jc w:val="left"/>
              <w:rPr/>
            </w:pPr>
            <w:r>
              <w:rPr/>
              <w:t>Issuance of common stock and warrants, net of issuance costs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FFFFFF" w:val="clear"/>
            <w:tcMar>
              <w:bottom w:w="28" w:type="dxa"/>
            </w:tcMar>
            <w:vAlign w:val="center"/>
          </w:tcPr>
          <w:p>
            <w:pPr>
              <w:pStyle w:val="TableContents"/>
              <w:bidi w:val="0"/>
              <w:spacing w:before="0" w:after="283"/>
              <w:jc w:val="right"/>
              <w:rPr/>
            </w:pPr>
            <w:r>
              <w:rPr/>
              <w:t>6,558</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FFFFFF" w:val="clear"/>
            <w:tcMar>
              <w:bottom w:w="28" w:type="dxa"/>
            </w:tcMar>
            <w:vAlign w:val="center"/>
          </w:tcPr>
          <w:p>
            <w:pPr>
              <w:pStyle w:val="TableContents"/>
              <w:bidi w:val="0"/>
              <w:spacing w:before="0" w:after="283"/>
              <w:jc w:val="right"/>
              <w:rPr/>
            </w:pPr>
            <w:r>
              <w:rPr/>
              <w:t>4,324</w:t>
            </w:r>
          </w:p>
        </w:tc>
        <w:tc>
          <w:tcPr>
            <w:tcW w:w="170" w:type="dxa"/>
            <w:tcBorders/>
            <w:shd w:fill="FFFFFF" w:val="clear"/>
            <w:vAlign w:val="center"/>
          </w:tcPr>
          <w:p>
            <w:pPr>
              <w:pStyle w:val="TableContents"/>
              <w:bidi w:val="0"/>
              <w:spacing w:before="0" w:after="283"/>
              <w:jc w:val="left"/>
              <w:rPr/>
            </w:pPr>
            <w:r>
              <w:rPr/>
              <w:t> </w:t>
            </w:r>
            <w:bookmarkStart w:id="187" w:name="xdx_407_eus-gaap--NetCashProvidedByUsedI"/>
            <w:bookmarkEnd w:id="187"/>
          </w:p>
        </w:tc>
      </w:tr>
      <w:tr>
        <w:trPr/>
        <w:tc>
          <w:tcPr>
            <w:tcW w:w="7415" w:type="dxa"/>
            <w:tcBorders/>
            <w:shd w:fill="CCEEFF" w:val="clear"/>
            <w:vAlign w:val="center"/>
          </w:tcPr>
          <w:p>
            <w:pPr>
              <w:pStyle w:val="TableContents"/>
              <w:bidi w:val="0"/>
              <w:spacing w:before="0" w:after="283"/>
              <w:jc w:val="left"/>
              <w:rPr/>
            </w:pPr>
            <w:r>
              <w:rPr/>
              <w:t>Net cash flows provided by financing activities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6,558</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4,324</w:t>
            </w:r>
          </w:p>
        </w:tc>
        <w:tc>
          <w:tcPr>
            <w:tcW w:w="170" w:type="dxa"/>
            <w:tcBorders/>
            <w:shd w:fill="CCEEFF" w:val="clear"/>
            <w:vAlign w:val="center"/>
          </w:tcPr>
          <w:p>
            <w:pPr>
              <w:pStyle w:val="TableContents"/>
              <w:bidi w:val="0"/>
              <w:spacing w:before="0" w:after="283"/>
              <w:jc w:val="left"/>
              <w:rPr/>
            </w:pPr>
            <w:r>
              <w:rPr/>
              <w:t> </w:t>
            </w:r>
          </w:p>
        </w:tc>
      </w:tr>
      <w:tr>
        <w:trPr/>
        <w:tc>
          <w:tcPr>
            <w:tcW w:w="7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188" w:name="xdx_40A_eus-gaap--CashCashEquivalentsRes"/>
            <w:bookmarkEnd w:id="188"/>
          </w:p>
        </w:tc>
      </w:tr>
      <w:tr>
        <w:trPr/>
        <w:tc>
          <w:tcPr>
            <w:tcW w:w="7415" w:type="dxa"/>
            <w:tcBorders/>
            <w:shd w:fill="CCEEFF" w:val="clear"/>
            <w:vAlign w:val="center"/>
          </w:tcPr>
          <w:p>
            <w:pPr>
              <w:pStyle w:val="TableContents"/>
              <w:bidi w:val="0"/>
              <w:spacing w:before="0" w:after="283"/>
              <w:jc w:val="left"/>
              <w:rPr/>
            </w:pPr>
            <w:r>
              <w:rPr/>
              <w:t>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(2</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(11,061</w:t>
            </w:r>
          </w:p>
        </w:tc>
        <w:tc>
          <w:tcPr>
            <w:tcW w:w="170" w:type="dxa"/>
            <w:tcBorders/>
            <w:shd w:fill="CCEEFF" w:val="clear"/>
            <w:vAlign w:val="center"/>
          </w:tcPr>
          <w:p>
            <w:pPr>
              <w:pStyle w:val="TableContents"/>
              <w:bidi w:val="0"/>
              <w:spacing w:before="0" w:after="283"/>
              <w:jc w:val="left"/>
              <w:rPr/>
            </w:pPr>
            <w:r>
              <w:rPr/>
              <w:t>)</w:t>
            </w:r>
            <w:bookmarkStart w:id="189" w:name="xdx_409_eus-gaap--CashCashEquivalentsRes"/>
            <w:bookmarkEnd w:id="189"/>
          </w:p>
        </w:tc>
      </w:tr>
      <w:tr>
        <w:trPr/>
        <w:tc>
          <w:tcPr>
            <w:tcW w:w="7415" w:type="dxa"/>
            <w:tcBorders/>
            <w:shd w:fill="FFFFFF" w:val="clear"/>
            <w:vAlign w:val="center"/>
          </w:tcPr>
          <w:p>
            <w:pPr>
              <w:pStyle w:val="TableContents"/>
              <w:bidi w:val="0"/>
              <w:spacing w:before="0" w:after="283"/>
              <w:jc w:val="left"/>
              <w:rPr/>
            </w:pPr>
            <w:r>
              <w:rPr/>
              <w:t>Cash, cash equivalents and restricted cash at beginning of year</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FFFFFF" w:val="clear"/>
            <w:tcMar>
              <w:bottom w:w="28" w:type="dxa"/>
            </w:tcMar>
            <w:vAlign w:val="center"/>
          </w:tcPr>
          <w:p>
            <w:pPr>
              <w:pStyle w:val="TableContents"/>
              <w:bidi w:val="0"/>
              <w:spacing w:before="0" w:after="283"/>
              <w:jc w:val="right"/>
              <w:rPr/>
            </w:pPr>
            <w:r>
              <w:rPr/>
              <w:t>2,519</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FFFFFF" w:val="clear"/>
            <w:tcMar>
              <w:bottom w:w="28" w:type="dxa"/>
            </w:tcMar>
            <w:vAlign w:val="center"/>
          </w:tcPr>
          <w:p>
            <w:pPr>
              <w:pStyle w:val="TableContents"/>
              <w:bidi w:val="0"/>
              <w:spacing w:before="0" w:after="283"/>
              <w:jc w:val="right"/>
              <w:rPr/>
            </w:pPr>
            <w:r>
              <w:rPr/>
              <w:t>13,580</w:t>
            </w:r>
          </w:p>
        </w:tc>
        <w:tc>
          <w:tcPr>
            <w:tcW w:w="170" w:type="dxa"/>
            <w:tcBorders/>
            <w:shd w:fill="FFFFFF" w:val="clear"/>
            <w:vAlign w:val="center"/>
          </w:tcPr>
          <w:p>
            <w:pPr>
              <w:pStyle w:val="TableContents"/>
              <w:bidi w:val="0"/>
              <w:spacing w:before="0" w:after="283"/>
              <w:jc w:val="left"/>
              <w:rPr/>
            </w:pPr>
            <w:r>
              <w:rPr/>
              <w:t> </w:t>
            </w:r>
            <w:bookmarkStart w:id="190" w:name="xdx_402_eus-gaap--CashCashEquivalentsRes"/>
            <w:bookmarkEnd w:id="190"/>
          </w:p>
        </w:tc>
      </w:tr>
      <w:tr>
        <w:trPr/>
        <w:tc>
          <w:tcPr>
            <w:tcW w:w="7415" w:type="dxa"/>
            <w:tcBorders/>
            <w:shd w:fill="CCEEFF" w:val="clear"/>
            <w:vAlign w:val="center"/>
          </w:tcPr>
          <w:p>
            <w:pPr>
              <w:pStyle w:val="TableContents"/>
              <w:bidi w:val="0"/>
              <w:spacing w:before="0" w:after="283"/>
              <w:jc w:val="left"/>
              <w:rPr/>
            </w:pPr>
            <w:r>
              <w:rPr/>
              <w:t>Cash, cash equivalents and restricted cash at ending of year</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40" w:type="dxa"/>
            <w:tcBorders>
              <w:bottom w:val="double" w:sz="6" w:space="0" w:color="000000"/>
            </w:tcBorders>
            <w:shd w:fill="CCEEFF" w:val="clear"/>
            <w:tcMar>
              <w:bottom w:w="28" w:type="dxa"/>
            </w:tcMar>
            <w:vAlign w:val="center"/>
          </w:tcPr>
          <w:p>
            <w:pPr>
              <w:pStyle w:val="TableContents"/>
              <w:bidi w:val="0"/>
              <w:spacing w:before="0" w:after="283"/>
              <w:jc w:val="right"/>
              <w:rPr/>
            </w:pPr>
            <w:r>
              <w:rPr/>
              <w:t>2,517</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40" w:type="dxa"/>
            <w:tcBorders>
              <w:bottom w:val="double" w:sz="6" w:space="0" w:color="000000"/>
            </w:tcBorders>
            <w:shd w:fill="CCEEFF" w:val="clear"/>
            <w:tcMar>
              <w:bottom w:w="28" w:type="dxa"/>
            </w:tcMar>
            <w:vAlign w:val="center"/>
          </w:tcPr>
          <w:p>
            <w:pPr>
              <w:pStyle w:val="TableContents"/>
              <w:bidi w:val="0"/>
              <w:spacing w:before="0" w:after="283"/>
              <w:jc w:val="right"/>
              <w:rPr/>
            </w:pPr>
            <w:r>
              <w:rPr/>
              <w:t>2,519</w:t>
            </w:r>
          </w:p>
        </w:tc>
        <w:tc>
          <w:tcPr>
            <w:tcW w:w="170" w:type="dxa"/>
            <w:tcBorders/>
            <w:shd w:fill="CCEEFF" w:val="clear"/>
            <w:vAlign w:val="center"/>
          </w:tcPr>
          <w:p>
            <w:pPr>
              <w:pStyle w:val="TableContents"/>
              <w:bidi w:val="0"/>
              <w:spacing w:before="0" w:after="283"/>
              <w:jc w:val="left"/>
              <w:rPr/>
            </w:pPr>
            <w:r>
              <w:rPr/>
              <w:t> </w:t>
            </w:r>
          </w:p>
        </w:tc>
      </w:tr>
      <w:tr>
        <w:trPr/>
        <w:tc>
          <w:tcPr>
            <w:tcW w:w="7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191" w:name="xdx_403_eus-gaap--SupplementalCashFlowEl"/>
            <w:bookmarkEnd w:id="191"/>
          </w:p>
        </w:tc>
      </w:tr>
      <w:tr>
        <w:trPr/>
        <w:tc>
          <w:tcPr>
            <w:tcW w:w="7415" w:type="dxa"/>
            <w:tcBorders/>
            <w:shd w:fill="CCEEFF" w:val="clear"/>
            <w:vAlign w:val="center"/>
          </w:tcPr>
          <w:p>
            <w:pPr>
              <w:pStyle w:val="TableContents"/>
              <w:bidi w:val="0"/>
              <w:spacing w:before="0" w:after="283"/>
              <w:jc w:val="left"/>
              <w:rPr/>
            </w:pPr>
            <w:r>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192" w:name="xdx_40E_eus-gaap--InterestPaidNet_i01_zb"/>
            <w:bookmarkEnd w:id="192"/>
          </w:p>
        </w:tc>
      </w:tr>
      <w:tr>
        <w:trPr/>
        <w:tc>
          <w:tcPr>
            <w:tcW w:w="7415" w:type="dxa"/>
            <w:tcBorders/>
            <w:shd w:fill="CCEEFF" w:val="clear"/>
            <w:vAlign w:val="center"/>
          </w:tcPr>
          <w:p>
            <w:pPr>
              <w:pStyle w:val="TableContents"/>
              <w:bidi w:val="0"/>
              <w:spacing w:before="0" w:after="283"/>
              <w:jc w:val="left"/>
              <w:rPr/>
            </w:pPr>
            <w:r>
              <w:rPr/>
              <w:t>Cash received from interest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40" w:type="dxa"/>
            <w:tcBorders>
              <w:bottom w:val="double" w:sz="6" w:space="0" w:color="000000"/>
            </w:tcBorders>
            <w:shd w:fill="CCEEFF" w:val="clear"/>
            <w:tcMar>
              <w:bottom w:w="28" w:type="dxa"/>
            </w:tcMar>
            <w:vAlign w:val="center"/>
          </w:tcPr>
          <w:p>
            <w:pPr>
              <w:pStyle w:val="TableContents"/>
              <w:bidi w:val="0"/>
              <w:spacing w:before="0" w:after="283"/>
              <w:jc w:val="right"/>
              <w:rPr/>
            </w:pPr>
            <w:r>
              <w:rPr/>
              <w:t>130</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40" w:type="dxa"/>
            <w:tcBorders>
              <w:bottom w:val="double" w:sz="6" w:space="0" w:color="000000"/>
            </w:tcBorders>
            <w:shd w:fill="CCEEFF" w:val="clear"/>
            <w:tcMar>
              <w:bottom w:w="28" w:type="dxa"/>
            </w:tcMar>
            <w:vAlign w:val="center"/>
          </w:tcPr>
          <w:p>
            <w:pPr>
              <w:pStyle w:val="TableContents"/>
              <w:bidi w:val="0"/>
              <w:spacing w:before="0" w:after="283"/>
              <w:jc w:val="right"/>
              <w:rPr/>
            </w:pPr>
            <w:r>
              <w:rPr/>
              <w:t>51</w:t>
            </w:r>
          </w:p>
        </w:tc>
        <w:tc>
          <w:tcPr>
            <w:tcW w:w="170" w:type="dxa"/>
            <w:tcBorders/>
            <w:shd w:fill="CCEEFF" w:val="clear"/>
            <w:vAlign w:val="center"/>
          </w:tcPr>
          <w:p>
            <w:pPr>
              <w:pStyle w:val="TableContents"/>
              <w:bidi w:val="0"/>
              <w:spacing w:before="0" w:after="283"/>
              <w:jc w:val="left"/>
              <w:rPr/>
            </w:pPr>
            <w:r>
              <w:rPr/>
              <w:t> </w:t>
            </w:r>
            <w:bookmarkStart w:id="193" w:name="xdx_40B_eus-gaap--RightOfUseAssetObtaine"/>
            <w:bookmarkEnd w:id="193"/>
          </w:p>
        </w:tc>
      </w:tr>
      <w:tr>
        <w:trPr/>
        <w:tc>
          <w:tcPr>
            <w:tcW w:w="7415" w:type="dxa"/>
            <w:tcBorders/>
            <w:shd w:fill="FFFFFF" w:val="clear"/>
            <w:vAlign w:val="center"/>
          </w:tcPr>
          <w:p>
            <w:pPr>
              <w:pStyle w:val="TableContents"/>
              <w:bidi w:val="0"/>
              <w:spacing w:before="0" w:after="283"/>
              <w:jc w:val="left"/>
              <w:rPr/>
            </w:pPr>
            <w:r>
              <w:rPr/>
              <w:t>Right-of-use assets obtained in exchange for lease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40" w:type="dxa"/>
            <w:tcBorders>
              <w:bottom w:val="double" w:sz="6" w:space="0" w:color="000000"/>
            </w:tcBorders>
            <w:shd w:fill="FFFFFF" w:val="clear"/>
            <w:tcMar>
              <w:bottom w:w="28" w:type="dxa"/>
            </w:tcMar>
            <w:vAlign w:val="center"/>
          </w:tcPr>
          <w:p>
            <w:pPr>
              <w:pStyle w:val="TableContents"/>
              <w:bidi w:val="0"/>
              <w:spacing w:before="0" w:after="283"/>
              <w:jc w:val="right"/>
              <w:rPr/>
            </w:pPr>
            <w:r>
              <w:rPr/>
              <w:t>50</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40" w:type="dxa"/>
            <w:tcBorders>
              <w:bottom w:val="double" w:sz="6" w:space="0" w:color="000000"/>
            </w:tcBorders>
            <w:shd w:fill="FFFFFF" w:val="clear"/>
            <w:tcMar>
              <w:bottom w:w="28" w:type="dxa"/>
            </w:tcMar>
            <w:vAlign w:val="center"/>
          </w:tcPr>
          <w:p>
            <w:pPr>
              <w:pStyle w:val="TableContents"/>
              <w:bidi w:val="0"/>
              <w:spacing w:before="0" w:after="283"/>
              <w:jc w:val="right"/>
              <w:rPr/>
            </w:pPr>
            <w:r>
              <w:rPr/>
              <w:t>103</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94" w:name="ku_006"/>
      <w:bookmarkEnd w:id="194"/>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5" w:name="xdx_80A_eus-gaap--NatureOfOperations_zUN"/>
      <w:bookmarkEnd w:id="195"/>
      <w:r>
        <w:rPr>
          <w:rFonts w:ascii="Times New Roman;Times;Serif" w:hAnsi="Times New Roman;Times;Serif"/>
          <w:b/>
          <w:i w:val="false"/>
          <w:caps w:val="false"/>
          <w:smallCaps w:val="false"/>
          <w:sz w:val="20"/>
        </w:rPr>
        <w:t xml:space="preserve">NOTE 1 – </w:t>
      </w:r>
      <w:bookmarkStart w:id="196" w:name="xdx_822_z73haUIzFnXk"/>
      <w:bookmarkEnd w:id="196"/>
      <w:r>
        <w:rPr>
          <w:rFonts w:ascii="Times New Roman;Times;Serif" w:hAnsi="Times New Roman;Times;Serif"/>
          <w:b/>
          <w:i w:val="false"/>
          <w:caps w:val="false"/>
          <w:smallCaps w:val="false"/>
          <w:sz w:val="20"/>
        </w:rPr>
        <w:t>GENERAL</w:t>
      </w:r>
    </w:p>
    <w:p>
      <w:pPr>
        <w:pStyle w:val="TextBody"/>
        <w:bidi w:val="0"/>
        <w:spacing w:before="0" w:after="0"/>
        <w:ind w:left="171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Description of business:</w:t>
      </w:r>
    </w:p>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micro-robotic technologies with the goal of redefining surgical robotics while improving surgical outcomes for patients.</w:t>
      </w:r>
    </w:p>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incorporated on </w:t>
      </w:r>
      <w:bookmarkStart w:id="197" w:name="xdx_90A_edei--EntityIncorporationDateOfI"/>
      <w:bookmarkEnd w:id="197"/>
      <w:r>
        <w:rPr>
          <w:rFonts w:ascii="Times New Roman;Times;Serif" w:hAnsi="Times New Roman;Times;Serif"/>
          <w:b w:val="false"/>
          <w:i w:val="false"/>
          <w:caps w:val="false"/>
          <w:smallCaps w:val="false"/>
          <w:sz w:val="20"/>
        </w:rPr>
        <w:t>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subsidiary are sometimes collectively referred to as the “Company” as the context may require.</w:t>
      </w:r>
    </w:p>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Risk Factors:</w:t>
      </w:r>
    </w:p>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Going Concern</w:t>
      </w:r>
    </w:p>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Company has not generated revenues from its operations. As of December 31, 2023, the Company had cash equivalents and marketable securities balance of approximately $</w:t>
      </w:r>
      <w:bookmarkStart w:id="198" w:name="xdx_906_eus-gaap--CashCashEquivalentsAnd"/>
      <w:bookmarkEnd w:id="198"/>
      <w:r>
        <w:rPr>
          <w:rFonts w:ascii="Times New Roman;Times;Serif" w:hAnsi="Times New Roman;Times;Serif"/>
          <w:b w:val="false"/>
          <w:i w:val="false"/>
          <w:caps w:val="false"/>
          <w:smallCaps w:val="false"/>
          <w:sz w:val="20"/>
        </w:rPr>
        <w:t>6,385, excluding restricted cash. Due to continuing research and development activities, the Company expects to continue to incur additional losses for the foreseeable future. The Company implemented a cost reduction program in May 2023, and consummated capital raises in May and June 2023 and in January 2024. The Company will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these conditions raise substantial doubt about the Company’s ability to continue as a going concern.</w:t>
      </w:r>
    </w:p>
    <w:p>
      <w:pPr>
        <w:pStyle w:val="TextBody"/>
        <w:bidi w:val="0"/>
        <w:spacing w:before="0" w:after="0"/>
        <w:ind w:left="108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Risk Factors: </w:t>
      </w:r>
    </w:p>
    <w:p>
      <w:pPr>
        <w:pStyle w:val="TextBody"/>
        <w:bidi w:val="0"/>
        <w:spacing w:before="0" w:after="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War in Israel</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the State of Israel, where the Company’s operations are primarily based, suffered a surprise attack by hostile forces from Gaza, which led to the declaration by Israel of the “Iron Swords” military operation. This military operation and related activities are on-going as of the issuance date of these financial statements.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considered various ongoing risks relating to the military operation and related matters, including:</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some of the Company’s Israeli subcontractors, vendors, suppliers and other companies in which the Company relies, are currently only partially active, as instructed by the relevant authorities;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slowdown in the number of international flights in and out of Israel.</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closely monitoring how the military operation and related activities could adversely affect its anticipated milestones and its Israel-based activities to support future clinical and regulatory milestones, including the Company’s ability to import materials that are required to construct the Company’s devices and to ship them outside of Israel. As of the issuance date of these financial statements,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9" w:name="xdx_80C_eus-gaap--SignificantAccountingP"/>
      <w:bookmarkEnd w:id="199"/>
      <w:r>
        <w:rPr>
          <w:rFonts w:ascii="Times New Roman;Times;Serif" w:hAnsi="Times New Roman;Times;Serif"/>
          <w:b/>
          <w:i w:val="false"/>
          <w:caps w:val="false"/>
          <w:smallCaps w:val="false"/>
          <w:sz w:val="20"/>
        </w:rPr>
        <w:t xml:space="preserve">NOTE 2 - </w:t>
      </w:r>
      <w:bookmarkStart w:id="200" w:name="xdx_820_zmAw2dqfcpoe"/>
      <w:bookmarkEnd w:id="200"/>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accounting policies applied in the preparation of the financial statements are as follows:</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201" w:name="xdx_84E_eus-gaap--BasisOfAccountingPolic"/>
      <w:bookmarkEnd w:id="201"/>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w:t>
      </w:r>
      <w:bookmarkStart w:id="202" w:name="xdx_86E_zTtXc0eJomue"/>
      <w:bookmarkEnd w:id="202"/>
      <w:r>
        <w:rPr>
          <w:rFonts w:ascii="Times New Roman;Times;Serif" w:hAnsi="Times New Roman;Times;Serif"/>
          <w:b/>
          <w:i w:val="false"/>
          <w:caps w:val="false"/>
          <w:smallCaps w:val="false"/>
          <w:sz w:val="20"/>
        </w:rPr>
        <w:t>Basis of presentation:</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have been prepared in conformity with accounting principles generally accepted in the United States of America (“US GAAP”).</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203" w:name="xdx_84D_eus-gaap--ForeignCurrencyTransac"/>
      <w:bookmarkEnd w:id="203"/>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w:t>
      </w:r>
      <w:bookmarkStart w:id="204" w:name="xdx_862_zYLDXi5B4be4"/>
      <w:bookmarkEnd w:id="204"/>
      <w:r>
        <w:rPr>
          <w:rFonts w:ascii="Times New Roman;Times;Serif" w:hAnsi="Times New Roman;Times;Serif"/>
          <w:b/>
          <w:i w:val="false"/>
          <w:caps w:val="false"/>
          <w:smallCaps w:val="false"/>
          <w:sz w:val="20"/>
        </w:rPr>
        <w:t>Financial statement in U.S. dollars:</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the Company is the U.S. dollar (“dollar”) since the dollar is the currency of the primary economic environment in which the Company has operated and expects to continue to operate in the foreseeable future.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and balances denominated in dollars are presented at their original amounts. Transactions and balances denominated in foreign currencies have been re-measured to dollars in accordance with the provisions of Accounting Standards Codification (“ASC”) 830-10, “Foreign Currency Translation”.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transaction gains and losses from re-measurement of monetary balance sheet items denominated in non-dollar currencies are reflected in the statements of comprehensive loss as financial income or expenses, as appropriate.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205" w:name="xdx_84B_eus-gaap--UseOfEstimates_zg5FAmS"/>
      <w:bookmarkEnd w:id="205"/>
      <w:r>
        <w:rPr>
          <w:rFonts w:ascii="Times New Roman;Times;Serif" w:hAnsi="Times New Roman;Times;Serif"/>
          <w:b/>
          <w:i w:val="false"/>
          <w:caps w:val="false"/>
          <w:smallCaps w:val="false"/>
          <w:sz w:val="20"/>
        </w:rPr>
        <w:t xml:space="preserve">C. </w:t>
      </w:r>
      <w:bookmarkStart w:id="206" w:name="xdx_869_zq1dqYYMHQq4"/>
      <w:bookmarkEnd w:id="206"/>
      <w:r>
        <w:rPr>
          <w:rFonts w:ascii="Times New Roman;Times;Serif" w:hAnsi="Times New Roman;Times;Serif"/>
          <w:b/>
          <w:i w:val="false"/>
          <w:caps w:val="false"/>
          <w:smallCaps w:val="false"/>
          <w:sz w:val="20"/>
        </w:rPr>
        <w:t>Use of estimates:</w:t>
      </w:r>
    </w:p>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pStyle w:val="TextBody"/>
        <w:bidi w:val="0"/>
        <w:spacing w:before="0" w:after="0"/>
        <w:ind w:left="108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bookmarkStart w:id="207" w:name="xdx_84E_eus-gaap--ConsolidationPolicyTex"/>
      <w:bookmarkEnd w:id="207"/>
      <w:r>
        <w:rPr>
          <w:rFonts w:ascii="Times New Roman;Times;Serif" w:hAnsi="Times New Roman;Times;Serif"/>
          <w:b/>
          <w:i w:val="false"/>
          <w:caps w:val="false"/>
          <w:smallCaps w:val="false"/>
          <w:sz w:val="20"/>
        </w:rPr>
        <w:t xml:space="preserve">D. </w:t>
      </w:r>
      <w:bookmarkStart w:id="208" w:name="xdx_869_zLdC1TOHYANc"/>
      <w:bookmarkEnd w:id="208"/>
      <w:r>
        <w:rPr>
          <w:rFonts w:ascii="Times New Roman;Times;Serif" w:hAnsi="Times New Roman;Times;Serif"/>
          <w:b/>
          <w:i w:val="false"/>
          <w:caps w:val="false"/>
          <w:smallCaps w:val="false"/>
          <w:sz w:val="20"/>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accounts of the Company and its wholly owned subsidiary. Inter-company balances and transactions have been eliminated in consolidation.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bookmarkStart w:id="209" w:name="xdx_847_eus-gaap--ComparabilityOfPriorYe"/>
      <w:bookmarkEnd w:id="209"/>
      <w:r>
        <w:rPr>
          <w:rFonts w:ascii="Times New Roman;Times;Serif" w:hAnsi="Times New Roman;Times;Serif"/>
          <w:b/>
          <w:i w:val="false"/>
          <w:caps w:val="false"/>
          <w:smallCaps w:val="false"/>
          <w:sz w:val="20"/>
        </w:rPr>
        <w:t xml:space="preserve">E. </w:t>
      </w:r>
      <w:bookmarkStart w:id="210" w:name="xdx_86B_zcTqnfzQfUqf"/>
      <w:bookmarkEnd w:id="210"/>
      <w:r>
        <w:rPr>
          <w:rFonts w:ascii="Times New Roman;Times;Serif" w:hAnsi="Times New Roman;Times;Serif"/>
          <w:b/>
          <w:i w:val="false"/>
          <w:caps w:val="false"/>
          <w:smallCaps w:val="false"/>
          <w:sz w:val="20"/>
        </w:rPr>
        <w:t>Reclassification of prior year disclosures:</w:t>
      </w:r>
    </w:p>
    <w:p>
      <w:pPr>
        <w:pStyle w:val="TextBody"/>
        <w:bidi w:val="0"/>
        <w:jc w:val="left"/>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year amounts have been reclassified for consistency with the current year disclosures. These reclassifications had no effect on the reported consolidated balance sheets, the related consolidated statements of comprehensive loss, shareholders’ equity and cash flows.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bookmarkStart w:id="211" w:name="xdx_847_eus-gaap--BusinessCombinationsPo"/>
      <w:bookmarkEnd w:id="211"/>
      <w:r>
        <w:rPr>
          <w:rFonts w:ascii="Times New Roman;Times;Serif" w:hAnsi="Times New Roman;Times;Serif"/>
          <w:b/>
          <w:i w:val="false"/>
          <w:caps w:val="false"/>
          <w:smallCaps w:val="false"/>
          <w:sz w:val="20"/>
        </w:rPr>
        <w:t xml:space="preserve">F. </w:t>
      </w:r>
      <w:bookmarkStart w:id="212" w:name="xdx_86D_zdlden1wdTqa"/>
      <w:bookmarkEnd w:id="212"/>
      <w:r>
        <w:rPr>
          <w:rFonts w:ascii="Times New Roman;Times;Serif" w:hAnsi="Times New Roman;Times;Serif"/>
          <w:b/>
          <w:i w:val="false"/>
          <w:caps w:val="false"/>
          <w:smallCaps w:val="false"/>
          <w:sz w:val="20"/>
        </w:rPr>
        <w:t>Acquisitions of assets: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acquisitions of assets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or not the Company has acquired inputs and processes that have the ability to create outputs which would meet the definition of a business. Significant judgment is required in the application of the screen test to determine whether an acquisition is accounted for as business combination or an acquisition of assets.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213" w:name="xdx_849_eus-gaap--CashAndCashEquivalents"/>
      <w:bookmarkEnd w:id="213"/>
      <w:r>
        <w:rPr>
          <w:rFonts w:ascii="Times New Roman;Times;Serif" w:hAnsi="Times New Roman;Times;Serif"/>
          <w:b/>
          <w:i w:val="false"/>
          <w:caps w:val="false"/>
          <w:smallCaps w:val="false"/>
          <w:sz w:val="20"/>
        </w:rPr>
        <w:t xml:space="preserve">G. </w:t>
      </w:r>
      <w:bookmarkStart w:id="214" w:name="xdx_86C_zbJS2M35Osca"/>
      <w:bookmarkEnd w:id="214"/>
      <w:r>
        <w:rPr>
          <w:rFonts w:ascii="Times New Roman;Times;Serif" w:hAnsi="Times New Roman;Times;Serif"/>
          <w:b/>
          <w:i w:val="false"/>
          <w:caps w:val="false"/>
          <w:smallCaps w:val="false"/>
          <w:sz w:val="20"/>
        </w:rPr>
        <w:t>Cash and cash equivalents:</w:t>
      </w:r>
    </w:p>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 of cash and demand deposits in banks, and other short-term liquid investments (primarily interest-bearing time deposits) with original maturities of three months or less at the date of purchase.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bookmarkStart w:id="215" w:name="xdx_840_eus-gaap--CashAndCashEquivalents"/>
      <w:bookmarkEnd w:id="215"/>
      <w:r>
        <w:rPr>
          <w:rFonts w:ascii="Times New Roman;Times;Serif" w:hAnsi="Times New Roman;Times;Serif"/>
          <w:b/>
          <w:i w:val="false"/>
          <w:caps w:val="false"/>
          <w:smallCaps w:val="false"/>
          <w:sz w:val="20"/>
        </w:rPr>
        <w:t xml:space="preserve">H. </w:t>
      </w:r>
      <w:bookmarkStart w:id="216" w:name="xdx_86B_zua8oP2kPTWk"/>
      <w:bookmarkEnd w:id="216"/>
      <w:r>
        <w:rPr>
          <w:rFonts w:ascii="Times New Roman;Times;Serif" w:hAnsi="Times New Roman;Times;Serif"/>
          <w:b/>
          <w:i w:val="false"/>
          <w:caps w:val="false"/>
          <w:smallCaps w:val="false"/>
          <w:sz w:val="20"/>
        </w:rPr>
        <w:t>Restricted cash:</w:t>
      </w:r>
    </w:p>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of $</w:t>
      </w:r>
      <w:bookmarkStart w:id="217" w:name="xdx_90B_eus-gaap--RestrictedCash_iI_c202"/>
      <w:bookmarkEnd w:id="217"/>
      <w:r>
        <w:rPr>
          <w:rFonts w:ascii="Times New Roman;Times;Serif" w:hAnsi="Times New Roman;Times;Serif"/>
          <w:b w:val="false"/>
          <w:i w:val="false"/>
          <w:caps w:val="false"/>
          <w:smallCaps w:val="false"/>
          <w:sz w:val="20"/>
        </w:rPr>
        <w:t>49 as of December 31, 2023, serves as collateral for the Company’s lease agreement, and $</w:t>
      </w:r>
      <w:bookmarkStart w:id="218" w:name="xdx_904_eus-gaap--RestrictedCash_iI_c202"/>
      <w:bookmarkEnd w:id="218"/>
      <w:r>
        <w:rPr>
          <w:rFonts w:ascii="Times New Roman;Times;Serif" w:hAnsi="Times New Roman;Times;Serif"/>
          <w:b w:val="false"/>
          <w:i w:val="false"/>
          <w:caps w:val="false"/>
          <w:smallCaps w:val="false"/>
          <w:sz w:val="20"/>
        </w:rPr>
        <w:t>77 as of December 31, 2022, serves as collateral for lease agreements and credit cards.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bookmarkStart w:id="219" w:name="xdx_840_eus-gaap--FairValueOfFinancialIn"/>
      <w:bookmarkEnd w:id="219"/>
      <w:r>
        <w:rPr>
          <w:rFonts w:ascii="Times New Roman;Times;Serif" w:hAnsi="Times New Roman;Times;Serif"/>
          <w:b/>
          <w:i w:val="false"/>
          <w:caps w:val="false"/>
          <w:smallCaps w:val="false"/>
          <w:sz w:val="20"/>
        </w:rPr>
        <w:t xml:space="preserve">I. </w:t>
      </w:r>
      <w:bookmarkStart w:id="220" w:name="xdx_86C_z9rmOyxwYEId"/>
      <w:bookmarkEnd w:id="220"/>
      <w:r>
        <w:rPr>
          <w:rFonts w:ascii="Times New Roman;Times;Serif" w:hAnsi="Times New Roman;Times;Serif"/>
          <w:b/>
          <w:i w:val="false"/>
          <w:caps w:val="false"/>
          <w:smallCaps w:val="false"/>
          <w:sz w:val="20"/>
        </w:rPr>
        <w:t>Fair value of financial instruments:</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values of cash and cash equivalents, other receivable and other accounts payable and accrued liabilities approximate their fair value due to the short-term maturity of these instruments.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the fair value of certain of its financial instruments (such as marketable securities) on a recurring basis. The method of determining the fair value of marketable securities is discussed in Note 4 below.</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fair value hierarchy is used to rank the quality and reliability of the information used to determine fair values. Financial assets and liabilities carried at fair value will be classified and disclosed in one of the following three categories: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Level 1 </w:t>
      </w:r>
      <w:r>
        <w:rPr>
          <w:rFonts w:ascii="Times New Roman;Times;Serif" w:hAnsi="Times New Roman;Times;Serif"/>
          <w:b w:val="false"/>
          <w:i w:val="false"/>
          <w:caps w:val="false"/>
          <w:smallCaps w:val="false"/>
          <w:sz w:val="20"/>
        </w:rPr>
        <w:t>- Quoted prices (unadjusted) in active markets for identical assets and liabilities.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2</w:t>
      </w:r>
      <w:r>
        <w:rPr>
          <w:rFonts w:ascii="Times New Roman;Times;Serif" w:hAnsi="Times New Roman;Times;Serif"/>
          <w:b w:val="false"/>
          <w:i w:val="false"/>
          <w:caps w:val="false"/>
          <w:smallCaps w:val="false"/>
          <w:sz w:val="20"/>
        </w:rPr>
        <w:t xml:space="preserve">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3</w:t>
      </w:r>
      <w:r>
        <w:rPr>
          <w:rFonts w:ascii="Times New Roman;Times;Serif" w:hAnsi="Times New Roman;Times;Serif"/>
          <w:b w:val="false"/>
          <w:i w:val="false"/>
          <w:caps w:val="false"/>
          <w:smallCaps w:val="false"/>
          <w:sz w:val="20"/>
        </w:rPr>
        <w:t xml:space="preserve"> - Unobservable inputs that are supported by little or no market activity and that are significant to the fair value of the assets or liabilities.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bookmarkStart w:id="221" w:name="xdx_840_eus-gaap--ConcentrationRiskCredi"/>
      <w:bookmarkEnd w:id="221"/>
      <w:r>
        <w:rPr>
          <w:rFonts w:ascii="Times New Roman;Times;Serif" w:hAnsi="Times New Roman;Times;Serif"/>
          <w:b/>
          <w:i w:val="false"/>
          <w:caps w:val="false"/>
          <w:smallCaps w:val="false"/>
          <w:sz w:val="20"/>
        </w:rPr>
        <w:t xml:space="preserve">J. </w:t>
      </w:r>
      <w:bookmarkStart w:id="222" w:name="xdx_861_zR2zC9bb3qBj"/>
      <w:bookmarkEnd w:id="222"/>
      <w:r>
        <w:rPr>
          <w:rFonts w:ascii="Times New Roman;Times;Serif" w:hAnsi="Times New Roman;Times;Serif"/>
          <w:b/>
          <w:i w:val="false"/>
          <w:caps w:val="false"/>
          <w:smallCaps w:val="false"/>
          <w:sz w:val="20"/>
        </w:rPr>
        <w:t>Concentrations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which potentially subject the Company to credit risk consist primarily of cash and cash equivalents and marketable securities. The Company holds these investments in highly rated financial institutions.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pStyle w:val="TextBody"/>
        <w:bidi w:val="0"/>
        <w:spacing w:before="0" w:after="0"/>
        <w:ind w:left="144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bookmarkStart w:id="223" w:name="xdx_843_eus-gaap--PropertyPlantAndEquipm"/>
      <w:bookmarkEnd w:id="223"/>
      <w:r>
        <w:rPr>
          <w:rFonts w:ascii="Times New Roman;Times;Serif" w:hAnsi="Times New Roman;Times;Serif"/>
          <w:b/>
          <w:i w:val="false"/>
          <w:caps w:val="false"/>
          <w:smallCaps w:val="false"/>
          <w:sz w:val="20"/>
        </w:rPr>
        <w:t xml:space="preserve">K. </w:t>
      </w:r>
      <w:bookmarkStart w:id="224" w:name="xdx_867_zGFRJynUQa96"/>
      <w:bookmarkEnd w:id="224"/>
      <w:r>
        <w:rPr>
          <w:rFonts w:ascii="Times New Roman;Times;Serif" w:hAnsi="Times New Roman;Times;Serif"/>
          <w:b/>
          <w:i w:val="false"/>
          <w:caps w:val="false"/>
          <w:smallCaps w:val="false"/>
          <w:sz w:val="20"/>
        </w:rPr>
        <w:t>Property and equipment:</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225" w:name="xdx_899_ecustom--ScheduleOfPropertyAndEq"/>
      <w:bookmarkEnd w:id="225"/>
      <w:r>
        <w:rPr>
          <w:rFonts w:ascii="Times New Roman;Times;Serif" w:hAnsi="Times New Roman;Times;Serif"/>
          <w:b w:val="false"/>
          <w:i w:val="false"/>
          <w:caps w:val="false"/>
          <w:smallCaps w:val="false"/>
          <w:sz w:val="20"/>
        </w:rPr>
        <w:t>Property and equipment are presented at cost less accumulated depreciation. Depreciation is calculated based on the straight-line method over the estimated useful lives of the assets, at the following annual rates:</w:t>
      </w:r>
    </w:p>
    <w:p>
      <w:pPr>
        <w:pStyle w:val="TextBody"/>
        <w:bidi w:val="0"/>
        <w:spacing w:before="0" w:after="0"/>
        <w:ind w:left="1701" w:right="0" w:hanging="0"/>
        <w:jc w:val="both"/>
        <w:rPr>
          <w:rFonts w:ascii="Times New Roman;Times;Serif" w:hAnsi="Times New Roman;Times;Serif"/>
          <w:b w:val="false"/>
          <w:i w:val="false"/>
          <w:caps w:val="false"/>
          <w:smallCaps w:val="false"/>
          <w:sz w:val="20"/>
        </w:rPr>
      </w:pPr>
      <w:bookmarkStart w:id="226" w:name="xdx_8BE_zkb6qqSB7pp8"/>
      <w:bookmarkEnd w:id="226"/>
      <w:r>
        <w:rPr>
          <w:rFonts w:ascii="Times New Roman;Times;Serif" w:hAnsi="Times New Roman;Times;Serif"/>
          <w:b w:val="false"/>
          <w:i w:val="false"/>
          <w:caps w:val="false"/>
          <w:smallCaps w:val="false"/>
          <w:sz w:val="20"/>
        </w:rPr>
        <w:t>SCHEDULE OF ESTIMATED USEFUL LIVES OF PROPERTY AND EQUIPMENT </w:t>
      </w:r>
    </w:p>
    <w:tbl>
      <w:tblPr>
        <w:tblW w:w="5155" w:type="dxa"/>
        <w:jc w:val="left"/>
        <w:tblInd w:w="0" w:type="dxa"/>
        <w:tblLayout w:type="fixed"/>
        <w:tblCellMar>
          <w:top w:w="0" w:type="dxa"/>
          <w:left w:w="0" w:type="dxa"/>
          <w:bottom w:w="0" w:type="dxa"/>
          <w:right w:w="0" w:type="dxa"/>
        </w:tblCellMar>
      </w:tblPr>
      <w:tblGrid>
        <w:gridCol w:w="3230"/>
        <w:gridCol w:w="60"/>
        <w:gridCol w:w="60"/>
        <w:gridCol w:w="1730"/>
        <w:gridCol w:w="75"/>
      </w:tblGrid>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Research equipment and software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730" w:type="dxa"/>
            <w:tcBorders/>
            <w:shd w:fill="CCEEFF" w:val="clear"/>
            <w:vAlign w:val="center"/>
          </w:tcPr>
          <w:p>
            <w:pPr>
              <w:pStyle w:val="TableContents"/>
              <w:bidi w:val="0"/>
              <w:spacing w:before="0" w:after="283"/>
              <w:jc w:val="center"/>
              <w:rPr>
                <w:rFonts w:ascii="Times New Roman;Times;Serif" w:hAnsi="Times New Roman;Times;Serif"/>
                <w:sz w:val="20"/>
              </w:rPr>
            </w:pPr>
            <w:bookmarkStart w:id="227" w:name="xdx_909_eus-gaap--PropertyPlantAndEquipm"/>
            <w:bookmarkEnd w:id="227"/>
            <w:r>
              <w:rPr>
                <w:rFonts w:ascii="Times New Roman;Times;Serif" w:hAnsi="Times New Roman;Times;Serif"/>
                <w:sz w:val="20"/>
              </w:rPr>
              <w:t>25-</w:t>
            </w:r>
            <w:bookmarkStart w:id="228" w:name="xdx_90A_eus-gaap--PropertyPlantAndEquipm"/>
            <w:bookmarkEnd w:id="228"/>
            <w:r>
              <w:rPr>
                <w:rFonts w:ascii="Times New Roman;Times;Serif" w:hAnsi="Times New Roman;Times;Serif"/>
                <w:sz w:val="20"/>
              </w:rPr>
              <w:t>33</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Furniture and office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730" w:type="dxa"/>
            <w:tcBorders/>
            <w:shd w:fill="FFFFFF" w:val="clear"/>
            <w:vAlign w:val="center"/>
          </w:tcPr>
          <w:p>
            <w:pPr>
              <w:pStyle w:val="TableContents"/>
              <w:bidi w:val="0"/>
              <w:spacing w:before="0" w:after="283"/>
              <w:jc w:val="center"/>
              <w:rPr/>
            </w:pPr>
            <w:bookmarkStart w:id="229" w:name="xdx_90A_eus-gaap--PropertyPlantAndEquipm"/>
            <w:bookmarkEnd w:id="229"/>
            <w:r>
              <w:rPr/>
              <w:t>7</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730" w:type="dxa"/>
            <w:tcBorders/>
            <w:shd w:fill="CCEEFF" w:val="clear"/>
            <w:vAlign w:val="center"/>
          </w:tcPr>
          <w:p>
            <w:pPr>
              <w:pStyle w:val="TableContents"/>
              <w:bidi w:val="0"/>
              <w:spacing w:before="0" w:after="283"/>
              <w:jc w:val="center"/>
              <w:rPr>
                <w:rFonts w:ascii="Times New Roman;Times;Serif" w:hAnsi="Times New Roman;Times;Serif"/>
                <w:sz w:val="20"/>
              </w:rPr>
            </w:pPr>
            <w:bookmarkStart w:id="230" w:name="xdx_90E_eus-gaap--PropertyPlantAndEquipm"/>
            <w:bookmarkEnd w:id="230"/>
            <w:r>
              <w:rPr>
                <w:rFonts w:ascii="Times New Roman;Times;Serif" w:hAnsi="Times New Roman;Times;Serif"/>
                <w:sz w:val="20"/>
              </w:rPr>
              <w:t>Over the lease period</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440" w:right="0" w:hanging="0"/>
        <w:jc w:val="both"/>
        <w:rPr>
          <w:caps w:val="false"/>
          <w:smallCaps w:val="false"/>
        </w:rPr>
      </w:pPr>
      <w:bookmarkStart w:id="231" w:name="xdx_8A5_zJv258ZilLh7"/>
      <w:bookmarkEnd w:id="231"/>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property and equipment impairment whenever events or changes in circumstances indicate that the carrying amount of the asset may not be recoverable. If such circumstances are determined to exist, an estimate of undiscounted future cash flows produced by the property and equipment assets, or the appropriate grouping of assets, is compared to the carrying value to determine whether impairment exists. If an asset is determined to be impaired, the loss is measured based on the difference between the asset’s estimated fair value and its carrying value. For property and equipment assets, the estimate of fair value is typically based on a discounted cash flow model. As of December 31, 2023, and 2022, no impairment charge has been recorded.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bookmarkStart w:id="232" w:name="xdx_844_eus-gaap--CompensationRelatedCos"/>
      <w:bookmarkEnd w:id="232"/>
      <w:r>
        <w:rPr>
          <w:rFonts w:ascii="Times New Roman;Times;Serif" w:hAnsi="Times New Roman;Times;Serif"/>
          <w:b/>
          <w:i w:val="false"/>
          <w:caps w:val="false"/>
          <w:smallCaps w:val="false"/>
          <w:sz w:val="20"/>
        </w:rPr>
        <w:t xml:space="preserve">L. </w:t>
      </w:r>
      <w:bookmarkStart w:id="233" w:name="xdx_86F_zGs8MgWJPr51"/>
      <w:bookmarkEnd w:id="233"/>
      <w:r>
        <w:rPr>
          <w:rFonts w:ascii="Times New Roman;Times;Serif" w:hAnsi="Times New Roman;Times;Serif"/>
          <w:b/>
          <w:i w:val="false"/>
          <w:caps w:val="false"/>
          <w:smallCaps w:val="false"/>
          <w:sz w:val="20"/>
        </w:rPr>
        <w:t>Liabilities due to termination of employment agreements:</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Israeli employment laws, employees of Microbot Israel are included under Article 14 of the Severance Compensation Act, 1963 (“Article 14”). According to Article 14, these employees are entitled to monthly deposits made by Microbot Israel on their behalf with insurance companies. Payments in accordance with Article 14 release Microbot Israel from any future severance payments (under the Israeli Severance Compensation Act, 1963) with respect of those employees. The aforementioned deposits are not recorded as an asset in the Company’s balance sheets.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for the U.S. employees, the Company has certain defined contribution plans, including a 401(k)-retirement plan in the U.S., whereby contributions made by eligible employees are matched by the Company with certain limitations.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bookmarkStart w:id="234" w:name="xdx_841_eus-gaap--DerivativesMethodsOfAc"/>
      <w:bookmarkEnd w:id="234"/>
      <w:r>
        <w:rPr>
          <w:rFonts w:ascii="Times New Roman;Times;Serif" w:hAnsi="Times New Roman;Times;Serif"/>
          <w:b/>
          <w:i w:val="false"/>
          <w:caps w:val="false"/>
          <w:smallCaps w:val="false"/>
          <w:sz w:val="20"/>
        </w:rPr>
        <w:t xml:space="preserve">M. </w:t>
      </w:r>
      <w:bookmarkStart w:id="235" w:name="xdx_867_zLo7Nh0IsTh8"/>
      <w:bookmarkEnd w:id="235"/>
      <w:r>
        <w:rPr>
          <w:rFonts w:ascii="Times New Roman;Times;Serif" w:hAnsi="Times New Roman;Times;Serif"/>
          <w:b/>
          <w:i w:val="false"/>
          <w:caps w:val="false"/>
          <w:smallCaps w:val="false"/>
          <w:sz w:val="20"/>
        </w:rPr>
        <w:t>Common stock warrants: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issued to investors as either equity-classified or liability-classified instruments, based on an assessment of the warrant’s specific terms and the applicable authoritative guidance in FASB ASC 480 and FASB ASC 815, “Derivatives and Hedging” (“ASC 815”). The assessment considers whether the warrants are freestanding financial instruments pursuant to ASC 480, meet the definition of a liability pursuant to ASC 480, or meet all of the requirements for equity classification under FASB ASC 815, including whether the warrants are indexed to the Company’s own shares of common stock and whether the warrant holders could potentially require “net cash settlement” in a circumstance outside of the Company’s control, among other conditions for equity classification. This assessment is conducted at the time of warrant issuance and as of each subsequent quarterly period end date while the warrants are outstanding.</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236" w:name="xdx_840_eus-gaap--EarningsPerSharePolicy"/>
      <w:bookmarkEnd w:id="236"/>
      <w:r>
        <w:rPr>
          <w:rFonts w:ascii="Times New Roman;Times;Serif" w:hAnsi="Times New Roman;Times;Serif"/>
          <w:b/>
          <w:i w:val="false"/>
          <w:caps w:val="false"/>
          <w:smallCaps w:val="false"/>
          <w:sz w:val="20"/>
        </w:rPr>
        <w:t xml:space="preserve">N. </w:t>
      </w:r>
      <w:bookmarkStart w:id="237" w:name="xdx_86C_zcSkJHaAcwqd"/>
      <w:bookmarkEnd w:id="237"/>
      <w:r>
        <w:rPr>
          <w:rFonts w:ascii="Times New Roman;Times;Serif" w:hAnsi="Times New Roman;Times;Serif"/>
          <w:b/>
          <w:i w:val="false"/>
          <w:caps w:val="false"/>
          <w:smallCaps w:val="false"/>
          <w:sz w:val="20"/>
        </w:rPr>
        <w:t>Basic and diluted net loss per share:</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calculated by dividing net loss attributable to common stock shareholders by the weighted average number of shares of common stock outstanding during the year without consideration of potentially dilutive securities. For purposes of the diluted net loss per share attributable to common shareholders calculation, stock options and warrants are considered to be common stock equivalents. All common stock equivalents have been excluded from the calculation of the diluted loss per share for the years ended December 31, 2023 and December 31, 2022, as their effect would be anti-dilutive. Therefore, basic and diluted net loss per share were the same for both years presented. In the calculation of the basic and diluted net loss, the Company included warrants that would be exercised for no or little consideration and are exercisable with no contingencies.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bookmarkStart w:id="238" w:name="xdx_848_eus-gaap--SellingGeneralAndAdmin"/>
      <w:bookmarkEnd w:id="238"/>
      <w:r>
        <w:rPr>
          <w:rFonts w:ascii="Times New Roman;Times;Serif" w:hAnsi="Times New Roman;Times;Serif"/>
          <w:b/>
          <w:i w:val="false"/>
          <w:caps w:val="false"/>
          <w:smallCaps w:val="false"/>
          <w:sz w:val="20"/>
        </w:rPr>
        <w:t xml:space="preserve">O. </w:t>
      </w:r>
      <w:bookmarkStart w:id="239" w:name="xdx_867_zvP2QQYKhx71"/>
      <w:bookmarkEnd w:id="239"/>
      <w:r>
        <w:rPr>
          <w:rFonts w:ascii="Times New Roman;Times;Serif" w:hAnsi="Times New Roman;Times;Serif"/>
          <w:b/>
          <w:i w:val="false"/>
          <w:caps w:val="false"/>
          <w:smallCaps w:val="false"/>
          <w:sz w:val="20"/>
        </w:rPr>
        <w:t>General and administrative expenses, net:</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are charged to the statement of comprehensive loss as incurred. Insurance loss recoveries are recognized when the amount is determinable and approved by the insurance company and applied as a deduction from general and administrative expenses. General and administrative expenses, net, for the years ended December 31, 2023 and 2022, were offset by insurance loss recoveries in the amounts of approximately $</w:t>
      </w:r>
      <w:bookmarkStart w:id="240" w:name="xdx_90B_eus-gaap--InsuranceRecoveries_pn"/>
      <w:bookmarkEnd w:id="240"/>
      <w:r>
        <w:rPr>
          <w:rFonts w:ascii="Times New Roman;Times;Serif" w:hAnsi="Times New Roman;Times;Serif"/>
          <w:b w:val="false"/>
          <w:i w:val="false"/>
          <w:caps w:val="false"/>
          <w:smallCaps w:val="false"/>
          <w:sz w:val="20"/>
        </w:rPr>
        <w:t>281 and $</w:t>
      </w:r>
      <w:bookmarkStart w:id="241" w:name="xdx_906_eus-gaap--InsuranceRecoveries_pn"/>
      <w:bookmarkEnd w:id="241"/>
      <w:r>
        <w:rPr>
          <w:rFonts w:ascii="Times New Roman;Times;Serif" w:hAnsi="Times New Roman;Times;Serif"/>
          <w:b w:val="false"/>
          <w:i w:val="false"/>
          <w:caps w:val="false"/>
          <w:smallCaps w:val="false"/>
          <w:sz w:val="20"/>
        </w:rPr>
        <w:t>156, respectively.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bookmarkStart w:id="242" w:name="xdx_84F_eus-gaap--ResearchAndDevelopment"/>
      <w:bookmarkEnd w:id="242"/>
      <w:r>
        <w:rPr>
          <w:rFonts w:ascii="Times New Roman;Times;Serif" w:hAnsi="Times New Roman;Times;Serif"/>
          <w:b/>
          <w:i w:val="false"/>
          <w:caps w:val="false"/>
          <w:smallCaps w:val="false"/>
          <w:sz w:val="20"/>
        </w:rPr>
        <w:t xml:space="preserve">P. </w:t>
      </w:r>
      <w:bookmarkStart w:id="243" w:name="xdx_86D_zUdI9c4v6tI2"/>
      <w:bookmarkEnd w:id="243"/>
      <w:r>
        <w:rPr>
          <w:rFonts w:ascii="Times New Roman;Times;Serif" w:hAnsi="Times New Roman;Times;Serif"/>
          <w:b/>
          <w:i w:val="false"/>
          <w:caps w:val="false"/>
          <w:smallCaps w:val="false"/>
          <w:sz w:val="20"/>
        </w:rPr>
        <w:t>Research and development expenses, net:</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are charged to the statement of comprehensive loss as incurred. Grants for funding of approved research and development projects and others are recognized at the time the Company is entitled to such grants, on the basis of the costs incurred and applied as a deduction from the research and development expenses. See Note 2V below.</w:t>
      </w:r>
    </w:p>
    <w:p>
      <w:pPr>
        <w:pStyle w:val="TextBody"/>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bookmarkStart w:id="244" w:name="xdx_84A_eus-gaap--ShareBasedCompensation"/>
      <w:bookmarkEnd w:id="244"/>
      <w:r>
        <w:rPr>
          <w:rFonts w:ascii="Times New Roman;Times;Serif" w:hAnsi="Times New Roman;Times;Serif"/>
          <w:b/>
          <w:i w:val="false"/>
          <w:caps w:val="false"/>
          <w:smallCaps w:val="false"/>
          <w:sz w:val="20"/>
        </w:rPr>
        <w:t xml:space="preserve">Q. </w:t>
      </w:r>
      <w:bookmarkStart w:id="245" w:name="xdx_862_zqPbnhOp9m3i"/>
      <w:bookmarkEnd w:id="245"/>
      <w:r>
        <w:rPr>
          <w:rFonts w:ascii="Times New Roman;Times;Serif" w:hAnsi="Times New Roman;Times;Serif"/>
          <w:b/>
          <w:i w:val="false"/>
          <w:caps w:val="false"/>
          <w:smallCaps w:val="false"/>
          <w:sz w:val="20"/>
        </w:rPr>
        <w:t>Share-based compensation:</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stock option term is calculated for stock options granted using the “simplified” method. Changes in the determination of each of the inputs can affect the fair value of the stock options granted and the results of operations of the Company.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246" w:name="xdx_84D_eus-gaap--IncomeTaxPolicyTextBlo"/>
      <w:bookmarkEnd w:id="246"/>
      <w:r>
        <w:rPr>
          <w:rFonts w:ascii="Times New Roman;Times;Serif" w:hAnsi="Times New Roman;Times;Serif"/>
          <w:b/>
          <w:i w:val="false"/>
          <w:caps w:val="false"/>
          <w:smallCaps w:val="false"/>
          <w:sz w:val="20"/>
        </w:rPr>
        <w:t xml:space="preserve">R. </w:t>
      </w:r>
      <w:bookmarkStart w:id="247" w:name="xdx_86C_z2yCcas3bCm8"/>
      <w:bookmarkEnd w:id="247"/>
      <w:r>
        <w:rPr>
          <w:rFonts w:ascii="Times New Roman;Times;Serif" w:hAnsi="Times New Roman;Times;Serif"/>
          <w:b/>
          <w:i w:val="false"/>
          <w:caps w:val="false"/>
          <w:smallCaps w:val="false"/>
          <w:sz w:val="20"/>
        </w:rPr>
        <w:t>Income taxes:</w:t>
      </w:r>
    </w:p>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for income taxes using the asset and liability approach. Deferred tax assets and liabilities are recorded based on the differences between the financial statement and tax bases of assets and liabilities and the tax rates in effect when these differences are expected to reverse. Deferred tax assets are reduced by a valuation allowance if, based on the weight of available evidence, it is more likely than not that some or all of the deferred tax assets will not be realized. As of December 31, 2023, and 2022, the Company had a full valuation allowance against deferred tax assets.</w:t>
      </w:r>
    </w:p>
    <w:p>
      <w:pPr>
        <w:pStyle w:val="TextBody"/>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bookmarkStart w:id="248" w:name="xdx_849_eus-gaap--MarketableSecuritiesPo"/>
      <w:bookmarkEnd w:id="248"/>
      <w:r>
        <w:rPr>
          <w:rFonts w:ascii="Times New Roman;Times;Serif" w:hAnsi="Times New Roman;Times;Serif"/>
          <w:b/>
          <w:i w:val="false"/>
          <w:caps w:val="false"/>
          <w:smallCaps w:val="false"/>
          <w:sz w:val="20"/>
        </w:rPr>
        <w:t xml:space="preserve">S. </w:t>
      </w:r>
      <w:bookmarkStart w:id="249" w:name="xdx_86F_zjPgxJYwtM0c"/>
      <w:bookmarkEnd w:id="249"/>
      <w:r>
        <w:rPr>
          <w:rFonts w:ascii="Times New Roman;Times;Serif" w:hAnsi="Times New Roman;Times;Serif"/>
          <w:b/>
          <w:i w:val="false"/>
          <w:caps w:val="false"/>
          <w:smallCaps w:val="false"/>
          <w:sz w:val="20"/>
        </w:rPr>
        <w:t>Marketable securities:</w:t>
      </w:r>
    </w:p>
    <w:p>
      <w:pPr>
        <w:pStyle w:val="TextBody"/>
        <w:bidi w:val="0"/>
        <w:spacing w:before="0" w:after="0"/>
        <w:ind w:left="993"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invests in various debt securities and an equity security. Debt securities consist of U.S. treasury securities. Equity security consist of a mutual fund. The Company records these investments in the consolidated balance sheet at fair value. For all of the Company’s debt securities, the Company elected the fair value option and thus all unrealized gains or losses for these securities are reflected in the statements of comprehensive loss as financial income or expenses, as appropriate. Unrealized gains or losses for the equity security are reflected in the statements of comprehensive loss as financial income or expenses, as appropriate. The Company classifies its investments as current based on the nature of the investments and their availability for use in current operations.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250" w:name="xdx_84A_eus-gaap--LesseeLeasesPolicyText"/>
      <w:bookmarkEnd w:id="250"/>
      <w:r>
        <w:rPr>
          <w:rFonts w:ascii="Times New Roman;Times;Serif" w:hAnsi="Times New Roman;Times;Serif"/>
          <w:b/>
          <w:i w:val="false"/>
          <w:caps w:val="false"/>
          <w:smallCaps w:val="false"/>
          <w:sz w:val="20"/>
        </w:rPr>
        <w:t>T.</w:t>
      </w:r>
      <w:r>
        <w:rPr>
          <w:rFonts w:ascii="Times New Roman;Times;Serif" w:hAnsi="Times New Roman;Times;Serif"/>
          <w:b w:val="false"/>
          <w:i w:val="false"/>
          <w:caps w:val="false"/>
          <w:smallCaps w:val="false"/>
          <w:sz w:val="20"/>
        </w:rPr>
        <w:t xml:space="preserve"> </w:t>
      </w:r>
      <w:bookmarkStart w:id="251" w:name="xdx_865_zowPsh4PQrqg"/>
      <w:bookmarkEnd w:id="251"/>
      <w:r>
        <w:rPr>
          <w:rFonts w:ascii="Times New Roman;Times;Serif" w:hAnsi="Times New Roman;Times;Serif"/>
          <w:b/>
          <w:i w:val="false"/>
          <w:caps w:val="false"/>
          <w:smallCaps w:val="false"/>
          <w:sz w:val="20"/>
        </w:rPr>
        <w:t>Leases:</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a lease at inception. Operating lease assets are presented as operating lease long-term right-of-use assets (“ROU”), and corresponding as lease liabilities (current portion), and as operating long-term lease liabilities, on the Company’s consolidated balance sheets.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ROU assets and operating lease liabilities are recognized based on the present value of the remaining lease payments over the lease term at commencement date. The Company’s leases do not provide an implicit interest rate. The Company calculates the incremental borrowing rate to reflect the interest rate that it would have to pay to borrow on a collateralized basis an amount equal to the lease payments in a similar economic environment over a similar term and considers the Company’s historical borrowing activities and market data in this determination. The operating lease ROU asset also includes any lease payments made and excludes lease incentives and initial direct costs incurred. The Company’s lease terms may include options to extend or terminate the lease when it is reasonably certain that it will exercise that option. Lease expense for minimum lease payments is recognized on a straight-line basis over the lease term.</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lease agreements with lease and non-lease components, which it accounts for as a single lease component. The Company has elected not to recognize ROU assets and lease liabilities for short-term leases that have a term of 12 months or less. The effect of short-term leases on the Company’s ROU assets and lease liabilities was not material. The Company’s lease agreements do not contain any material residual value guarantees or material restrictive covenants. In addition, the Company does not have any related party leases.</w:t>
      </w:r>
    </w:p>
    <w:p>
      <w:pPr>
        <w:pStyle w:val="TextBody"/>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bookmarkStart w:id="252" w:name="xdx_84C_eus-gaap--CommitmentsAndContinge"/>
      <w:bookmarkEnd w:id="252"/>
      <w:r>
        <w:rPr>
          <w:rFonts w:ascii="Times New Roman;Times;Serif" w:hAnsi="Times New Roman;Times;Serif"/>
          <w:b/>
          <w:i w:val="false"/>
          <w:caps w:val="false"/>
          <w:smallCaps w:val="false"/>
          <w:sz w:val="20"/>
        </w:rPr>
        <w:t xml:space="preserve">U. </w:t>
      </w:r>
      <w:bookmarkStart w:id="253" w:name="xdx_869_z7BzvM5fETR"/>
      <w:bookmarkEnd w:id="253"/>
      <w:r>
        <w:rPr>
          <w:rFonts w:ascii="Times New Roman;Times;Serif" w:hAnsi="Times New Roman;Times;Serif"/>
          <w:b/>
          <w:i w:val="false"/>
          <w:caps w:val="false"/>
          <w:smallCaps w:val="false"/>
          <w:sz w:val="20"/>
        </w:rPr>
        <w:t>Contingencies: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 Refer to Note 16C below.</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carries liability insurance to mitigate its exposure to losses, including litigation losses. The Company records the estimated amount of expected insurance proceeds for litigation losses incurred as an asset (typically a receivable from the insurer) and offset to losses up to the amount of the losses incurred when the amount is determinable and approved by the insurance company. Refer to Note 2O above and Note 16C below.</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254" w:name="xdx_840_eus-gaap--GovernmentAssistancePo"/>
      <w:bookmarkEnd w:id="254"/>
      <w:r>
        <w:rPr>
          <w:rFonts w:ascii="Times New Roman;Times;Serif" w:hAnsi="Times New Roman;Times;Serif"/>
          <w:b/>
          <w:i w:val="false"/>
          <w:caps w:val="false"/>
          <w:smallCaps w:val="false"/>
          <w:sz w:val="20"/>
        </w:rPr>
        <w:t>V</w:t>
      </w:r>
      <w:r>
        <w:rPr>
          <w:rFonts w:ascii="Times New Roman;Times;Serif" w:hAnsi="Times New Roman;Times;Serif"/>
          <w:b w:val="false"/>
          <w:i w:val="false"/>
          <w:caps w:val="false"/>
          <w:smallCaps w:val="false"/>
          <w:sz w:val="20"/>
        </w:rPr>
        <w:t xml:space="preserve">. </w:t>
      </w:r>
      <w:bookmarkStart w:id="255" w:name="xdx_86A_z4YBhzv1HuN2"/>
      <w:bookmarkEnd w:id="255"/>
      <w:r>
        <w:rPr>
          <w:rFonts w:ascii="Times New Roman;Times;Serif" w:hAnsi="Times New Roman;Times;Serif"/>
          <w:b/>
          <w:i w:val="false"/>
          <w:caps w:val="false"/>
          <w:smallCaps w:val="false"/>
          <w:sz w:val="20"/>
        </w:rPr>
        <w:t>Government grants: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grants which are received from the Israeli Ministry of Economy and Israel Innovation Authority (“IIA”) by way of participation in research and development that is conducted by Microbot Israel, are received in installments as the program progresses based on qualified research spending. Grants received are recognized when the grant becomes receivable, provided there was reasonable assurance that Microbot Israel will comply with the conditions attached to the grant and there was reasonable assurance the grant will be received.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grants are deducted from the research and development expenses as the applicable costs are incurred. Research and development expenses, net, for the years ended December 31, 2023 and 2022, include participation in research and development expenses in the amount of approximately $</w:t>
      </w:r>
      <w:bookmarkStart w:id="256" w:name="xdx_900_ecustom--GovernmentGrants_pn3n3_"/>
      <w:bookmarkEnd w:id="256"/>
      <w:r>
        <w:rPr>
          <w:rFonts w:ascii="Times New Roman;Times;Serif" w:hAnsi="Times New Roman;Times;Serif"/>
          <w:b w:val="false"/>
          <w:i w:val="false"/>
          <w:caps w:val="false"/>
          <w:smallCaps w:val="false"/>
          <w:sz w:val="20"/>
        </w:rPr>
        <w:t>279 and $</w:t>
      </w:r>
      <w:bookmarkStart w:id="257" w:name="xdx_90D_ecustom--GovernmentGrants_pn3n3_"/>
      <w:bookmarkEnd w:id="257"/>
      <w:r>
        <w:rPr>
          <w:rFonts w:ascii="Times New Roman;Times;Serif" w:hAnsi="Times New Roman;Times;Serif"/>
          <w:b w:val="false"/>
          <w:i w:val="false"/>
          <w:caps w:val="false"/>
          <w:smallCaps w:val="false"/>
          <w:sz w:val="20"/>
        </w:rPr>
        <w:t>0, respectively.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bookmarkStart w:id="258" w:name="xdx_84C_eus-gaap--NewAccountingPronounce"/>
      <w:bookmarkEnd w:id="258"/>
      <w:r>
        <w:rPr>
          <w:rFonts w:ascii="Times New Roman;Times;Serif" w:hAnsi="Times New Roman;Times;Serif"/>
          <w:b/>
          <w:i w:val="false"/>
          <w:caps w:val="false"/>
          <w:smallCaps w:val="false"/>
          <w:sz w:val="20"/>
        </w:rPr>
        <w:t xml:space="preserve">W. </w:t>
      </w:r>
      <w:bookmarkStart w:id="259" w:name="xdx_86A_zZIs9P3nyuS6"/>
      <w:bookmarkEnd w:id="259"/>
      <w:r>
        <w:rPr>
          <w:rFonts w:ascii="Times New Roman;Times;Serif" w:hAnsi="Times New Roman;Times;Serif"/>
          <w:b/>
          <w:i w:val="false"/>
          <w:caps w:val="false"/>
          <w:smallCaps w:val="false"/>
          <w:sz w:val="20"/>
        </w:rPr>
        <w:t>Recently issued accounting pronouncements:</w:t>
      </w:r>
    </w:p>
    <w:p>
      <w:pPr>
        <w:pStyle w:val="TextBody"/>
        <w:bidi w:val="0"/>
        <w:spacing w:before="0" w:after="0"/>
        <w:ind w:left="862"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new accounting pronouncements are issued by FASB, or other standard-setting bodies and adopted by the Company as of the specified effective date. Unless otherwise discussed, the impact of recently issued standards that are not yet effective will not have a material impact on our financial position or results of operations upon adoption.</w:t>
      </w:r>
    </w:p>
    <w:p>
      <w:pPr>
        <w:pStyle w:val="TextBody"/>
        <w:bidi w:val="0"/>
        <w:spacing w:before="0" w:after="0"/>
        <w:ind w:left="1080" w:right="0" w:hanging="0"/>
        <w:jc w:val="both"/>
        <w:rPr>
          <w:caps w:val="false"/>
          <w:smallCaps w:val="false"/>
        </w:rPr>
      </w:pPr>
      <w:bookmarkStart w:id="260" w:name="xdx_856_zRGigVvRuwF7"/>
      <w:bookmarkEnd w:id="260"/>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61" w:name="xdx_802_eus-gaap--CashCashEquivalentsAnd"/>
      <w:bookmarkEnd w:id="261"/>
      <w:r>
        <w:rPr>
          <w:rFonts w:ascii="Times New Roman;Times;Serif" w:hAnsi="Times New Roman;Times;Serif"/>
          <w:b/>
          <w:i w:val="false"/>
          <w:caps w:val="false"/>
          <w:smallCaps w:val="false"/>
          <w:sz w:val="20"/>
        </w:rPr>
        <w:t xml:space="preserve">NOTE 3 – </w:t>
      </w:r>
      <w:bookmarkStart w:id="262" w:name="xdx_822_zJjATtTEM7S8"/>
      <w:bookmarkEnd w:id="262"/>
      <w:r>
        <w:rPr>
          <w:rFonts w:ascii="Times New Roman;Times;Serif" w:hAnsi="Times New Roman;Times;Serif"/>
          <w:b/>
          <w:i w:val="false"/>
          <w:caps w:val="false"/>
          <w:smallCaps w:val="false"/>
          <w:sz w:val="20"/>
        </w:rPr>
        <w:t>CASH AND CASH EQUIVALENTS AND MARKETABLE SECURITIES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263" w:name="xdx_89C_eus-gaap--ScheduleOfCashCashEqui"/>
      <w:bookmarkEnd w:id="263"/>
      <w:r>
        <w:rPr>
          <w:rFonts w:ascii="Times New Roman;Times;Serif" w:hAnsi="Times New Roman;Times;Serif"/>
          <w:b w:val="false"/>
          <w:i w:val="false"/>
          <w:caps w:val="false"/>
          <w:smallCaps w:val="false"/>
          <w:sz w:val="20"/>
        </w:rPr>
        <w:t>The following table sets forth our cash, cash equivalents and marketable securities as of December 31, 2023 and 2022:</w:t>
      </w:r>
    </w:p>
    <w:p>
      <w:pPr>
        <w:pStyle w:val="TextBody"/>
        <w:bidi w:val="0"/>
        <w:spacing w:before="0" w:after="0"/>
        <w:ind w:left="1080" w:right="0" w:hanging="0"/>
        <w:jc w:val="both"/>
        <w:rPr>
          <w:caps w:val="false"/>
          <w:smallCaps w:val="false"/>
        </w:rPr>
      </w:pPr>
      <w:r>
        <w:rPr>
          <w:caps w:val="false"/>
          <w:smallCaps w:val="false"/>
        </w:rPr>
        <w:t> </w:t>
      </w:r>
      <w:bookmarkStart w:id="264" w:name="xdx_8BF_zBBlqk2KHd68"/>
      <w:bookmarkEnd w:id="264"/>
      <w:r>
        <w:rPr>
          <w:rFonts w:ascii="Times New Roman;Times;Serif" w:hAnsi="Times New Roman;Times;Serif"/>
          <w:b w:val="false"/>
          <w:i w:val="false"/>
          <w:caps w:val="false"/>
          <w:smallCaps w:val="false"/>
          <w:sz w:val="20"/>
        </w:rPr>
        <w:t>SCHEDULE OF CASH AND CASH EQUIVALENTS AND MARKETABLE SECURITIES</w:t>
      </w:r>
    </w:p>
    <w:tbl>
      <w:tblPr>
        <w:tblW w:w="7236" w:type="dxa"/>
        <w:jc w:val="left"/>
        <w:tblInd w:w="0" w:type="dxa"/>
        <w:tblLayout w:type="fixed"/>
        <w:tblCellMar>
          <w:top w:w="0" w:type="dxa"/>
          <w:left w:w="0" w:type="dxa"/>
          <w:bottom w:w="0" w:type="dxa"/>
          <w:right w:w="0" w:type="dxa"/>
        </w:tblCellMar>
      </w:tblPr>
      <w:tblGrid>
        <w:gridCol w:w="5105"/>
        <w:gridCol w:w="60"/>
        <w:gridCol w:w="184"/>
        <w:gridCol w:w="736"/>
        <w:gridCol w:w="78"/>
        <w:gridCol w:w="78"/>
        <w:gridCol w:w="184"/>
        <w:gridCol w:w="736"/>
        <w:gridCol w:w="75"/>
      </w:tblGrid>
      <w:tr>
        <w:trPr/>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5" w:name="xdx_494_20231231_zvsNOpGccVub"/>
            <w:bookmarkEnd w:id="265"/>
          </w:p>
        </w:tc>
        <w:tc>
          <w:tcPr>
            <w:tcW w:w="920" w:type="dxa"/>
            <w:gridSpan w:val="2"/>
            <w:tcBorders>
              <w:bottom w:val="single" w:sz="12" w:space="0" w:color="000000"/>
            </w:tcBorders>
            <w:tcMar>
              <w:bottom w:w="28" w:type="dxa"/>
            </w:tcMar>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bookmarkStart w:id="266" w:name="xdx_494_20221231_zozoU6Ghyno4"/>
            <w:bookmarkEnd w:id="266"/>
          </w:p>
        </w:tc>
        <w:tc>
          <w:tcPr>
            <w:tcW w:w="920" w:type="dxa"/>
            <w:gridSpan w:val="2"/>
            <w:tcBorders>
              <w:bottom w:val="single" w:sz="12"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67" w:name="xdx_40E_eus-gaap--CashEquivalentsAtCarry"/>
            <w:bookmarkEnd w:id="267"/>
          </w:p>
        </w:tc>
      </w:tr>
      <w:tr>
        <w:trPr/>
        <w:tc>
          <w:tcPr>
            <w:tcW w:w="5105"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736" w:type="dxa"/>
            <w:tcBorders/>
            <w:shd w:fill="FFFFFF" w:val="clear"/>
            <w:vAlign w:val="center"/>
          </w:tcPr>
          <w:p>
            <w:pPr>
              <w:pStyle w:val="TableContents"/>
              <w:bidi w:val="0"/>
              <w:spacing w:before="0" w:after="283"/>
              <w:jc w:val="right"/>
              <w:rPr/>
            </w:pPr>
            <w:r>
              <w:rPr/>
              <w:t>2,468</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736" w:type="dxa"/>
            <w:tcBorders/>
            <w:shd w:fill="FFFFFF" w:val="clear"/>
            <w:vAlign w:val="center"/>
          </w:tcPr>
          <w:p>
            <w:pPr>
              <w:pStyle w:val="TableContents"/>
              <w:bidi w:val="0"/>
              <w:spacing w:before="0" w:after="283"/>
              <w:jc w:val="right"/>
              <w:rPr/>
            </w:pPr>
            <w:r>
              <w:rPr/>
              <w:t>1,195</w:t>
            </w:r>
          </w:p>
        </w:tc>
        <w:tc>
          <w:tcPr>
            <w:tcW w:w="75" w:type="dxa"/>
            <w:tcBorders/>
            <w:shd w:fill="FFFFFF" w:val="clear"/>
            <w:vAlign w:val="center"/>
          </w:tcPr>
          <w:p>
            <w:pPr>
              <w:pStyle w:val="TableContents"/>
              <w:bidi w:val="0"/>
              <w:spacing w:before="0" w:after="283"/>
              <w:jc w:val="left"/>
              <w:rPr/>
            </w:pPr>
            <w:r>
              <w:rPr/>
              <w:t> </w:t>
            </w:r>
            <w:bookmarkStart w:id="268" w:name="xdx_401_eus-gaap--CashEquivalentsAtCarry"/>
            <w:bookmarkEnd w:id="268"/>
          </w:p>
        </w:tc>
      </w:tr>
      <w:tr>
        <w:trPr/>
        <w:tc>
          <w:tcPr>
            <w:tcW w:w="5105" w:type="dxa"/>
            <w:tcBorders/>
            <w:shd w:fill="CCEEFF" w:val="clear"/>
            <w:vAlign w:val="center"/>
          </w:tcPr>
          <w:p>
            <w:pPr>
              <w:pStyle w:val="TableContents"/>
              <w:bidi w:val="0"/>
              <w:spacing w:before="0" w:after="283"/>
              <w:jc w:val="left"/>
              <w:rPr/>
            </w:pPr>
            <w:r>
              <w:rPr/>
              <w:t>U.S. treasury securities</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CCEEFF" w:val="clear"/>
            <w:tcMar>
              <w:bottom w:w="28" w:type="dxa"/>
            </w:tcMar>
            <w:vAlign w:val="center"/>
          </w:tcPr>
          <w:p>
            <w:pPr>
              <w:pStyle w:val="TableContents"/>
              <w:bidi w:val="0"/>
              <w:spacing w:before="0" w:after="283"/>
              <w:jc w:val="right"/>
              <w:rPr/>
            </w:pPr>
            <w:r>
              <w:rPr/>
              <w:t>1,247</w:t>
            </w:r>
          </w:p>
        </w:tc>
        <w:tc>
          <w:tcPr>
            <w:tcW w:w="75" w:type="dxa"/>
            <w:tcBorders/>
            <w:shd w:fill="CCEEFF" w:val="clear"/>
            <w:vAlign w:val="center"/>
          </w:tcPr>
          <w:p>
            <w:pPr>
              <w:pStyle w:val="TableContents"/>
              <w:bidi w:val="0"/>
              <w:spacing w:before="0" w:after="283"/>
              <w:jc w:val="left"/>
              <w:rPr/>
            </w:pPr>
            <w:r>
              <w:rPr/>
              <w:t> </w:t>
            </w:r>
            <w:bookmarkStart w:id="269" w:name="xdx_400_eus-gaap--CashEquivalentsAtCarry"/>
            <w:bookmarkEnd w:id="269"/>
          </w:p>
        </w:tc>
      </w:tr>
      <w:tr>
        <w:trPr/>
        <w:tc>
          <w:tcPr>
            <w:tcW w:w="5105" w:type="dxa"/>
            <w:tcBorders/>
            <w:shd w:fill="FFFFFF" w:val="clear"/>
            <w:vAlign w:val="center"/>
          </w:tcPr>
          <w:p>
            <w:pPr>
              <w:pStyle w:val="TableContents"/>
              <w:bidi w:val="0"/>
              <w:spacing w:before="0" w:after="283"/>
              <w:jc w:val="left"/>
              <w:rPr/>
            </w:pPr>
            <w:r>
              <w:rPr/>
              <w:t>Total cash and cash equivalents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36" w:type="dxa"/>
            <w:tcBorders>
              <w:bottom w:val="double" w:sz="6" w:space="0" w:color="000000"/>
            </w:tcBorders>
            <w:shd w:fill="FFFFFF" w:val="clear"/>
            <w:tcMar>
              <w:bottom w:w="28" w:type="dxa"/>
            </w:tcMar>
            <w:vAlign w:val="center"/>
          </w:tcPr>
          <w:p>
            <w:pPr>
              <w:pStyle w:val="TableContents"/>
              <w:bidi w:val="0"/>
              <w:spacing w:before="0" w:after="283"/>
              <w:jc w:val="right"/>
              <w:rPr/>
            </w:pPr>
            <w:r>
              <w:rPr/>
              <w:t>2,468</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36" w:type="dxa"/>
            <w:tcBorders>
              <w:bottom w:val="double" w:sz="6" w:space="0" w:color="000000"/>
            </w:tcBorders>
            <w:shd w:fill="FFFFFF" w:val="clear"/>
            <w:tcMar>
              <w:bottom w:w="28" w:type="dxa"/>
            </w:tcMar>
            <w:vAlign w:val="center"/>
          </w:tcPr>
          <w:p>
            <w:pPr>
              <w:pStyle w:val="TableContents"/>
              <w:bidi w:val="0"/>
              <w:spacing w:before="0" w:after="283"/>
              <w:jc w:val="right"/>
              <w:rPr/>
            </w:pPr>
            <w:r>
              <w:rPr/>
              <w:t>2,442</w:t>
            </w:r>
          </w:p>
        </w:tc>
        <w:tc>
          <w:tcPr>
            <w:tcW w:w="75"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270" w:name="xdx_409_eus-gaap--MarketableSecuritiesCu"/>
            <w:bookmarkEnd w:id="270"/>
          </w:p>
        </w:tc>
      </w:tr>
      <w:tr>
        <w:trPr/>
        <w:tc>
          <w:tcPr>
            <w:tcW w:w="5105" w:type="dxa"/>
            <w:tcBorders/>
            <w:shd w:fill="CCEEFF" w:val="clear"/>
            <w:vAlign w:val="center"/>
          </w:tcPr>
          <w:p>
            <w:pPr>
              <w:pStyle w:val="TableContents"/>
              <w:bidi w:val="0"/>
              <w:spacing w:before="0" w:after="283"/>
              <w:jc w:val="left"/>
              <w:rPr/>
            </w:pPr>
            <w:r>
              <w:rPr/>
              <w:t>Money market mutual funds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r>
              <w:rPr/>
              <w:t>1,420</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r>
              <w:rPr/>
              <w:t>1,999</w:t>
            </w:r>
          </w:p>
        </w:tc>
        <w:tc>
          <w:tcPr>
            <w:tcW w:w="75" w:type="dxa"/>
            <w:tcBorders/>
            <w:shd w:fill="CCEEFF" w:val="clear"/>
            <w:vAlign w:val="center"/>
          </w:tcPr>
          <w:p>
            <w:pPr>
              <w:pStyle w:val="TableContents"/>
              <w:bidi w:val="0"/>
              <w:spacing w:before="0" w:after="283"/>
              <w:jc w:val="left"/>
              <w:rPr/>
            </w:pPr>
            <w:r>
              <w:rPr/>
              <w:t> </w:t>
            </w:r>
            <w:bookmarkStart w:id="271" w:name="xdx_409_eus-gaap--MarketableSecuritiesCu"/>
            <w:bookmarkEnd w:id="271"/>
          </w:p>
        </w:tc>
      </w:tr>
      <w:tr>
        <w:trPr/>
        <w:tc>
          <w:tcPr>
            <w:tcW w:w="5105" w:type="dxa"/>
            <w:tcBorders/>
            <w:shd w:fill="FFFFFF" w:val="clear"/>
            <w:vAlign w:val="center"/>
          </w:tcPr>
          <w:p>
            <w:pPr>
              <w:pStyle w:val="TableContents"/>
              <w:bidi w:val="0"/>
              <w:spacing w:before="0" w:after="283"/>
              <w:jc w:val="left"/>
              <w:rPr/>
            </w:pPr>
            <w:r>
              <w:rPr/>
              <w:t>U.S. treasury securities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FFFFFF" w:val="clear"/>
            <w:tcMar>
              <w:bottom w:w="28" w:type="dxa"/>
            </w:tcMar>
            <w:vAlign w:val="center"/>
          </w:tcPr>
          <w:p>
            <w:pPr>
              <w:pStyle w:val="TableContents"/>
              <w:bidi w:val="0"/>
              <w:spacing w:before="0" w:after="283"/>
              <w:jc w:val="right"/>
              <w:rPr/>
            </w:pPr>
            <w:r>
              <w:rPr/>
              <w:t>2,497</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FFFFFF" w:val="clear"/>
            <w:tcMar>
              <w:bottom w:w="28" w:type="dxa"/>
            </w:tcMar>
            <w:vAlign w:val="center"/>
          </w:tcPr>
          <w:p>
            <w:pPr>
              <w:pStyle w:val="TableContents"/>
              <w:bidi w:val="0"/>
              <w:spacing w:before="0" w:after="283"/>
              <w:jc w:val="right"/>
              <w:rPr/>
            </w:pPr>
            <w:r>
              <w:rPr/>
              <w:t>3,761</w:t>
            </w:r>
          </w:p>
        </w:tc>
        <w:tc>
          <w:tcPr>
            <w:tcW w:w="75" w:type="dxa"/>
            <w:tcBorders/>
            <w:shd w:fill="FFFFFF" w:val="clear"/>
            <w:vAlign w:val="center"/>
          </w:tcPr>
          <w:p>
            <w:pPr>
              <w:pStyle w:val="TableContents"/>
              <w:bidi w:val="0"/>
              <w:spacing w:before="0" w:after="283"/>
              <w:jc w:val="left"/>
              <w:rPr/>
            </w:pPr>
            <w:r>
              <w:rPr/>
              <w:t> </w:t>
            </w:r>
            <w:bookmarkStart w:id="272" w:name="xdx_408_eus-gaap--MarketableSecuritiesCu"/>
            <w:bookmarkEnd w:id="272"/>
          </w:p>
        </w:tc>
      </w:tr>
      <w:tr>
        <w:trPr/>
        <w:tc>
          <w:tcPr>
            <w:tcW w:w="5105" w:type="dxa"/>
            <w:tcBorders/>
            <w:shd w:fill="CCEEFF" w:val="clear"/>
            <w:vAlign w:val="center"/>
          </w:tcPr>
          <w:p>
            <w:pPr>
              <w:pStyle w:val="TableContents"/>
              <w:bidi w:val="0"/>
              <w:spacing w:before="0" w:after="283"/>
              <w:jc w:val="left"/>
              <w:rPr/>
            </w:pPr>
            <w:r>
              <w:rPr/>
              <w:t>Total marketable securities</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283"/>
              <w:jc w:val="right"/>
              <w:rPr/>
            </w:pPr>
            <w:r>
              <w:rPr/>
              <w:t>3,917</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283"/>
              <w:jc w:val="right"/>
              <w:rPr/>
            </w:pPr>
            <w:r>
              <w:rPr/>
              <w:t>5,760</w:t>
            </w:r>
          </w:p>
        </w:tc>
        <w:tc>
          <w:tcPr>
            <w:tcW w:w="7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273" w:name="xdx_404_eus-gaap--CashCashEquivalentsAnd"/>
            <w:bookmarkEnd w:id="273"/>
          </w:p>
        </w:tc>
      </w:tr>
      <w:tr>
        <w:trPr/>
        <w:tc>
          <w:tcPr>
            <w:tcW w:w="5105" w:type="dxa"/>
            <w:tcBorders/>
            <w:shd w:fill="CCEEFF" w:val="clear"/>
            <w:vAlign w:val="center"/>
          </w:tcPr>
          <w:p>
            <w:pPr>
              <w:pStyle w:val="TableContents"/>
              <w:bidi w:val="0"/>
              <w:spacing w:before="0" w:after="283"/>
              <w:jc w:val="left"/>
              <w:rPr/>
            </w:pPr>
            <w:r>
              <w:rPr/>
              <w:t>Total cash, cash equivalents and marketable securities</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283"/>
              <w:jc w:val="right"/>
              <w:rPr/>
            </w:pPr>
            <w:r>
              <w:rPr/>
              <w:t>6,385</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283"/>
              <w:jc w:val="right"/>
              <w:rPr/>
            </w:pPr>
            <w:r>
              <w:rPr/>
              <w:t>8,202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74" w:name="xdx_8AB_zP1XZCE82g29"/>
      <w:bookmarkEnd w:id="274"/>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unrealized gains on our marketable securities were $</w:t>
      </w:r>
      <w:bookmarkStart w:id="275" w:name="xdx_90E_eus-gaap--MarketableSecuritiesUn"/>
      <w:bookmarkEnd w:id="275"/>
      <w:r>
        <w:rPr>
          <w:rFonts w:ascii="Times New Roman;Times;Serif" w:hAnsi="Times New Roman;Times;Serif"/>
          <w:b w:val="false"/>
          <w:i w:val="false"/>
          <w:caps w:val="false"/>
          <w:smallCaps w:val="false"/>
          <w:sz w:val="20"/>
        </w:rPr>
        <w:t>59 and $</w:t>
      </w:r>
      <w:bookmarkStart w:id="276" w:name="xdx_90D_eus-gaap--MarketableSecuritiesUn"/>
      <w:bookmarkEnd w:id="276"/>
      <w:r>
        <w:rPr>
          <w:rFonts w:ascii="Times New Roman;Times;Serif" w:hAnsi="Times New Roman;Times;Serif"/>
          <w:b w:val="false"/>
          <w:i w:val="false"/>
          <w:caps w:val="false"/>
          <w:smallCaps w:val="false"/>
          <w:sz w:val="20"/>
        </w:rPr>
        <w:t>12 for the years ended December 31, 2023 and 2022, respectively.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Treasuries have contractual maturities of less than 12 months.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7" w:name="xdx_80E_eus-gaap--FairValueMeasurementIn"/>
      <w:bookmarkEnd w:id="277"/>
      <w:r>
        <w:rPr>
          <w:rFonts w:ascii="Times New Roman;Times;Serif" w:hAnsi="Times New Roman;Times;Serif"/>
          <w:b/>
          <w:i w:val="false"/>
          <w:caps w:val="false"/>
          <w:smallCaps w:val="false"/>
          <w:sz w:val="20"/>
        </w:rPr>
        <w:t xml:space="preserve">NOTE 4 - </w:t>
      </w:r>
      <w:bookmarkStart w:id="278" w:name="xdx_82A_zcz3IF5Waonl"/>
      <w:bookmarkEnd w:id="278"/>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279" w:name="xdx_891_eus-gaap--FairValueAssetsAndLiab"/>
      <w:bookmarkEnd w:id="279"/>
      <w:r>
        <w:rPr>
          <w:rFonts w:ascii="Times New Roman;Times;Serif" w:hAnsi="Times New Roman;Times;Serif"/>
          <w:b w:val="false"/>
          <w:i w:val="false"/>
          <w:caps w:val="false"/>
          <w:smallCaps w:val="false"/>
          <w:sz w:val="20"/>
        </w:rPr>
        <w:t>The following table summarizes the Company’s financial assets subject to fair value measurement and the level of inputs used in such measurements as of December 31, 2023 and 2022:</w:t>
      </w:r>
    </w:p>
    <w:p>
      <w:pPr>
        <w:pStyle w:val="TextBody"/>
        <w:bidi w:val="0"/>
        <w:spacing w:before="0" w:after="0"/>
        <w:ind w:left="0" w:right="0" w:hanging="0"/>
        <w:jc w:val="left"/>
        <w:rPr>
          <w:caps w:val="false"/>
          <w:smallCaps w:val="false"/>
        </w:rPr>
      </w:pPr>
      <w:r>
        <w:rPr>
          <w:caps w:val="false"/>
          <w:smallCaps w:val="false"/>
        </w:rPr>
        <w:t> </w:t>
      </w:r>
      <w:bookmarkStart w:id="280" w:name="xdx_8BA_zAzTbs7n8vJ9"/>
      <w:bookmarkEnd w:id="280"/>
      <w:r>
        <w:rPr>
          <w:rFonts w:ascii="Times New Roman;Times;Serif" w:hAnsi="Times New Roman;Times;Serif"/>
          <w:b w:val="false"/>
          <w:i w:val="false"/>
          <w:caps w:val="false"/>
          <w:smallCaps w:val="false"/>
          <w:sz w:val="20"/>
        </w:rPr>
        <w:t>SCHEDULE OF FAIR VALUE MEASUREMENT INPUTS AND VALUATION TECHNIQUES</w:t>
      </w:r>
    </w:p>
    <w:tbl>
      <w:tblPr>
        <w:tblW w:w="6348" w:type="dxa"/>
        <w:jc w:val="left"/>
        <w:tblInd w:w="0" w:type="dxa"/>
        <w:tblLayout w:type="fixed"/>
        <w:tblCellMar>
          <w:top w:w="0" w:type="dxa"/>
          <w:left w:w="0" w:type="dxa"/>
          <w:bottom w:w="0" w:type="dxa"/>
          <w:right w:w="0" w:type="dxa"/>
        </w:tblCellMar>
      </w:tblPr>
      <w:tblGrid>
        <w:gridCol w:w="2705"/>
        <w:gridCol w:w="60"/>
        <w:gridCol w:w="159"/>
        <w:gridCol w:w="637"/>
        <w:gridCol w:w="68"/>
        <w:gridCol w:w="68"/>
        <w:gridCol w:w="159"/>
        <w:gridCol w:w="637"/>
        <w:gridCol w:w="68"/>
        <w:gridCol w:w="68"/>
        <w:gridCol w:w="449"/>
        <w:gridCol w:w="305"/>
        <w:gridCol w:w="68"/>
        <w:gridCol w:w="68"/>
        <w:gridCol w:w="449"/>
        <w:gridCol w:w="305"/>
        <w:gridCol w:w="75"/>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31, 2023</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6"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6"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U.S. treasury securities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bookmarkStart w:id="281" w:name="xdx_98E_eus-gaap--AssetsFairValueDisclos"/>
            <w:bookmarkEnd w:id="281"/>
          </w:p>
        </w:tc>
        <w:tc>
          <w:tcPr>
            <w:tcW w:w="637" w:type="dxa"/>
            <w:tcBorders/>
            <w:shd w:fill="FFFFFF" w:val="clear"/>
            <w:vAlign w:val="center"/>
          </w:tcPr>
          <w:p>
            <w:pPr>
              <w:pStyle w:val="TableContents"/>
              <w:bidi w:val="0"/>
              <w:spacing w:before="0" w:after="283"/>
              <w:jc w:val="right"/>
              <w:rPr/>
            </w:pPr>
            <w:r>
              <w:rPr/>
              <w:t>2,497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bookmarkStart w:id="282" w:name="xdx_985_eus-gaap--AssetsFairValueDisclos"/>
            <w:bookmarkEnd w:id="282"/>
          </w:p>
        </w:tc>
        <w:tc>
          <w:tcPr>
            <w:tcW w:w="637" w:type="dxa"/>
            <w:tcBorders/>
            <w:shd w:fill="FFFFFF" w:val="clear"/>
            <w:vAlign w:val="center"/>
          </w:tcPr>
          <w:p>
            <w:pPr>
              <w:pStyle w:val="TableContents"/>
              <w:bidi w:val="0"/>
              <w:spacing w:before="0" w:after="283"/>
              <w:jc w:val="right"/>
              <w:rPr/>
            </w:pPr>
            <w:r>
              <w:rPr/>
              <w:t>2,497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w:t>
            </w:r>
            <w:bookmarkStart w:id="283" w:name="xdx_981_eus-gaap--AssetsFairValueDisclos"/>
            <w:bookmarkEnd w:id="283"/>
          </w:p>
        </w:tc>
        <w:tc>
          <w:tcPr>
            <w:tcW w:w="305" w:type="dxa"/>
            <w:tcBorders/>
            <w:shd w:fill="FFFFFF" w:val="cle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w:t>
            </w:r>
            <w:bookmarkStart w:id="284" w:name="xdx_98F_eus-gaap--AssetsFairValueDisclos"/>
            <w:bookmarkEnd w:id="284"/>
          </w:p>
        </w:tc>
        <w:tc>
          <w:tcPr>
            <w:tcW w:w="30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Money market mutual funds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285" w:name="xdx_983_eus-gaap--AssetsFairValueDisclos"/>
            <w:bookmarkEnd w:id="285"/>
          </w:p>
        </w:tc>
        <w:tc>
          <w:tcPr>
            <w:tcW w:w="637" w:type="dxa"/>
            <w:tcBorders>
              <w:bottom w:val="single" w:sz="12" w:space="0" w:color="000000"/>
            </w:tcBorders>
            <w:shd w:fill="CCEEFF" w:val="clear"/>
            <w:tcMar>
              <w:bottom w:w="28" w:type="dxa"/>
            </w:tcMar>
            <w:vAlign w:val="center"/>
          </w:tcPr>
          <w:p>
            <w:pPr>
              <w:pStyle w:val="TableContents"/>
              <w:bidi w:val="0"/>
              <w:spacing w:before="0" w:after="283"/>
              <w:jc w:val="right"/>
              <w:rPr/>
            </w:pPr>
            <w:r>
              <w:rPr/>
              <w:t>1,420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286" w:name="xdx_982_eus-gaap--AssetsFairValueDisclos"/>
            <w:bookmarkEnd w:id="286"/>
          </w:p>
        </w:tc>
        <w:tc>
          <w:tcPr>
            <w:tcW w:w="637" w:type="dxa"/>
            <w:tcBorders>
              <w:bottom w:val="single" w:sz="12" w:space="0" w:color="000000"/>
            </w:tcBorders>
            <w:shd w:fill="CCEEFF" w:val="clear"/>
            <w:tcMar>
              <w:bottom w:w="28" w:type="dxa"/>
            </w:tcMar>
            <w:vAlign w:val="center"/>
          </w:tcPr>
          <w:p>
            <w:pPr>
              <w:pStyle w:val="TableContents"/>
              <w:bidi w:val="0"/>
              <w:spacing w:before="0" w:after="283"/>
              <w:jc w:val="right"/>
              <w:rPr/>
            </w:pPr>
            <w:r>
              <w:rPr/>
              <w:t>1,420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287" w:name="xdx_98B_eus-gaap--AssetsFairValueDisclos"/>
            <w:bookmarkEnd w:id="287"/>
          </w:p>
        </w:tc>
        <w:tc>
          <w:tcPr>
            <w:tcW w:w="3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288" w:name="xdx_988_eus-gaap--AssetsFairValueDisclos"/>
            <w:bookmarkEnd w:id="288"/>
          </w:p>
        </w:tc>
        <w:tc>
          <w:tcPr>
            <w:tcW w:w="3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89" w:name="xdx_98A_eus-gaap--AssetsFairValueDisclos"/>
            <w:bookmarkEnd w:id="289"/>
          </w:p>
        </w:tc>
        <w:tc>
          <w:tcPr>
            <w:tcW w:w="637" w:type="dxa"/>
            <w:tcBorders>
              <w:bottom w:val="double" w:sz="6" w:space="0" w:color="000000"/>
            </w:tcBorders>
            <w:shd w:fill="FFFFFF" w:val="clear"/>
            <w:tcMar>
              <w:bottom w:w="28" w:type="dxa"/>
            </w:tcMar>
            <w:vAlign w:val="center"/>
          </w:tcPr>
          <w:p>
            <w:pPr>
              <w:pStyle w:val="TableContents"/>
              <w:bidi w:val="0"/>
              <w:spacing w:before="0" w:after="283"/>
              <w:jc w:val="right"/>
              <w:rPr/>
            </w:pPr>
            <w:r>
              <w:rPr/>
              <w:t>3,917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90" w:name="xdx_988_eus-gaap--AssetsFairValueDisclos"/>
            <w:bookmarkEnd w:id="290"/>
          </w:p>
        </w:tc>
        <w:tc>
          <w:tcPr>
            <w:tcW w:w="637" w:type="dxa"/>
            <w:tcBorders>
              <w:bottom w:val="double" w:sz="6" w:space="0" w:color="000000"/>
            </w:tcBorders>
            <w:shd w:fill="FFFFFF" w:val="clear"/>
            <w:tcMar>
              <w:bottom w:w="28" w:type="dxa"/>
            </w:tcMar>
            <w:vAlign w:val="center"/>
          </w:tcPr>
          <w:p>
            <w:pPr>
              <w:pStyle w:val="TableContents"/>
              <w:bidi w:val="0"/>
              <w:spacing w:before="0" w:after="283"/>
              <w:jc w:val="right"/>
              <w:rPr/>
            </w:pPr>
            <w:r>
              <w:rPr/>
              <w:t>3,917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91" w:name="xdx_986_eus-gaap--AssetsFairValueDisclos"/>
            <w:bookmarkEnd w:id="291"/>
          </w:p>
        </w:tc>
        <w:tc>
          <w:tcPr>
            <w:tcW w:w="30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92" w:name="xdx_98C_eus-gaap--AssetsFairValueDisclos"/>
            <w:bookmarkEnd w:id="292"/>
          </w:p>
        </w:tc>
        <w:tc>
          <w:tcPr>
            <w:tcW w:w="30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348" w:type="dxa"/>
        <w:jc w:val="left"/>
        <w:tblInd w:w="0" w:type="dxa"/>
        <w:tblLayout w:type="fixed"/>
        <w:tblCellMar>
          <w:top w:w="0" w:type="dxa"/>
          <w:left w:w="0" w:type="dxa"/>
          <w:bottom w:w="0" w:type="dxa"/>
          <w:right w:w="0" w:type="dxa"/>
        </w:tblCellMar>
      </w:tblPr>
      <w:tblGrid>
        <w:gridCol w:w="2705"/>
        <w:gridCol w:w="60"/>
        <w:gridCol w:w="159"/>
        <w:gridCol w:w="637"/>
        <w:gridCol w:w="68"/>
        <w:gridCol w:w="68"/>
        <w:gridCol w:w="159"/>
        <w:gridCol w:w="637"/>
        <w:gridCol w:w="68"/>
        <w:gridCol w:w="68"/>
        <w:gridCol w:w="449"/>
        <w:gridCol w:w="305"/>
        <w:gridCol w:w="68"/>
        <w:gridCol w:w="68"/>
        <w:gridCol w:w="449"/>
        <w:gridCol w:w="305"/>
        <w:gridCol w:w="75"/>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31, 2022</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6"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6"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Cash equivalents: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U.S. treasury securities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93" w:name="xdx_98B_eus-gaap--AssetsFairValueDisclos"/>
            <w:bookmarkEnd w:id="293"/>
          </w:p>
        </w:tc>
        <w:tc>
          <w:tcPr>
            <w:tcW w:w="637" w:type="dxa"/>
            <w:tcBorders>
              <w:bottom w:val="double" w:sz="6" w:space="0" w:color="000000"/>
            </w:tcBorders>
            <w:shd w:fill="FFFFFF" w:val="clear"/>
            <w:tcMar>
              <w:bottom w:w="28" w:type="dxa"/>
            </w:tcMar>
            <w:vAlign w:val="center"/>
          </w:tcPr>
          <w:p>
            <w:pPr>
              <w:pStyle w:val="TableContents"/>
              <w:bidi w:val="0"/>
              <w:spacing w:before="0" w:after="283"/>
              <w:jc w:val="right"/>
              <w:rPr/>
            </w:pPr>
            <w:r>
              <w:rPr/>
              <w:t>1,247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94" w:name="xdx_98F_eus-gaap--AssetsFairValueDisclos"/>
            <w:bookmarkEnd w:id="294"/>
          </w:p>
        </w:tc>
        <w:tc>
          <w:tcPr>
            <w:tcW w:w="637" w:type="dxa"/>
            <w:tcBorders>
              <w:bottom w:val="double" w:sz="6" w:space="0" w:color="000000"/>
            </w:tcBorders>
            <w:shd w:fill="FFFFFF" w:val="clear"/>
            <w:tcMar>
              <w:bottom w:w="28" w:type="dxa"/>
            </w:tcMar>
            <w:vAlign w:val="center"/>
          </w:tcPr>
          <w:p>
            <w:pPr>
              <w:pStyle w:val="TableContents"/>
              <w:bidi w:val="0"/>
              <w:spacing w:before="0" w:after="283"/>
              <w:jc w:val="right"/>
              <w:rPr/>
            </w:pPr>
            <w:r>
              <w:rPr/>
              <w:t>1,247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95" w:name="xdx_983_eus-gaap--AssetsFairValueDisclos"/>
            <w:bookmarkEnd w:id="295"/>
          </w:p>
        </w:tc>
        <w:tc>
          <w:tcPr>
            <w:tcW w:w="30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96" w:name="xdx_98C_eus-gaap--AssetsFairValueDisclos"/>
            <w:bookmarkEnd w:id="296"/>
          </w:p>
        </w:tc>
        <w:tc>
          <w:tcPr>
            <w:tcW w:w="30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sz w:val="4"/>
                <w:szCs w:val="4"/>
              </w:rPr>
            </w:pPr>
            <w:r>
              <w:rPr>
                <w:sz w:val="4"/>
                <w:szCs w:val="4"/>
              </w:rPr>
            </w:r>
          </w:p>
        </w:tc>
      </w:tr>
      <w:tr>
        <w:trPr/>
        <w:tc>
          <w:tcPr>
            <w:tcW w:w="2705" w:type="dxa"/>
            <w:tcBorders/>
            <w:shd w:fill="CCEEFF" w:val="clear"/>
            <w:vAlign w:val="center"/>
          </w:tcPr>
          <w:p>
            <w:pPr>
              <w:pStyle w:val="TableContents"/>
              <w:bidi w:val="0"/>
              <w:spacing w:before="0" w:after="283"/>
              <w:jc w:val="left"/>
              <w:rPr/>
            </w:pPr>
            <w:r>
              <w:rPr/>
              <w:t>U.S. treasury securities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bookmarkStart w:id="297" w:name="xdx_98C_eus-gaap--AssetsFairValueDisclos"/>
            <w:bookmarkEnd w:id="297"/>
          </w:p>
        </w:tc>
        <w:tc>
          <w:tcPr>
            <w:tcW w:w="637" w:type="dxa"/>
            <w:tcBorders/>
            <w:shd w:fill="CCEEFF" w:val="clear"/>
            <w:vAlign w:val="center"/>
          </w:tcPr>
          <w:p>
            <w:pPr>
              <w:pStyle w:val="TableContents"/>
              <w:bidi w:val="0"/>
              <w:spacing w:before="0" w:after="283"/>
              <w:jc w:val="right"/>
              <w:rPr/>
            </w:pPr>
            <w:r>
              <w:rPr/>
              <w:t>3,761</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bookmarkStart w:id="298" w:name="xdx_985_eus-gaap--AssetsFairValueDisclos"/>
            <w:bookmarkEnd w:id="298"/>
          </w:p>
        </w:tc>
        <w:tc>
          <w:tcPr>
            <w:tcW w:w="637" w:type="dxa"/>
            <w:tcBorders/>
            <w:shd w:fill="CCEEFF" w:val="clear"/>
            <w:vAlign w:val="center"/>
          </w:tcPr>
          <w:p>
            <w:pPr>
              <w:pStyle w:val="TableContents"/>
              <w:bidi w:val="0"/>
              <w:spacing w:before="0" w:after="283"/>
              <w:jc w:val="right"/>
              <w:rPr/>
            </w:pPr>
            <w:r>
              <w:rPr/>
              <w:t>3,761</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w:t>
            </w:r>
            <w:bookmarkStart w:id="299" w:name="xdx_989_eus-gaap--AssetsFairValueDisclos"/>
            <w:bookmarkEnd w:id="299"/>
          </w:p>
        </w:tc>
        <w:tc>
          <w:tcPr>
            <w:tcW w:w="305" w:type="dxa"/>
            <w:tcBorders/>
            <w:shd w:fill="CCEEFF" w:val="cle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w:t>
            </w:r>
            <w:bookmarkStart w:id="300" w:name="xdx_987_eus-gaap--AssetsFairValueDisclos"/>
            <w:bookmarkEnd w:id="300"/>
          </w:p>
        </w:tc>
        <w:tc>
          <w:tcPr>
            <w:tcW w:w="30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Money market mutual funds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301" w:name="xdx_980_eus-gaap--AssetsFairValueDisclos"/>
            <w:bookmarkEnd w:id="301"/>
          </w:p>
        </w:tc>
        <w:tc>
          <w:tcPr>
            <w:tcW w:w="637" w:type="dxa"/>
            <w:tcBorders>
              <w:bottom w:val="single" w:sz="12" w:space="0" w:color="000000"/>
            </w:tcBorders>
            <w:shd w:fill="FFFFFF" w:val="clear"/>
            <w:tcMar>
              <w:bottom w:w="28" w:type="dxa"/>
            </w:tcMar>
            <w:vAlign w:val="center"/>
          </w:tcPr>
          <w:p>
            <w:pPr>
              <w:pStyle w:val="TableContents"/>
              <w:bidi w:val="0"/>
              <w:spacing w:before="0" w:after="283"/>
              <w:jc w:val="right"/>
              <w:rPr/>
            </w:pPr>
            <w:r>
              <w:rPr/>
              <w:t>1,999</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302" w:name="xdx_986_eus-gaap--AssetsFairValueDisclos"/>
            <w:bookmarkEnd w:id="302"/>
          </w:p>
        </w:tc>
        <w:tc>
          <w:tcPr>
            <w:tcW w:w="637" w:type="dxa"/>
            <w:tcBorders>
              <w:bottom w:val="single" w:sz="12" w:space="0" w:color="000000"/>
            </w:tcBorders>
            <w:shd w:fill="FFFFFF" w:val="clear"/>
            <w:tcMar>
              <w:bottom w:w="28" w:type="dxa"/>
            </w:tcMar>
            <w:vAlign w:val="center"/>
          </w:tcPr>
          <w:p>
            <w:pPr>
              <w:pStyle w:val="TableContents"/>
              <w:bidi w:val="0"/>
              <w:spacing w:before="0" w:after="283"/>
              <w:jc w:val="right"/>
              <w:rPr/>
            </w:pPr>
            <w:r>
              <w:rPr/>
              <w:t>1,999</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303" w:name="xdx_98F_eus-gaap--AssetsFairValueDisclos"/>
            <w:bookmarkEnd w:id="303"/>
          </w:p>
        </w:tc>
        <w:tc>
          <w:tcPr>
            <w:tcW w:w="3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304" w:name="xdx_985_eus-gaap--AssetsFairValueDisclos"/>
            <w:bookmarkEnd w:id="304"/>
          </w:p>
        </w:tc>
        <w:tc>
          <w:tcPr>
            <w:tcW w:w="3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05" w:name="xdx_985_eus-gaap--AssetsFairValueDisclos"/>
            <w:bookmarkEnd w:id="305"/>
          </w:p>
        </w:tc>
        <w:tc>
          <w:tcPr>
            <w:tcW w:w="637" w:type="dxa"/>
            <w:tcBorders>
              <w:bottom w:val="double" w:sz="6" w:space="0" w:color="000000"/>
            </w:tcBorders>
            <w:shd w:fill="CCEEFF" w:val="clear"/>
            <w:tcMar>
              <w:bottom w:w="28" w:type="dxa"/>
            </w:tcMar>
            <w:vAlign w:val="center"/>
          </w:tcPr>
          <w:p>
            <w:pPr>
              <w:pStyle w:val="TableContents"/>
              <w:bidi w:val="0"/>
              <w:spacing w:before="0" w:after="283"/>
              <w:jc w:val="right"/>
              <w:rPr/>
            </w:pPr>
            <w:r>
              <w:rPr/>
              <w:t>5,760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06" w:name="xdx_982_eus-gaap--AssetsFairValueDisclos"/>
            <w:bookmarkEnd w:id="306"/>
          </w:p>
        </w:tc>
        <w:tc>
          <w:tcPr>
            <w:tcW w:w="637" w:type="dxa"/>
            <w:tcBorders>
              <w:bottom w:val="double" w:sz="6" w:space="0" w:color="000000"/>
            </w:tcBorders>
            <w:shd w:fill="CCEEFF" w:val="clear"/>
            <w:tcMar>
              <w:bottom w:w="28" w:type="dxa"/>
            </w:tcMar>
            <w:vAlign w:val="center"/>
          </w:tcPr>
          <w:p>
            <w:pPr>
              <w:pStyle w:val="TableContents"/>
              <w:bidi w:val="0"/>
              <w:spacing w:before="0" w:after="283"/>
              <w:jc w:val="right"/>
              <w:rPr/>
            </w:pPr>
            <w:r>
              <w:rPr/>
              <w:t>5,760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07" w:name="xdx_989_eus-gaap--AssetsFairValueDisclos"/>
            <w:bookmarkEnd w:id="307"/>
          </w:p>
        </w:tc>
        <w:tc>
          <w:tcPr>
            <w:tcW w:w="3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08" w:name="xdx_983_eus-gaap--AssetsFairValueDisclos"/>
            <w:bookmarkEnd w:id="308"/>
          </w:p>
        </w:tc>
        <w:tc>
          <w:tcPr>
            <w:tcW w:w="3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309" w:name="xdx_8AD_z0S3vfxizlu1"/>
      <w:bookmarkEnd w:id="309"/>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December 31, 2023 and 2022.</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10" w:name="xdx_801_ecustom--PrepaidExpensesAndOther"/>
      <w:bookmarkEnd w:id="310"/>
      <w:r>
        <w:rPr>
          <w:rFonts w:ascii="Times New Roman;Times;Serif" w:hAnsi="Times New Roman;Times;Serif"/>
          <w:b/>
          <w:i w:val="false"/>
          <w:caps w:val="false"/>
          <w:smallCaps w:val="false"/>
          <w:sz w:val="20"/>
        </w:rPr>
        <w:t xml:space="preserve">NOTE 5 – </w:t>
      </w:r>
      <w:bookmarkStart w:id="311" w:name="xdx_82C_zIQYOGq4sXD3"/>
      <w:bookmarkEnd w:id="311"/>
      <w:r>
        <w:rPr>
          <w:rFonts w:ascii="Times New Roman;Times;Serif" w:hAnsi="Times New Roman;Times;Serif"/>
          <w:b/>
          <w:i w:val="false"/>
          <w:caps w:val="false"/>
          <w:smallCaps w:val="false"/>
          <w:sz w:val="20"/>
        </w:rPr>
        <w:t>PREPAID EXPENSES AND OTHER CURRENT ASSETS</w:t>
      </w:r>
    </w:p>
    <w:p>
      <w:pPr>
        <w:pStyle w:val="TextBody"/>
        <w:bidi w:val="0"/>
        <w:spacing w:before="0" w:after="0"/>
        <w:ind w:left="0" w:right="0" w:hanging="0"/>
        <w:jc w:val="left"/>
        <w:rPr>
          <w:caps w:val="false"/>
          <w:smallCaps w:val="false"/>
        </w:rPr>
      </w:pPr>
      <w:bookmarkStart w:id="312" w:name="xdx_896_eus-gaap--DeferredCostsCapitaliz"/>
      <w:bookmarkEnd w:id="312"/>
      <w:r>
        <w:rPr>
          <w:caps w:val="false"/>
          <w:smallCaps w:val="false"/>
        </w:rPr>
        <w:t> </w:t>
      </w:r>
      <w:bookmarkStart w:id="313" w:name="xdx_8B7_zUwNl3OIrS2g"/>
      <w:bookmarkEnd w:id="313"/>
      <w:r>
        <w:rPr>
          <w:rFonts w:ascii="Times New Roman;Times;Serif" w:hAnsi="Times New Roman;Times;Serif"/>
          <w:b w:val="false"/>
          <w:i w:val="false"/>
          <w:caps w:val="false"/>
          <w:smallCaps w:val="false"/>
          <w:sz w:val="20"/>
        </w:rPr>
        <w:t>SCHEDULE OF PREPAID EXPENSES AND OTHER CURRENT ASSETS</w:t>
      </w:r>
    </w:p>
    <w:tbl>
      <w:tblPr>
        <w:tblW w:w="6218" w:type="dxa"/>
        <w:jc w:val="left"/>
        <w:tblInd w:w="0" w:type="dxa"/>
        <w:tblLayout w:type="fixed"/>
        <w:tblCellMar>
          <w:top w:w="0" w:type="dxa"/>
          <w:left w:w="0" w:type="dxa"/>
          <w:bottom w:w="0" w:type="dxa"/>
          <w:right w:w="0" w:type="dxa"/>
        </w:tblCellMar>
      </w:tblPr>
      <w:tblGrid>
        <w:gridCol w:w="4085"/>
        <w:gridCol w:w="60"/>
        <w:gridCol w:w="241"/>
        <w:gridCol w:w="655"/>
        <w:gridCol w:w="103"/>
        <w:gridCol w:w="103"/>
        <w:gridCol w:w="241"/>
        <w:gridCol w:w="655"/>
        <w:gridCol w:w="75"/>
      </w:tblGrid>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4" w:name="xdx_497_20231231_zwCBlLqqFZM8"/>
            <w:bookmarkEnd w:id="314"/>
          </w:p>
        </w:tc>
        <w:tc>
          <w:tcPr>
            <w:tcW w:w="896" w:type="dxa"/>
            <w:gridSpan w:val="2"/>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bookmarkStart w:id="315" w:name="xdx_49E_20221231_z8ISGZ1saQ32"/>
            <w:bookmarkEnd w:id="315"/>
          </w:p>
        </w:tc>
        <w:tc>
          <w:tcPr>
            <w:tcW w:w="896"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316" w:name="xdx_400_eus-gaap--GovernmentContractRece"/>
            <w:bookmarkEnd w:id="316"/>
          </w:p>
        </w:tc>
      </w:tr>
      <w:tr>
        <w:trPr/>
        <w:tc>
          <w:tcPr>
            <w:tcW w:w="4085" w:type="dxa"/>
            <w:tcBorders/>
            <w:shd w:fill="CCEEFF" w:val="clear"/>
            <w:vAlign w:val="center"/>
          </w:tcPr>
          <w:p>
            <w:pPr>
              <w:pStyle w:val="TableContents"/>
              <w:bidi w:val="0"/>
              <w:spacing w:before="0" w:after="283"/>
              <w:jc w:val="left"/>
              <w:rPr/>
            </w:pPr>
            <w:r>
              <w:rPr/>
              <w:t>Amounts due from government institutions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655" w:type="dxa"/>
            <w:tcBorders/>
            <w:shd w:fill="CCEEFF" w:val="clear"/>
            <w:vAlign w:val="center"/>
          </w:tcPr>
          <w:p>
            <w:pPr>
              <w:pStyle w:val="TableContents"/>
              <w:bidi w:val="0"/>
              <w:spacing w:before="0" w:after="283"/>
              <w:jc w:val="right"/>
              <w:rPr/>
            </w:pPr>
            <w:r>
              <w:rPr/>
              <w:t>61</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655" w:type="dxa"/>
            <w:tcBorders/>
            <w:shd w:fill="CCEEFF" w:val="clear"/>
            <w:vAlign w:val="center"/>
          </w:tcPr>
          <w:p>
            <w:pPr>
              <w:pStyle w:val="TableContents"/>
              <w:bidi w:val="0"/>
              <w:spacing w:before="0" w:after="283"/>
              <w:jc w:val="right"/>
              <w:rPr/>
            </w:pPr>
            <w:r>
              <w:rPr/>
              <w:t>103</w:t>
            </w:r>
          </w:p>
        </w:tc>
        <w:tc>
          <w:tcPr>
            <w:tcW w:w="75" w:type="dxa"/>
            <w:tcBorders/>
            <w:shd w:fill="CCEEFF" w:val="clear"/>
            <w:vAlign w:val="center"/>
          </w:tcPr>
          <w:p>
            <w:pPr>
              <w:pStyle w:val="TableContents"/>
              <w:bidi w:val="0"/>
              <w:spacing w:before="0" w:after="283"/>
              <w:jc w:val="left"/>
              <w:rPr/>
            </w:pPr>
            <w:r>
              <w:rPr/>
              <w:t> </w:t>
            </w:r>
            <w:bookmarkStart w:id="317" w:name="xdx_401_eus-gaap--PrepaidExpenseCurrent_"/>
            <w:bookmarkEnd w:id="317"/>
          </w:p>
        </w:tc>
      </w:tr>
      <w:tr>
        <w:trPr/>
        <w:tc>
          <w:tcPr>
            <w:tcW w:w="4085" w:type="dxa"/>
            <w:tcBorders/>
            <w:shd w:fill="FFFFFF" w:val="clear"/>
            <w:vAlign w:val="center"/>
          </w:tcPr>
          <w:p>
            <w:pPr>
              <w:pStyle w:val="TableContents"/>
              <w:bidi w:val="0"/>
              <w:spacing w:before="0" w:after="283"/>
              <w:jc w:val="left"/>
              <w:rPr/>
            </w:pPr>
            <w:r>
              <w:rPr/>
              <w:t>Prepaid expenses and other receivables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655" w:type="dxa"/>
            <w:tcBorders>
              <w:bottom w:val="single" w:sz="12" w:space="0" w:color="000000"/>
            </w:tcBorders>
            <w:shd w:fill="FFFFFF" w:val="clear"/>
            <w:tcMar>
              <w:bottom w:w="28" w:type="dxa"/>
            </w:tcMar>
            <w:vAlign w:val="center"/>
          </w:tcPr>
          <w:p>
            <w:pPr>
              <w:pStyle w:val="TableContents"/>
              <w:bidi w:val="0"/>
              <w:spacing w:before="0" w:after="283"/>
              <w:jc w:val="right"/>
              <w:rPr/>
            </w:pPr>
            <w:r>
              <w:rPr/>
              <w:t>91</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655" w:type="dxa"/>
            <w:tcBorders>
              <w:bottom w:val="single" w:sz="12" w:space="0" w:color="000000"/>
            </w:tcBorders>
            <w:shd w:fill="FFFFFF" w:val="clear"/>
            <w:tcMar>
              <w:bottom w:w="28" w:type="dxa"/>
            </w:tcMar>
            <w:vAlign w:val="center"/>
          </w:tcPr>
          <w:p>
            <w:pPr>
              <w:pStyle w:val="TableContents"/>
              <w:bidi w:val="0"/>
              <w:spacing w:before="0" w:after="283"/>
              <w:jc w:val="right"/>
              <w:rPr/>
            </w:pPr>
            <w:r>
              <w:rPr/>
              <w:t>429</w:t>
            </w:r>
          </w:p>
        </w:tc>
        <w:tc>
          <w:tcPr>
            <w:tcW w:w="75" w:type="dxa"/>
            <w:tcBorders/>
            <w:shd w:fill="FFFFFF" w:val="clear"/>
            <w:vAlign w:val="center"/>
          </w:tcPr>
          <w:p>
            <w:pPr>
              <w:pStyle w:val="TableContents"/>
              <w:bidi w:val="0"/>
              <w:spacing w:before="0" w:after="283"/>
              <w:jc w:val="left"/>
              <w:rPr/>
            </w:pPr>
            <w:r>
              <w:rPr/>
              <w:t> </w:t>
            </w:r>
            <w:bookmarkStart w:id="318" w:name="xdx_407_eus-gaap--PrepaidExpenseAndOther"/>
            <w:bookmarkEnd w:id="318"/>
          </w:p>
        </w:tc>
      </w:tr>
      <w:tr>
        <w:trPr/>
        <w:tc>
          <w:tcPr>
            <w:tcW w:w="4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5" w:type="dxa"/>
            <w:tcBorders>
              <w:bottom w:val="double" w:sz="6" w:space="0" w:color="000000"/>
            </w:tcBorders>
            <w:shd w:fill="CCEEFF" w:val="clear"/>
            <w:tcMar>
              <w:bottom w:w="28" w:type="dxa"/>
            </w:tcMar>
            <w:vAlign w:val="center"/>
          </w:tcPr>
          <w:p>
            <w:pPr>
              <w:pStyle w:val="TableContents"/>
              <w:bidi w:val="0"/>
              <w:spacing w:before="0" w:after="283"/>
              <w:jc w:val="right"/>
              <w:rPr/>
            </w:pPr>
            <w:r>
              <w:rPr/>
              <w:t>152</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5" w:type="dxa"/>
            <w:tcBorders>
              <w:bottom w:val="double" w:sz="6" w:space="0" w:color="000000"/>
            </w:tcBorders>
            <w:shd w:fill="CCEEFF" w:val="clear"/>
            <w:tcMar>
              <w:bottom w:w="28" w:type="dxa"/>
            </w:tcMar>
            <w:vAlign w:val="center"/>
          </w:tcPr>
          <w:p>
            <w:pPr>
              <w:pStyle w:val="TableContents"/>
              <w:bidi w:val="0"/>
              <w:spacing w:before="0" w:after="283"/>
              <w:jc w:val="right"/>
              <w:rPr/>
            </w:pPr>
            <w:r>
              <w:rPr/>
              <w:t>532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134" w:right="0" w:hanging="0"/>
        <w:jc w:val="left"/>
        <w:rPr>
          <w:caps w:val="false"/>
          <w:smallCaps w:val="false"/>
        </w:rPr>
      </w:pPr>
      <w:bookmarkStart w:id="319" w:name="xdx_8A5_zyHFwpWzSgBj"/>
      <w:bookmarkEnd w:id="319"/>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20" w:name="xdx_803_eus-gaap--LesseeOperatingLeasesT"/>
      <w:bookmarkEnd w:id="320"/>
      <w:r>
        <w:rPr>
          <w:rFonts w:ascii="Times New Roman;Times;Serif" w:hAnsi="Times New Roman;Times;Serif"/>
          <w:b/>
          <w:i w:val="false"/>
          <w:caps w:val="false"/>
          <w:smallCaps w:val="false"/>
          <w:sz w:val="20"/>
        </w:rPr>
        <w:t xml:space="preserve">NOTE 6 - </w:t>
      </w:r>
      <w:bookmarkStart w:id="321" w:name="xdx_82E_zr2XVi5cCVu4"/>
      <w:bookmarkEnd w:id="321"/>
      <w:r>
        <w:rPr>
          <w:rFonts w:ascii="Times New Roman;Times;Serif" w:hAnsi="Times New Roman;Times;Serif"/>
          <w:b/>
          <w:i w:val="false"/>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2019, the Company signed an office space lease agreement for the period from November 2019 until October 2024. In addition, the Company received an option to extend the lease agreement for an additional </w:t>
      </w:r>
      <w:bookmarkStart w:id="322" w:name="xdx_90C_eus-gaap--LesseeOperatingLeaseTe"/>
      <w:bookmarkEnd w:id="322"/>
      <w:r>
        <w:rPr>
          <w:rFonts w:ascii="Times New Roman;Times;Serif" w:hAnsi="Times New Roman;Times;Serif"/>
          <w:b w:val="false"/>
          <w:i w:val="false"/>
          <w:caps w:val="false"/>
          <w:smallCaps w:val="false"/>
          <w:sz w:val="20"/>
        </w:rPr>
        <w:t>5 years. The monthly lease payments are approximately $</w:t>
      </w:r>
      <w:bookmarkStart w:id="323" w:name="xdx_90F_eus-gaap--FinanceLeasePrincipalP"/>
      <w:bookmarkEnd w:id="323"/>
      <w:r>
        <w:rPr>
          <w:rFonts w:ascii="Times New Roman;Times;Serif" w:hAnsi="Times New Roman;Times;Serif"/>
          <w:b w:val="false"/>
          <w:i w:val="false"/>
          <w:caps w:val="false"/>
          <w:smallCaps w:val="false"/>
          <w:sz w:val="20"/>
        </w:rPr>
        <w:t>16. To secure the lease payments the Company had issued a bank guarantee of $</w:t>
      </w:r>
      <w:bookmarkStart w:id="324" w:name="xdx_90F_ecustom--BankGuaranteeIssued_pn3"/>
      <w:bookmarkEnd w:id="324"/>
      <w:r>
        <w:rPr>
          <w:rFonts w:ascii="Times New Roman;Times;Serif" w:hAnsi="Times New Roman;Times;Serif"/>
          <w:b w:val="false"/>
          <w:i w:val="false"/>
          <w:caps w:val="false"/>
          <w:smallCaps w:val="false"/>
          <w:sz w:val="20"/>
        </w:rPr>
        <w:t>49 in favor of the facility’s lessor. Additionally, the Company entered into agreements for car leases.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325" w:name="xdx_890_eus-gaap--ScheduleOfComprehensiv"/>
      <w:bookmarkEnd w:id="325"/>
      <w:r>
        <w:rPr>
          <w:rFonts w:ascii="Times New Roman;Times;Serif" w:hAnsi="Times New Roman;Times;Serif"/>
          <w:b w:val="false"/>
          <w:i w:val="false"/>
          <w:caps w:val="false"/>
          <w:smallCaps w:val="false"/>
          <w:sz w:val="20"/>
        </w:rPr>
        <w:t>The following table presents the components of the Company’s lease cost and the classification of such costs in the Company’s consolidated statements of comprehensive loss for the years ended December 31, 2023 and 2022:</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326" w:name="xdx_8B2_znPLX3JU3j28"/>
      <w:bookmarkEnd w:id="326"/>
      <w:r>
        <w:rPr>
          <w:rFonts w:ascii="Times New Roman;Times;Serif" w:hAnsi="Times New Roman;Times;Serif"/>
          <w:b w:val="false"/>
          <w:i w:val="false"/>
          <w:caps w:val="false"/>
          <w:smallCaps w:val="false"/>
          <w:sz w:val="20"/>
        </w:rPr>
        <w:t>SCHEDULE OF STATEMENTS OF COMPREHENSIVE LOSS</w:t>
      </w:r>
    </w:p>
    <w:tbl>
      <w:tblPr>
        <w:tblW w:w="10205" w:type="dxa"/>
        <w:jc w:val="left"/>
        <w:tblInd w:w="0" w:type="dxa"/>
        <w:tblLayout w:type="fixed"/>
        <w:tblCellMar>
          <w:top w:w="0" w:type="dxa"/>
          <w:left w:w="0" w:type="dxa"/>
          <w:bottom w:w="28" w:type="dxa"/>
          <w:right w:w="0" w:type="dxa"/>
        </w:tblCellMar>
      </w:tblPr>
      <w:tblGrid>
        <w:gridCol w:w="2478"/>
        <w:gridCol w:w="60"/>
        <w:gridCol w:w="4228"/>
        <w:gridCol w:w="60"/>
        <w:gridCol w:w="398"/>
        <w:gridCol w:w="1082"/>
        <w:gridCol w:w="170"/>
        <w:gridCol w:w="170"/>
        <w:gridCol w:w="398"/>
        <w:gridCol w:w="1082"/>
        <w:gridCol w:w="79"/>
      </w:tblGrid>
      <w:tr>
        <w:trPr/>
        <w:tc>
          <w:tcPr>
            <w:tcW w:w="2478" w:type="dxa"/>
            <w:tcBorders>
              <w:bottom w:val="single" w:sz="12" w:space="0" w:color="000000"/>
            </w:tcBorders>
            <w:vAlign w:val="center"/>
          </w:tcPr>
          <w:p>
            <w:pPr>
              <w:pStyle w:val="TableContents"/>
              <w:bidi w:val="0"/>
              <w:spacing w:before="0" w:after="283"/>
              <w:jc w:val="left"/>
              <w:rPr>
                <w:b/>
              </w:rPr>
            </w:pPr>
            <w:r>
              <w:rPr>
                <w:b/>
              </w:rPr>
              <w:t>Component of Lease Cost</w:t>
            </w:r>
          </w:p>
        </w:tc>
        <w:tc>
          <w:tcPr>
            <w:tcW w:w="60" w:type="dxa"/>
            <w:tcBorders/>
            <w:tcMar>
              <w:bottom w:w="0" w:type="dxa"/>
            </w:tcMar>
            <w:vAlign w:val="center"/>
          </w:tcPr>
          <w:p>
            <w:pPr>
              <w:pStyle w:val="TableContents"/>
              <w:bidi w:val="0"/>
              <w:spacing w:before="0" w:after="283"/>
              <w:jc w:val="left"/>
              <w:rPr/>
            </w:pPr>
            <w:r>
              <w:rPr/>
              <w:t> </w:t>
            </w:r>
          </w:p>
        </w:tc>
        <w:tc>
          <w:tcPr>
            <w:tcW w:w="4228" w:type="dxa"/>
            <w:tcBorders>
              <w:bottom w:val="single" w:sz="12" w:space="0" w:color="000000"/>
            </w:tcBorders>
            <w:vAlign w:val="center"/>
          </w:tcPr>
          <w:p>
            <w:pPr>
              <w:pStyle w:val="TableContents"/>
              <w:bidi w:val="0"/>
              <w:spacing w:before="0" w:after="283"/>
              <w:jc w:val="left"/>
              <w:rPr/>
            </w:pPr>
            <w:r>
              <w:rPr/>
              <w:t>Statements of Comprehensive Loss Line Item</w:t>
            </w:r>
          </w:p>
        </w:tc>
        <w:tc>
          <w:tcPr>
            <w:tcW w:w="60" w:type="dxa"/>
            <w:tcBorders/>
            <w:tcMar>
              <w:bottom w:w="0" w:type="dxa"/>
            </w:tcMar>
            <w:vAlign w:val="center"/>
          </w:tcPr>
          <w:p>
            <w:pPr>
              <w:pStyle w:val="TableContents"/>
              <w:bidi w:val="0"/>
              <w:spacing w:before="0" w:after="283"/>
              <w:jc w:val="left"/>
              <w:rPr/>
            </w:pPr>
            <w:r>
              <w:rPr/>
              <w:t> </w:t>
            </w:r>
            <w:bookmarkStart w:id="327" w:name="xdx_494_20230101__20231231_zgRJeQ0R2qob"/>
            <w:bookmarkEnd w:id="327"/>
          </w:p>
        </w:tc>
        <w:tc>
          <w:tcPr>
            <w:tcW w:w="1480" w:type="dxa"/>
            <w:gridSpan w:val="2"/>
            <w:tcBorders>
              <w:bottom w:val="single" w:sz="12" w:space="0" w:color="000000"/>
            </w:tcBorders>
            <w:vAlign w:val="center"/>
          </w:tcPr>
          <w:p>
            <w:pPr>
              <w:pStyle w:val="TableContents"/>
              <w:bidi w:val="0"/>
              <w:spacing w:before="0" w:after="283"/>
              <w:jc w:val="center"/>
              <w:rPr/>
            </w:pPr>
            <w:r>
              <w:rPr/>
              <w:t>2023</w:t>
            </w:r>
          </w:p>
        </w:tc>
        <w:tc>
          <w:tcPr>
            <w:tcW w:w="17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bookmarkStart w:id="328" w:name="xdx_499_20220101__20221231_ziEDO5VYuzye"/>
            <w:bookmarkEnd w:id="328"/>
          </w:p>
        </w:tc>
        <w:tc>
          <w:tcPr>
            <w:tcW w:w="1480" w:type="dxa"/>
            <w:gridSpan w:val="2"/>
            <w:tcBorders>
              <w:bottom w:val="single" w:sz="12" w:space="0" w:color="000000"/>
            </w:tcBorders>
            <w:vAlign w:val="center"/>
          </w:tcPr>
          <w:p>
            <w:pPr>
              <w:pStyle w:val="TableContents"/>
              <w:bidi w:val="0"/>
              <w:spacing w:before="0" w:after="283"/>
              <w:jc w:val="center"/>
              <w:rPr/>
            </w:pPr>
            <w:r>
              <w:rPr/>
              <w:t>2022</w:t>
            </w:r>
          </w:p>
        </w:tc>
        <w:tc>
          <w:tcPr>
            <w:tcW w:w="79" w:type="dxa"/>
            <w:tcBorders/>
            <w:tcMar>
              <w:bottom w:w="0" w:type="dxa"/>
            </w:tcMar>
            <w:vAlign w:val="center"/>
          </w:tcPr>
          <w:p>
            <w:pPr>
              <w:pStyle w:val="TableContents"/>
              <w:bidi w:val="0"/>
              <w:spacing w:before="0" w:after="283"/>
              <w:jc w:val="left"/>
              <w:rPr/>
            </w:pPr>
            <w:r>
              <w:rPr/>
              <w:t> </w:t>
            </w:r>
          </w:p>
        </w:tc>
      </w:tr>
      <w:tr>
        <w:trPr/>
        <w:tc>
          <w:tcPr>
            <w:tcW w:w="247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2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00" w:type="dxa"/>
            <w:gridSpan w:val="6"/>
            <w:tcBorders>
              <w:bottom w:val="single" w:sz="12" w:space="0" w:color="000000"/>
            </w:tcBorders>
            <w:vAlign w:val="center"/>
          </w:tcPr>
          <w:p>
            <w:pPr>
              <w:pStyle w:val="TableContents"/>
              <w:bidi w:val="0"/>
              <w:spacing w:before="0" w:after="283"/>
              <w:jc w:val="center"/>
              <w:rPr>
                <w:b/>
              </w:rPr>
            </w:pPr>
            <w:r>
              <w:rPr>
                <w:b/>
              </w:rPr>
              <w:t>For the Years Ended December 31,</w:t>
            </w:r>
          </w:p>
        </w:tc>
        <w:tc>
          <w:tcPr>
            <w:tcW w:w="79" w:type="dxa"/>
            <w:tcBorders/>
            <w:tcMar>
              <w:bottom w:w="0" w:type="dxa"/>
            </w:tcMar>
            <w:vAlign w:val="center"/>
          </w:tcPr>
          <w:p>
            <w:pPr>
              <w:pStyle w:val="TableContents"/>
              <w:bidi w:val="0"/>
              <w:spacing w:before="0" w:after="283"/>
              <w:jc w:val="left"/>
              <w:rPr/>
            </w:pPr>
            <w:r>
              <w:rPr/>
              <w:t> </w:t>
            </w:r>
          </w:p>
        </w:tc>
      </w:tr>
      <w:tr>
        <w:trPr/>
        <w:tc>
          <w:tcPr>
            <w:tcW w:w="2478" w:type="dxa"/>
            <w:tcBorders>
              <w:bottom w:val="single" w:sz="12" w:space="0" w:color="000000"/>
            </w:tcBorders>
            <w:vAlign w:val="center"/>
          </w:tcPr>
          <w:p>
            <w:pPr>
              <w:pStyle w:val="TableContents"/>
              <w:bidi w:val="0"/>
              <w:spacing w:before="0" w:after="283"/>
              <w:jc w:val="left"/>
              <w:rPr>
                <w:b/>
              </w:rPr>
            </w:pPr>
            <w:r>
              <w:rPr>
                <w:b/>
              </w:rPr>
              <w:t>Component of Lease Cost</w:t>
            </w:r>
          </w:p>
        </w:tc>
        <w:tc>
          <w:tcPr>
            <w:tcW w:w="60" w:type="dxa"/>
            <w:tcBorders/>
            <w:tcMar>
              <w:bottom w:w="0" w:type="dxa"/>
            </w:tcMar>
            <w:vAlign w:val="center"/>
          </w:tcPr>
          <w:p>
            <w:pPr>
              <w:pStyle w:val="TableContents"/>
              <w:bidi w:val="0"/>
              <w:spacing w:before="0" w:after="283"/>
              <w:jc w:val="left"/>
              <w:rPr/>
            </w:pPr>
            <w:r>
              <w:rPr/>
              <w:t> </w:t>
            </w:r>
          </w:p>
        </w:tc>
        <w:tc>
          <w:tcPr>
            <w:tcW w:w="4228" w:type="dxa"/>
            <w:tcBorders>
              <w:bottom w:val="single" w:sz="12" w:space="0" w:color="000000"/>
            </w:tcBorders>
            <w:vAlign w:val="center"/>
          </w:tcPr>
          <w:p>
            <w:pPr>
              <w:pStyle w:val="TableContents"/>
              <w:bidi w:val="0"/>
              <w:spacing w:before="0" w:after="283"/>
              <w:jc w:val="center"/>
              <w:rPr>
                <w:b/>
              </w:rPr>
            </w:pPr>
            <w:r>
              <w:rPr>
                <w:b/>
              </w:rPr>
              <w:t>Statements of Comprehensive Loss Line Item</w:t>
            </w:r>
          </w:p>
        </w:tc>
        <w:tc>
          <w:tcPr>
            <w:tcW w:w="60" w:type="dxa"/>
            <w:tcBorders/>
            <w:tcMar>
              <w:bottom w:w="0" w:type="dxa"/>
            </w:tcMar>
            <w:vAlign w:val="center"/>
          </w:tcPr>
          <w:p>
            <w:pPr>
              <w:pStyle w:val="TableContents"/>
              <w:bidi w:val="0"/>
              <w:spacing w:before="0" w:after="283"/>
              <w:jc w:val="left"/>
              <w:rPr/>
            </w:pPr>
            <w:r>
              <w:rPr/>
              <w:t> </w:t>
            </w:r>
          </w:p>
        </w:tc>
        <w:tc>
          <w:tcPr>
            <w:tcW w:w="1480" w:type="dxa"/>
            <w:gridSpan w:val="2"/>
            <w:tcBorders>
              <w:bottom w:val="single" w:sz="12" w:space="0" w:color="000000"/>
            </w:tcBorders>
            <w:vAlign w:val="center"/>
          </w:tcPr>
          <w:p>
            <w:pPr>
              <w:pStyle w:val="TableContents"/>
              <w:bidi w:val="0"/>
              <w:spacing w:before="0" w:after="283"/>
              <w:jc w:val="center"/>
              <w:rPr>
                <w:b/>
              </w:rPr>
            </w:pPr>
            <w:r>
              <w:rPr>
                <w:b/>
              </w:rPr>
              <w:t>2023</w:t>
            </w:r>
          </w:p>
        </w:tc>
        <w:tc>
          <w:tcPr>
            <w:tcW w:w="17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480" w:type="dxa"/>
            <w:gridSpan w:val="2"/>
            <w:tcBorders>
              <w:bottom w:val="single" w:sz="12" w:space="0" w:color="000000"/>
            </w:tcBorders>
            <w:vAlign w:val="center"/>
          </w:tcPr>
          <w:p>
            <w:pPr>
              <w:pStyle w:val="TableContents"/>
              <w:bidi w:val="0"/>
              <w:spacing w:before="0" w:after="283"/>
              <w:jc w:val="center"/>
              <w:rPr>
                <w:b/>
              </w:rPr>
            </w:pPr>
            <w:r>
              <w:rPr>
                <w:b/>
              </w:rPr>
              <w:t>2022</w:t>
            </w:r>
          </w:p>
        </w:tc>
        <w:tc>
          <w:tcPr>
            <w:tcW w:w="79" w:type="dxa"/>
            <w:tcBorders/>
            <w:tcMar>
              <w:bottom w:w="0" w:type="dxa"/>
            </w:tcMar>
            <w:vAlign w:val="center"/>
          </w:tcPr>
          <w:p>
            <w:pPr>
              <w:pStyle w:val="TableContents"/>
              <w:bidi w:val="0"/>
              <w:spacing w:before="0" w:after="283"/>
              <w:jc w:val="left"/>
              <w:rPr/>
            </w:pPr>
            <w:r>
              <w:rPr/>
              <w:t> </w:t>
            </w:r>
            <w:bookmarkStart w:id="329" w:name="xdx_409_eus-gaap--OperatingLeaseCost_pn3"/>
            <w:bookmarkEnd w:id="329"/>
          </w:p>
        </w:tc>
      </w:tr>
      <w:tr>
        <w:trPr/>
        <w:tc>
          <w:tcPr>
            <w:tcW w:w="2478" w:type="dxa"/>
            <w:tcBorders/>
            <w:shd w:fill="CCEEFF" w:val="clear"/>
            <w:tcMar>
              <w:bottom w:w="0" w:type="dxa"/>
            </w:tcMar>
            <w:vAlign w:val="center"/>
          </w:tcPr>
          <w:p>
            <w:pPr>
              <w:pStyle w:val="TableContents"/>
              <w:bidi w:val="0"/>
              <w:spacing w:before="0" w:after="283"/>
              <w:jc w:val="left"/>
              <w:rPr/>
            </w:pPr>
            <w:r>
              <w:rPr/>
              <w:t>Operating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28" w:type="dxa"/>
            <w:tcBorders/>
            <w:shd w:fill="CCEEFF" w:val="clear"/>
            <w:tcMar>
              <w:bottom w:w="0" w:type="dxa"/>
            </w:tcMar>
            <w:vAlign w:val="center"/>
          </w:tcPr>
          <w:p>
            <w:pPr>
              <w:pStyle w:val="TableContents"/>
              <w:bidi w:val="0"/>
              <w:spacing w:before="0" w:after="283"/>
              <w:jc w:val="left"/>
              <w:rPr/>
            </w:pPr>
            <w:r>
              <w:rPr/>
              <w:t>Research and development,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8" w:type="dxa"/>
            <w:tcBorders>
              <w:bottom w:val="double" w:sz="6" w:space="0" w:color="000000"/>
            </w:tcBorders>
            <w:shd w:fill="CCEEFF" w:val="clear"/>
            <w:vAlign w:val="center"/>
          </w:tcPr>
          <w:p>
            <w:pPr>
              <w:pStyle w:val="TableContents"/>
              <w:bidi w:val="0"/>
              <w:spacing w:before="0" w:after="283"/>
              <w:jc w:val="left"/>
              <w:rPr/>
            </w:pPr>
            <w:r>
              <w:rPr/>
              <w:t>$</w:t>
            </w:r>
          </w:p>
        </w:tc>
        <w:tc>
          <w:tcPr>
            <w:tcW w:w="1082" w:type="dxa"/>
            <w:tcBorders>
              <w:bottom w:val="double" w:sz="6" w:space="0" w:color="000000"/>
            </w:tcBorders>
            <w:shd w:fill="CCEEFF" w:val="clear"/>
            <w:vAlign w:val="center"/>
          </w:tcPr>
          <w:p>
            <w:pPr>
              <w:pStyle w:val="TableContents"/>
              <w:bidi w:val="0"/>
              <w:spacing w:before="0" w:after="283"/>
              <w:jc w:val="right"/>
              <w:rPr/>
            </w:pPr>
            <w:r>
              <w:rPr/>
              <w:t>279</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398" w:type="dxa"/>
            <w:tcBorders>
              <w:bottom w:val="double" w:sz="6" w:space="0" w:color="000000"/>
            </w:tcBorders>
            <w:shd w:fill="CCEEFF" w:val="clear"/>
            <w:vAlign w:val="center"/>
          </w:tcPr>
          <w:p>
            <w:pPr>
              <w:pStyle w:val="TableContents"/>
              <w:bidi w:val="0"/>
              <w:spacing w:before="0" w:after="283"/>
              <w:jc w:val="left"/>
              <w:rPr/>
            </w:pPr>
            <w:r>
              <w:rPr/>
              <w:t>$</w:t>
            </w:r>
          </w:p>
        </w:tc>
        <w:tc>
          <w:tcPr>
            <w:tcW w:w="1082" w:type="dxa"/>
            <w:tcBorders>
              <w:bottom w:val="double" w:sz="6" w:space="0" w:color="000000"/>
            </w:tcBorders>
            <w:shd w:fill="CCEEFF" w:val="clear"/>
            <w:vAlign w:val="center"/>
          </w:tcPr>
          <w:p>
            <w:pPr>
              <w:pStyle w:val="TableContents"/>
              <w:bidi w:val="0"/>
              <w:spacing w:before="0" w:after="283"/>
              <w:jc w:val="right"/>
              <w:rPr/>
            </w:pPr>
            <w:r>
              <w:rPr/>
              <w:t>300</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080" w:right="0" w:hanging="0"/>
        <w:jc w:val="both"/>
        <w:rPr>
          <w:caps w:val="false"/>
          <w:smallCaps w:val="false"/>
        </w:rPr>
      </w:pPr>
      <w:bookmarkStart w:id="330" w:name="xdx_8A3_zMpeHv0yqpza"/>
      <w:bookmarkEnd w:id="330"/>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331" w:name="xdx_89F_eus-gaap--ScheduleOfCashFlowSupp"/>
      <w:bookmarkEnd w:id="331"/>
      <w:r>
        <w:rPr>
          <w:rFonts w:ascii="Times New Roman;Times;Serif" w:hAnsi="Times New Roman;Times;Serif"/>
          <w:b w:val="false"/>
          <w:i w:val="false"/>
          <w:caps w:val="false"/>
          <w:smallCaps w:val="false"/>
          <w:sz w:val="20"/>
        </w:rPr>
        <w:t>Supplemental cash flow information related to operating leases was as follows:</w:t>
      </w:r>
    </w:p>
    <w:p>
      <w:pPr>
        <w:pStyle w:val="TextBody"/>
        <w:bidi w:val="0"/>
        <w:spacing w:before="0" w:after="0"/>
        <w:ind w:left="1080" w:right="0" w:hanging="0"/>
        <w:jc w:val="both"/>
        <w:rPr>
          <w:caps w:val="false"/>
          <w:smallCaps w:val="false"/>
        </w:rPr>
      </w:pPr>
      <w:r>
        <w:rPr>
          <w:caps w:val="false"/>
          <w:smallCaps w:val="false"/>
        </w:rPr>
        <w:t> </w:t>
      </w:r>
      <w:bookmarkStart w:id="332" w:name="xdx_8BF_zd8GtU1vTjga"/>
      <w:bookmarkEnd w:id="332"/>
      <w:r>
        <w:rPr>
          <w:rFonts w:ascii="Times New Roman;Times;Serif" w:hAnsi="Times New Roman;Times;Serif"/>
          <w:b w:val="false"/>
          <w:i w:val="false"/>
          <w:caps w:val="false"/>
          <w:smallCaps w:val="false"/>
          <w:sz w:val="20"/>
        </w:rPr>
        <w:t>SCHEDULE OF SUPPLEMENTAL CASH FLOW INFORMATION RELATED TO OPERATING LEASES</w:t>
      </w:r>
    </w:p>
    <w:tbl>
      <w:tblPr>
        <w:tblW w:w="7926" w:type="dxa"/>
        <w:jc w:val="left"/>
        <w:tblInd w:w="0" w:type="dxa"/>
        <w:tblLayout w:type="fixed"/>
        <w:tblCellMar>
          <w:top w:w="0" w:type="dxa"/>
          <w:left w:w="0" w:type="dxa"/>
          <w:bottom w:w="0" w:type="dxa"/>
          <w:right w:w="0" w:type="dxa"/>
        </w:tblCellMar>
      </w:tblPr>
      <w:tblGrid>
        <w:gridCol w:w="4175"/>
        <w:gridCol w:w="60"/>
        <w:gridCol w:w="436"/>
        <w:gridCol w:w="1185"/>
        <w:gridCol w:w="187"/>
        <w:gridCol w:w="187"/>
        <w:gridCol w:w="436"/>
        <w:gridCol w:w="1185"/>
        <w:gridCol w:w="75"/>
      </w:tblGrid>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3" w:name="xdx_497_20230101__20231231_zTRAMD23uHX3"/>
            <w:bookmarkEnd w:id="333"/>
          </w:p>
        </w:tc>
        <w:tc>
          <w:tcPr>
            <w:tcW w:w="16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87"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bookmarkStart w:id="334" w:name="xdx_498_20220101__20221231_zg2QR4dFGvp1"/>
            <w:bookmarkEnd w:id="334"/>
          </w:p>
        </w:tc>
        <w:tc>
          <w:tcPr>
            <w:tcW w:w="16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75"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87"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6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bookmarkStart w:id="335" w:name="xdx_403_eus-gaap--OperatingLeasePayments"/>
            <w:bookmarkEnd w:id="335"/>
          </w:p>
        </w:tc>
      </w:tr>
      <w:tr>
        <w:trPr/>
        <w:tc>
          <w:tcPr>
            <w:tcW w:w="4175" w:type="dxa"/>
            <w:tcBorders/>
            <w:shd w:fill="CCEEFF" w:val="clear"/>
            <w:vAlign w:val="center"/>
          </w:tcPr>
          <w:p>
            <w:pPr>
              <w:pStyle w:val="TableContents"/>
              <w:bidi w:val="0"/>
              <w:spacing w:before="0" w:after="283"/>
              <w:jc w:val="left"/>
              <w:rPr/>
            </w:pPr>
            <w:r>
              <w:rPr/>
              <w:t>Cash paid under operating lease agreements</w:t>
            </w:r>
          </w:p>
        </w:tc>
        <w:tc>
          <w:tcPr>
            <w:tcW w:w="60" w:type="dxa"/>
            <w:tcBorders/>
            <w:shd w:fill="CCEEFF" w:val="clear"/>
            <w:vAlign w:val="center"/>
          </w:tcPr>
          <w:p>
            <w:pPr>
              <w:pStyle w:val="TableContents"/>
              <w:bidi w:val="0"/>
              <w:spacing w:before="0" w:after="283"/>
              <w:jc w:val="left"/>
              <w:rPr/>
            </w:pPr>
            <w:r>
              <w:rPr/>
              <w:t> </w:t>
            </w:r>
          </w:p>
        </w:tc>
        <w:tc>
          <w:tcPr>
            <w:tcW w:w="4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double" w:sz="6" w:space="0" w:color="000000"/>
            </w:tcBorders>
            <w:shd w:fill="CCEEFF" w:val="clear"/>
            <w:tcMar>
              <w:bottom w:w="28" w:type="dxa"/>
            </w:tcMar>
            <w:vAlign w:val="center"/>
          </w:tcPr>
          <w:p>
            <w:pPr>
              <w:pStyle w:val="TableContents"/>
              <w:bidi w:val="0"/>
              <w:spacing w:before="0" w:after="283"/>
              <w:jc w:val="right"/>
              <w:rPr/>
            </w:pPr>
            <w:r>
              <w:rPr/>
              <w:t>283</w:t>
            </w:r>
          </w:p>
        </w:tc>
        <w:tc>
          <w:tcPr>
            <w:tcW w:w="187"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4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double" w:sz="6" w:space="0" w:color="000000"/>
            </w:tcBorders>
            <w:shd w:fill="CCEEFF" w:val="clear"/>
            <w:tcMar>
              <w:bottom w:w="28" w:type="dxa"/>
            </w:tcMar>
            <w:vAlign w:val="center"/>
          </w:tcPr>
          <w:p>
            <w:pPr>
              <w:pStyle w:val="TableContents"/>
              <w:bidi w:val="0"/>
              <w:spacing w:before="0" w:after="283"/>
              <w:jc w:val="right"/>
              <w:rPr/>
            </w:pPr>
            <w:r>
              <w:rPr/>
              <w:t>344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36" w:name="xdx_8A8_zsCG3qLgVVni"/>
      <w:bookmarkEnd w:id="336"/>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337" w:name="xdx_89A_eus-gaap--LesseeOperatingLeaseLi"/>
      <w:bookmarkEnd w:id="337"/>
      <w:r>
        <w:rPr>
          <w:rFonts w:ascii="Times New Roman;Times;Serif" w:hAnsi="Times New Roman;Times;Serif"/>
          <w:b w:val="false"/>
          <w:i w:val="false"/>
          <w:caps w:val="false"/>
          <w:smallCaps w:val="false"/>
          <w:sz w:val="20"/>
        </w:rPr>
        <w:t>Undiscounted maturities of future operating lease payments as of December 31, 2023 are summarized as follows:</w:t>
      </w:r>
    </w:p>
    <w:p>
      <w:pPr>
        <w:pStyle w:val="TextBody"/>
        <w:bidi w:val="0"/>
        <w:spacing w:before="0" w:after="0"/>
        <w:ind w:left="0" w:right="0" w:hanging="0"/>
        <w:jc w:val="left"/>
        <w:rPr>
          <w:caps w:val="false"/>
          <w:smallCaps w:val="false"/>
        </w:rPr>
      </w:pPr>
      <w:r>
        <w:rPr>
          <w:caps w:val="false"/>
          <w:smallCaps w:val="false"/>
        </w:rPr>
        <w:t> </w:t>
      </w:r>
      <w:bookmarkStart w:id="338" w:name="xdx_8BC_zlL8Sty4A3vf"/>
      <w:bookmarkEnd w:id="338"/>
      <w:r>
        <w:rPr>
          <w:rFonts w:ascii="Times New Roman;Times;Serif" w:hAnsi="Times New Roman;Times;Serif"/>
          <w:b w:val="false"/>
          <w:i w:val="false"/>
          <w:caps w:val="false"/>
          <w:smallCaps w:val="false"/>
          <w:sz w:val="20"/>
        </w:rPr>
        <w:t>SCHEDULE OF MATURITIES OF LEASE LIABILITIES</w:t>
      </w:r>
    </w:p>
    <w:tbl>
      <w:tblPr>
        <w:tblW w:w="4799" w:type="dxa"/>
        <w:jc w:val="left"/>
        <w:tblInd w:w="0" w:type="dxa"/>
        <w:tblLayout w:type="fixed"/>
        <w:tblCellMar>
          <w:top w:w="0" w:type="dxa"/>
          <w:left w:w="0" w:type="dxa"/>
          <w:bottom w:w="0" w:type="dxa"/>
          <w:right w:w="0" w:type="dxa"/>
        </w:tblCellMar>
      </w:tblPr>
      <w:tblGrid>
        <w:gridCol w:w="2630"/>
        <w:gridCol w:w="60"/>
        <w:gridCol w:w="538"/>
        <w:gridCol w:w="1461"/>
        <w:gridCol w:w="110"/>
      </w:tblGrid>
      <w:tr>
        <w:trPr/>
        <w:tc>
          <w:tcPr>
            <w:tcW w:w="2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39" w:name="xdx_496_20231231_z6viRptlCYg"/>
            <w:bookmarkEnd w:id="339"/>
          </w:p>
        </w:tc>
        <w:tc>
          <w:tcPr>
            <w:tcW w:w="1999" w:type="dxa"/>
            <w:gridSpan w:val="2"/>
            <w:tcBorders/>
            <w:vAlign w:val="center"/>
          </w:tcPr>
          <w:p>
            <w:pPr>
              <w:pStyle w:val="TableContents"/>
              <w:bidi w:val="0"/>
              <w:spacing w:before="0" w:after="283"/>
              <w:jc w:val="center"/>
              <w:rPr>
                <w:b/>
              </w:rPr>
            </w:pPr>
            <w:r>
              <w:rPr>
                <w:b/>
              </w:rPr>
              <w:t>As of December 31,</w:t>
            </w:r>
          </w:p>
        </w:tc>
        <w:tc>
          <w:tcPr>
            <w:tcW w:w="11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bookmarkStart w:id="340" w:name="xdx_40C_eus-gaap--LesseeOperatingLeaseLi"/>
            <w:bookmarkEnd w:id="340"/>
          </w:p>
        </w:tc>
      </w:tr>
      <w:tr>
        <w:trPr/>
        <w:tc>
          <w:tcPr>
            <w:tcW w:w="2630" w:type="dxa"/>
            <w:tcBorders/>
            <w:shd w:fill="CCEEFF" w:val="clear"/>
            <w:vAlign w:val="center"/>
          </w:tcPr>
          <w:p>
            <w:pPr>
              <w:pStyle w:val="TableContents"/>
              <w:bidi w:val="0"/>
              <w:spacing w:before="0" w:after="283"/>
              <w:jc w:val="left"/>
              <w:rPr/>
            </w:pPr>
            <w:r>
              <w:rPr/>
              <w:t>2024</w:t>
            </w:r>
          </w:p>
        </w:tc>
        <w:tc>
          <w:tcPr>
            <w:tcW w:w="60"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left"/>
              <w:rPr/>
            </w:pPr>
            <w:r>
              <w:rPr/>
              <w:t>$</w:t>
            </w:r>
          </w:p>
        </w:tc>
        <w:tc>
          <w:tcPr>
            <w:tcW w:w="1461" w:type="dxa"/>
            <w:tcBorders/>
            <w:shd w:fill="CCEEFF" w:val="clear"/>
            <w:vAlign w:val="center"/>
          </w:tcPr>
          <w:p>
            <w:pPr>
              <w:pStyle w:val="TableContents"/>
              <w:bidi w:val="0"/>
              <w:spacing w:before="0" w:after="283"/>
              <w:jc w:val="right"/>
              <w:rPr/>
            </w:pPr>
            <w:r>
              <w:rPr/>
              <w:t>208</w:t>
            </w:r>
          </w:p>
        </w:tc>
        <w:tc>
          <w:tcPr>
            <w:tcW w:w="110" w:type="dxa"/>
            <w:tcBorders/>
            <w:shd w:fill="CCEEFF" w:val="clear"/>
            <w:vAlign w:val="center"/>
          </w:tcPr>
          <w:p>
            <w:pPr>
              <w:pStyle w:val="TableContents"/>
              <w:bidi w:val="0"/>
              <w:spacing w:before="0" w:after="283"/>
              <w:jc w:val="left"/>
              <w:rPr/>
            </w:pPr>
            <w:r>
              <w:rPr/>
              <w:t> </w:t>
            </w:r>
            <w:bookmarkStart w:id="341" w:name="xdx_405_eus-gaap--LesseeOperatingLeaseLi"/>
            <w:bookmarkEnd w:id="341"/>
          </w:p>
        </w:tc>
      </w:tr>
      <w:tr>
        <w:trPr/>
        <w:tc>
          <w:tcPr>
            <w:tcW w:w="2630" w:type="dxa"/>
            <w:tcBorders/>
            <w:shd w:fill="FFFFFF" w:val="clear"/>
            <w:vAlign w:val="center"/>
          </w:tcPr>
          <w:p>
            <w:pPr>
              <w:pStyle w:val="TableContents"/>
              <w:bidi w:val="0"/>
              <w:spacing w:before="0" w:after="283"/>
              <w:jc w:val="left"/>
              <w:rPr/>
            </w:pPr>
            <w:r>
              <w:rPr/>
              <w:t>2025</w:t>
            </w:r>
          </w:p>
        </w:tc>
        <w:tc>
          <w:tcPr>
            <w:tcW w:w="60"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pPr>
            <w:r>
              <w:rPr/>
              <w:t>48</w:t>
            </w:r>
          </w:p>
        </w:tc>
        <w:tc>
          <w:tcPr>
            <w:tcW w:w="110" w:type="dxa"/>
            <w:tcBorders/>
            <w:shd w:fill="FFFFFF" w:val="clear"/>
            <w:vAlign w:val="center"/>
          </w:tcPr>
          <w:p>
            <w:pPr>
              <w:pStyle w:val="TableContents"/>
              <w:bidi w:val="0"/>
              <w:spacing w:before="0" w:after="283"/>
              <w:jc w:val="left"/>
              <w:rPr/>
            </w:pPr>
            <w:r>
              <w:rPr/>
              <w:t> </w:t>
            </w:r>
            <w:bookmarkStart w:id="342" w:name="xdx_401_eus-gaap--LesseeOperatingLeaseLi"/>
            <w:bookmarkEnd w:id="342"/>
          </w:p>
        </w:tc>
      </w:tr>
      <w:tr>
        <w:trPr/>
        <w:tc>
          <w:tcPr>
            <w:tcW w:w="2630"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5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1" w:type="dxa"/>
            <w:tcBorders>
              <w:bottom w:val="single" w:sz="12" w:space="0" w:color="000000"/>
            </w:tcBorders>
            <w:shd w:fill="CCEEFF" w:val="clear"/>
            <w:tcMar>
              <w:bottom w:w="28" w:type="dxa"/>
            </w:tcMar>
            <w:vAlign w:val="center"/>
          </w:tcPr>
          <w:p>
            <w:pPr>
              <w:pStyle w:val="TableContents"/>
              <w:bidi w:val="0"/>
              <w:spacing w:before="0" w:after="283"/>
              <w:jc w:val="right"/>
              <w:rPr/>
            </w:pPr>
            <w:r>
              <w:rPr/>
              <w:t>21</w:t>
            </w:r>
          </w:p>
        </w:tc>
        <w:tc>
          <w:tcPr>
            <w:tcW w:w="110" w:type="dxa"/>
            <w:tcBorders/>
            <w:shd w:fill="CCEEFF" w:val="clear"/>
            <w:vAlign w:val="center"/>
          </w:tcPr>
          <w:p>
            <w:pPr>
              <w:pStyle w:val="TableContents"/>
              <w:bidi w:val="0"/>
              <w:spacing w:before="0" w:after="283"/>
              <w:jc w:val="left"/>
              <w:rPr/>
            </w:pPr>
            <w:r>
              <w:rPr/>
              <w:t> </w:t>
            </w:r>
            <w:bookmarkStart w:id="343" w:name="xdx_407_eus-gaap--LesseeOperatingLeaseLi"/>
            <w:bookmarkEnd w:id="343"/>
          </w:p>
        </w:tc>
      </w:tr>
      <w:tr>
        <w:trPr/>
        <w:tc>
          <w:tcPr>
            <w:tcW w:w="2630" w:type="dxa"/>
            <w:tcBorders/>
            <w:shd w:fill="FFFFFF" w:val="clear"/>
            <w:vAlign w:val="center"/>
          </w:tcPr>
          <w:p>
            <w:pPr>
              <w:pStyle w:val="TableContents"/>
              <w:bidi w:val="0"/>
              <w:spacing w:before="0" w:after="283"/>
              <w:jc w:val="left"/>
              <w:rPr/>
            </w:pPr>
            <w:r>
              <w:rPr/>
              <w:t>Total future lease payments</w:t>
            </w:r>
          </w:p>
        </w:tc>
        <w:tc>
          <w:tcPr>
            <w:tcW w:w="60"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pPr>
            <w:r>
              <w:rPr/>
              <w:t>277</w:t>
            </w:r>
          </w:p>
        </w:tc>
        <w:tc>
          <w:tcPr>
            <w:tcW w:w="110" w:type="dxa"/>
            <w:tcBorders/>
            <w:shd w:fill="FFFFFF" w:val="clear"/>
            <w:vAlign w:val="center"/>
          </w:tcPr>
          <w:p>
            <w:pPr>
              <w:pStyle w:val="TableContents"/>
              <w:bidi w:val="0"/>
              <w:spacing w:before="0" w:after="283"/>
              <w:jc w:val="left"/>
              <w:rPr/>
            </w:pPr>
            <w:r>
              <w:rPr/>
              <w:t> </w:t>
            </w:r>
            <w:bookmarkStart w:id="344" w:name="xdx_40D_eus-gaap--LesseeOperatingLeaseLi"/>
            <w:bookmarkEnd w:id="344"/>
          </w:p>
        </w:tc>
      </w:tr>
      <w:tr>
        <w:trPr/>
        <w:tc>
          <w:tcPr>
            <w:tcW w:w="2630" w:type="dxa"/>
            <w:tcBorders/>
            <w:shd w:fill="CCEEFF" w:val="clear"/>
            <w:vAlign w:val="center"/>
          </w:tcPr>
          <w:p>
            <w:pPr>
              <w:pStyle w:val="TableContents"/>
              <w:bidi w:val="0"/>
              <w:spacing w:before="0" w:after="283"/>
              <w:jc w:val="left"/>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5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1" w:type="dxa"/>
            <w:tcBorders>
              <w:bottom w:val="single" w:sz="12" w:space="0" w:color="000000"/>
            </w:tcBorders>
            <w:shd w:fill="CCEEFF" w:val="clear"/>
            <w:tcMar>
              <w:bottom w:w="28" w:type="dxa"/>
            </w:tcMar>
            <w:vAlign w:val="center"/>
          </w:tcPr>
          <w:p>
            <w:pPr>
              <w:pStyle w:val="TableContents"/>
              <w:bidi w:val="0"/>
              <w:spacing w:before="0" w:after="283"/>
              <w:jc w:val="right"/>
              <w:rPr/>
            </w:pPr>
            <w:r>
              <w:rPr/>
              <w:t>(47</w:t>
            </w:r>
          </w:p>
        </w:tc>
        <w:tc>
          <w:tcPr>
            <w:tcW w:w="110" w:type="dxa"/>
            <w:tcBorders/>
            <w:shd w:fill="CCEEFF" w:val="clear"/>
            <w:vAlign w:val="center"/>
          </w:tcPr>
          <w:p>
            <w:pPr>
              <w:pStyle w:val="TableContents"/>
              <w:bidi w:val="0"/>
              <w:spacing w:before="0" w:after="283"/>
              <w:jc w:val="left"/>
              <w:rPr/>
            </w:pPr>
            <w:r>
              <w:rPr/>
              <w:t>)</w:t>
            </w:r>
            <w:bookmarkStart w:id="345" w:name="xdx_403_eus-gaap--OperatingLeaseLiabilit"/>
            <w:bookmarkEnd w:id="345"/>
          </w:p>
        </w:tc>
      </w:tr>
      <w:tr>
        <w:trPr/>
        <w:tc>
          <w:tcPr>
            <w:tcW w:w="2630" w:type="dxa"/>
            <w:tcBorders/>
            <w:shd w:fill="FFFFFF" w:val="clear"/>
            <w:vAlign w:val="center"/>
          </w:tcPr>
          <w:p>
            <w:pPr>
              <w:pStyle w:val="TableContents"/>
              <w:bidi w:val="0"/>
              <w:spacing w:before="0" w:after="283"/>
              <w:jc w:val="left"/>
              <w:rPr/>
            </w:pPr>
            <w:r>
              <w:rPr/>
              <w:t>Total lease liabilities</w:t>
            </w:r>
          </w:p>
        </w:tc>
        <w:tc>
          <w:tcPr>
            <w:tcW w:w="60" w:type="dxa"/>
            <w:tcBorders/>
            <w:shd w:fill="FFFFFF" w:val="clear"/>
            <w:vAlign w:val="center"/>
          </w:tcPr>
          <w:p>
            <w:pPr>
              <w:pStyle w:val="TableContents"/>
              <w:bidi w:val="0"/>
              <w:spacing w:before="0" w:after="283"/>
              <w:jc w:val="left"/>
              <w:rPr/>
            </w:pPr>
            <w:r>
              <w:rPr/>
              <w:t> </w:t>
            </w:r>
          </w:p>
        </w:tc>
        <w:tc>
          <w:tcPr>
            <w:tcW w:w="53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61" w:type="dxa"/>
            <w:tcBorders>
              <w:bottom w:val="double" w:sz="6" w:space="0" w:color="000000"/>
            </w:tcBorders>
            <w:shd w:fill="FFFFFF" w:val="clear"/>
            <w:tcMar>
              <w:bottom w:w="28" w:type="dxa"/>
            </w:tcMar>
            <w:vAlign w:val="center"/>
          </w:tcPr>
          <w:p>
            <w:pPr>
              <w:pStyle w:val="TableContents"/>
              <w:bidi w:val="0"/>
              <w:spacing w:before="0" w:after="283"/>
              <w:jc w:val="right"/>
              <w:rPr/>
            </w:pPr>
            <w:r>
              <w:rPr/>
              <w:t>231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46" w:name="xdx_8AC_zcarDoG2Wul2"/>
      <w:bookmarkEnd w:id="346"/>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347" w:name="xdx_892_eus-gaap--LeaseCostTableTextBloc"/>
      <w:bookmarkEnd w:id="347"/>
      <w:r>
        <w:rPr>
          <w:rFonts w:ascii="Times New Roman;Times;Serif" w:hAnsi="Times New Roman;Times;Serif"/>
          <w:b w:val="false"/>
          <w:i w:val="false"/>
          <w:caps w:val="false"/>
          <w:smallCaps w:val="false"/>
          <w:sz w:val="20"/>
        </w:rPr>
        <w:t>The following table includes the weighted-average lease terms and discount rates for operating leases as of December 31, 2023 and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348" w:name="xdx_8B7_zRnGTjK4D4yi"/>
      <w:bookmarkEnd w:id="348"/>
      <w:r>
        <w:rPr>
          <w:rFonts w:ascii="Times New Roman;Times;Serif" w:hAnsi="Times New Roman;Times;Serif"/>
          <w:b w:val="false"/>
          <w:i w:val="false"/>
          <w:caps w:val="false"/>
          <w:smallCaps w:val="false"/>
          <w:sz w:val="20"/>
        </w:rPr>
        <w:t>SCHEDULE OF SUPPLEMENTAL INFORMATION RELATED TO LEASES</w:t>
      </w:r>
    </w:p>
    <w:tbl>
      <w:tblPr>
        <w:tblW w:w="8593" w:type="dxa"/>
        <w:jc w:val="left"/>
        <w:tblInd w:w="0" w:type="dxa"/>
        <w:tblLayout w:type="fixed"/>
        <w:tblCellMar>
          <w:top w:w="0" w:type="dxa"/>
          <w:left w:w="0" w:type="dxa"/>
          <w:bottom w:w="0" w:type="dxa"/>
          <w:right w:w="0" w:type="dxa"/>
        </w:tblCellMar>
      </w:tblPr>
      <w:tblGrid>
        <w:gridCol w:w="6275"/>
        <w:gridCol w:w="60"/>
        <w:gridCol w:w="140"/>
        <w:gridCol w:w="746"/>
        <w:gridCol w:w="502"/>
        <w:gridCol w:w="140"/>
        <w:gridCol w:w="149"/>
        <w:gridCol w:w="351"/>
        <w:gridCol w:w="230"/>
      </w:tblGrid>
      <w:tr>
        <w:trPr/>
        <w:tc>
          <w:tcPr>
            <w:tcW w:w="6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2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230"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50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30"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 w:type="dxa"/>
            <w:gridSpan w:val="2"/>
            <w:tcBorders/>
            <w:vAlign w:val="center"/>
          </w:tcPr>
          <w:p>
            <w:pPr>
              <w:pStyle w:val="TableContents"/>
              <w:bidi w:val="0"/>
              <w:spacing w:before="0" w:after="283"/>
              <w:jc w:val="right"/>
              <w:rPr/>
            </w:pPr>
            <w:r>
              <w:rPr/>
              <w:t> </w:t>
            </w:r>
          </w:p>
        </w:tc>
        <w:tc>
          <w:tcPr>
            <w:tcW w:w="50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pPr>
            <w:r>
              <w:rPr/>
              <w:t>Operating leases weighted average remaining lease term (in years)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bookmarkStart w:id="349" w:name="xdx_907_eus-gaap--LesseeOperatingLeaseRe"/>
            <w:bookmarkEnd w:id="349"/>
            <w:r>
              <w:rPr/>
              <w:t>0.8</w:t>
            </w:r>
          </w:p>
        </w:tc>
        <w:tc>
          <w:tcPr>
            <w:tcW w:w="502"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right"/>
              <w:rPr/>
            </w:pPr>
            <w:bookmarkStart w:id="350" w:name="xdx_90A_eus-gaap--LesseeOperatingLeaseRe"/>
            <w:bookmarkEnd w:id="350"/>
            <w:r>
              <w:rPr/>
              <w:t>2</w:t>
            </w:r>
          </w:p>
        </w:tc>
        <w:tc>
          <w:tcPr>
            <w:tcW w:w="230" w:type="dxa"/>
            <w:tcBorders/>
            <w:shd w:fill="CCEEFF" w:val="clear"/>
            <w:vAlign w:val="center"/>
          </w:tcPr>
          <w:p>
            <w:pPr>
              <w:pStyle w:val="TableContents"/>
              <w:bidi w:val="0"/>
              <w:spacing w:before="0" w:after="283"/>
              <w:jc w:val="left"/>
              <w:rPr/>
            </w:pPr>
            <w:r>
              <w:rPr/>
              <w:t> </w:t>
            </w:r>
          </w:p>
        </w:tc>
      </w:tr>
      <w:tr>
        <w:trPr/>
        <w:tc>
          <w:tcPr>
            <w:tcW w:w="6275" w:type="dxa"/>
            <w:tcBorders/>
            <w:shd w:fill="FFFFFF" w:val="clear"/>
            <w:vAlign w:val="center"/>
          </w:tcPr>
          <w:p>
            <w:pPr>
              <w:pStyle w:val="TableContents"/>
              <w:bidi w:val="0"/>
              <w:spacing w:before="0" w:after="283"/>
              <w:jc w:val="left"/>
              <w:rPr/>
            </w:pPr>
            <w:r>
              <w:rPr/>
              <w:t>Operating leases weighted average discount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51" w:name="xdx_986_eus-gaap--OperatingLeaseWeighted"/>
            <w:bookmarkEnd w:id="351"/>
          </w:p>
        </w:tc>
        <w:tc>
          <w:tcPr>
            <w:tcW w:w="746" w:type="dxa"/>
            <w:tcBorders/>
            <w:shd w:fill="FFFFFF" w:val="clear"/>
            <w:vAlign w:val="center"/>
          </w:tcPr>
          <w:p>
            <w:pPr>
              <w:pStyle w:val="TableContents"/>
              <w:bidi w:val="0"/>
              <w:spacing w:before="0" w:after="283"/>
              <w:jc w:val="right"/>
              <w:rPr/>
            </w:pPr>
            <w:r>
              <w:rPr/>
              <w:t>7</w:t>
            </w:r>
          </w:p>
        </w:tc>
        <w:tc>
          <w:tcPr>
            <w:tcW w:w="502" w:type="dxa"/>
            <w:tcBorders/>
            <w:shd w:fill="FFFFFF" w:val="clear"/>
            <w:vAlign w:val="center"/>
          </w:tcPr>
          <w:p>
            <w:pPr>
              <w:pStyle w:val="TableContents"/>
              <w:bidi w:val="0"/>
              <w:spacing w:before="0" w:after="283"/>
              <w:jc w:val="left"/>
              <w:rPr/>
            </w:pPr>
            <w:r>
              <w:rPr/>
              <w:t>%</w:t>
            </w:r>
          </w:p>
        </w:tc>
        <w:tc>
          <w:tcPr>
            <w:tcW w:w="14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bookmarkStart w:id="352" w:name="xdx_983_eus-gaap--OperatingLeaseWeighted"/>
            <w:bookmarkEnd w:id="352"/>
          </w:p>
        </w:tc>
        <w:tc>
          <w:tcPr>
            <w:tcW w:w="351" w:type="dxa"/>
            <w:tcBorders/>
            <w:shd w:fill="FFFFFF" w:val="clear"/>
            <w:vAlign w:val="center"/>
          </w:tcPr>
          <w:p>
            <w:pPr>
              <w:pStyle w:val="TableContents"/>
              <w:bidi w:val="0"/>
              <w:spacing w:before="0" w:after="283"/>
              <w:jc w:val="right"/>
              <w:rPr/>
            </w:pPr>
            <w:r>
              <w:rPr/>
              <w:t>9</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353" w:name="xdx_8A7_zlz4IkOV2m72"/>
      <w:bookmarkEnd w:id="35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4" w:name="xdx_804_eus-gaap--PropertyPlantAndEquipm"/>
      <w:bookmarkEnd w:id="354"/>
      <w:r>
        <w:rPr>
          <w:rFonts w:ascii="Times New Roman;Times;Serif" w:hAnsi="Times New Roman;Times;Serif"/>
          <w:b/>
          <w:i w:val="false"/>
          <w:caps w:val="false"/>
          <w:smallCaps w:val="false"/>
          <w:sz w:val="20"/>
        </w:rPr>
        <w:t xml:space="preserve">NOTE 7 - </w:t>
      </w:r>
      <w:bookmarkStart w:id="355" w:name="xdx_82F_zzRylzgHyL5k"/>
      <w:bookmarkEnd w:id="355"/>
      <w:r>
        <w:rPr>
          <w:rFonts w:ascii="Times New Roman;Times;Serif" w:hAnsi="Times New Roman;Times;Serif"/>
          <w:b/>
          <w:i w:val="false"/>
          <w:caps w:val="false"/>
          <w:smallCaps w:val="false"/>
          <w:sz w:val="20"/>
        </w:rPr>
        <w:t>PROPERTY AND EQUIPMENT, NET</w:t>
      </w:r>
    </w:p>
    <w:p>
      <w:pPr>
        <w:pStyle w:val="TextBody"/>
        <w:bidi w:val="0"/>
        <w:spacing w:before="0" w:after="0"/>
        <w:ind w:left="0" w:right="0" w:hanging="0"/>
        <w:jc w:val="both"/>
        <w:rPr>
          <w:caps w:val="false"/>
          <w:smallCaps w:val="false"/>
        </w:rPr>
      </w:pPr>
      <w:bookmarkStart w:id="356" w:name="xdx_89E_eus-gaap--PropertyPlantAndEquipm"/>
      <w:bookmarkEnd w:id="356"/>
      <w:r>
        <w:rPr>
          <w:caps w:val="false"/>
          <w:smallCaps w:val="false"/>
        </w:rPr>
        <w:t> </w:t>
      </w:r>
      <w:r>
        <w:rPr>
          <w:rFonts w:ascii="Times New Roman;Times;Serif" w:hAnsi="Times New Roman;Times;Serif"/>
          <w:b w:val="false"/>
          <w:i w:val="false"/>
          <w:caps w:val="false"/>
          <w:smallCaps w:val="false"/>
          <w:sz w:val="20"/>
        </w:rPr>
        <w:t>SCHEDULE OF PROPERTY AND EQUIPMENT</w:t>
      </w:r>
    </w:p>
    <w:tbl>
      <w:tblPr>
        <w:tblW w:w="5363" w:type="dxa"/>
        <w:jc w:val="left"/>
        <w:tblInd w:w="0" w:type="dxa"/>
        <w:tblLayout w:type="fixed"/>
        <w:tblCellMar>
          <w:top w:w="0" w:type="dxa"/>
          <w:left w:w="0" w:type="dxa"/>
          <w:bottom w:w="0" w:type="dxa"/>
          <w:right w:w="0" w:type="dxa"/>
        </w:tblCellMar>
      </w:tblPr>
      <w:tblGrid>
        <w:gridCol w:w="3230"/>
        <w:gridCol w:w="60"/>
        <w:gridCol w:w="241"/>
        <w:gridCol w:w="655"/>
        <w:gridCol w:w="103"/>
        <w:gridCol w:w="103"/>
        <w:gridCol w:w="241"/>
        <w:gridCol w:w="655"/>
        <w:gridCol w:w="75"/>
      </w:tblGrid>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7" w:name="xdx_493_20231231_z8ftCkLrPcub"/>
            <w:bookmarkEnd w:id="357"/>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bookmarkStart w:id="358" w:name="xdx_49E_20221231_zvW5kjtDPnn4"/>
            <w:bookmarkEnd w:id="358"/>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8" w:type="dxa"/>
            <w:gridSpan w:val="6"/>
            <w:tcBorders/>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both"/>
              <w:rPr>
                <w:b/>
              </w:rPr>
            </w:pPr>
            <w:r>
              <w:rPr>
                <w:b/>
              </w:rPr>
              <w:t>Historical Cost:</w:t>
            </w:r>
          </w:p>
        </w:tc>
        <w:tc>
          <w:tcPr>
            <w:tcW w:w="60" w:type="dxa"/>
            <w:tcBorders/>
            <w:shd w:fill="CCEEFF" w:val="clear"/>
            <w:vAlign w:val="center"/>
          </w:tcPr>
          <w:p>
            <w:pPr>
              <w:pStyle w:val="TableContents"/>
              <w:bidi w:val="0"/>
              <w:spacing w:before="0" w:after="283"/>
              <w:jc w:val="left"/>
              <w:rPr/>
            </w:pPr>
            <w:r>
              <w:rPr/>
              <w:t> </w:t>
            </w:r>
          </w:p>
        </w:tc>
        <w:tc>
          <w:tcPr>
            <w:tcW w:w="896" w:type="dxa"/>
            <w:gridSpan w:val="2"/>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96"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59" w:name="xdx_40F_eus-gaap--PropertyPlantAndEquipm"/>
            <w:bookmarkEnd w:id="359"/>
          </w:p>
        </w:tc>
      </w:tr>
      <w:tr>
        <w:trPr/>
        <w:tc>
          <w:tcPr>
            <w:tcW w:w="3230" w:type="dxa"/>
            <w:tcBorders/>
            <w:shd w:fill="FFFFFF" w:val="clear"/>
            <w:vAlign w:val="center"/>
          </w:tcPr>
          <w:p>
            <w:pPr>
              <w:pStyle w:val="TableContents"/>
              <w:bidi w:val="0"/>
              <w:spacing w:before="0" w:after="283"/>
              <w:jc w:val="left"/>
              <w:rPr/>
            </w:pPr>
            <w:r>
              <w:rPr/>
              <w:t>Research equipment and software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655" w:type="dxa"/>
            <w:tcBorders/>
            <w:shd w:fill="FFFFFF" w:val="clear"/>
            <w:vAlign w:val="center"/>
          </w:tcPr>
          <w:p>
            <w:pPr>
              <w:pStyle w:val="TableContents"/>
              <w:bidi w:val="0"/>
              <w:spacing w:before="0" w:after="283"/>
              <w:jc w:val="right"/>
              <w:rPr/>
            </w:pPr>
            <w:r>
              <w:rPr/>
              <w:t>177</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655" w:type="dxa"/>
            <w:tcBorders/>
            <w:shd w:fill="FFFFFF" w:val="clear"/>
            <w:vAlign w:val="center"/>
          </w:tcPr>
          <w:p>
            <w:pPr>
              <w:pStyle w:val="TableContents"/>
              <w:bidi w:val="0"/>
              <w:spacing w:before="0" w:after="283"/>
              <w:jc w:val="right"/>
              <w:rPr/>
            </w:pPr>
            <w:r>
              <w:rPr/>
              <w:t>143</w:t>
            </w:r>
          </w:p>
        </w:tc>
        <w:tc>
          <w:tcPr>
            <w:tcW w:w="75" w:type="dxa"/>
            <w:tcBorders/>
            <w:shd w:fill="FFFFFF" w:val="clear"/>
            <w:vAlign w:val="center"/>
          </w:tcPr>
          <w:p>
            <w:pPr>
              <w:pStyle w:val="TableContents"/>
              <w:bidi w:val="0"/>
              <w:spacing w:before="0" w:after="283"/>
              <w:jc w:val="left"/>
              <w:rPr/>
            </w:pPr>
            <w:r>
              <w:rPr/>
              <w:t> </w:t>
            </w:r>
            <w:bookmarkStart w:id="360" w:name="xdx_40B_eus-gaap--PropertyPlantAndEquipm"/>
            <w:bookmarkEnd w:id="360"/>
          </w:p>
        </w:tc>
      </w:tr>
      <w:tr>
        <w:trPr/>
        <w:tc>
          <w:tcPr>
            <w:tcW w:w="3230" w:type="dxa"/>
            <w:tcBorders/>
            <w:shd w:fill="CCEEFF" w:val="clear"/>
            <w:vAlign w:val="center"/>
          </w:tcPr>
          <w:p>
            <w:pPr>
              <w:pStyle w:val="TableContents"/>
              <w:bidi w:val="0"/>
              <w:spacing w:before="0" w:after="283"/>
              <w:jc w:val="left"/>
              <w:rPr/>
            </w:pPr>
            <w:r>
              <w:rPr/>
              <w:t>Leasehold improvement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229</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229</w:t>
            </w:r>
          </w:p>
        </w:tc>
        <w:tc>
          <w:tcPr>
            <w:tcW w:w="75" w:type="dxa"/>
            <w:tcBorders/>
            <w:shd w:fill="CCEEFF" w:val="clear"/>
            <w:vAlign w:val="center"/>
          </w:tcPr>
          <w:p>
            <w:pPr>
              <w:pStyle w:val="TableContents"/>
              <w:bidi w:val="0"/>
              <w:spacing w:before="0" w:after="283"/>
              <w:jc w:val="left"/>
              <w:rPr/>
            </w:pPr>
            <w:r>
              <w:rPr/>
              <w:t> </w:t>
            </w:r>
            <w:bookmarkStart w:id="361" w:name="xdx_409_eus-gaap--PropertyPlantAndEquipm"/>
            <w:bookmarkEnd w:id="361"/>
          </w:p>
        </w:tc>
      </w:tr>
      <w:tr>
        <w:trPr/>
        <w:tc>
          <w:tcPr>
            <w:tcW w:w="3230" w:type="dxa"/>
            <w:tcBorders/>
            <w:shd w:fill="FFFFFF" w:val="clear"/>
            <w:vAlign w:val="center"/>
          </w:tcPr>
          <w:p>
            <w:pPr>
              <w:pStyle w:val="TableContents"/>
              <w:bidi w:val="0"/>
              <w:spacing w:before="0" w:after="283"/>
              <w:jc w:val="left"/>
              <w:rPr/>
            </w:pPr>
            <w:r>
              <w:rPr/>
              <w:t>Furniture and office equipment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FFFFFF" w:val="clear"/>
            <w:tcMar>
              <w:bottom w:w="28" w:type="dxa"/>
            </w:tcMar>
            <w:vAlign w:val="center"/>
          </w:tcPr>
          <w:p>
            <w:pPr>
              <w:pStyle w:val="TableContents"/>
              <w:bidi w:val="0"/>
              <w:spacing w:before="0" w:after="283"/>
              <w:jc w:val="right"/>
              <w:rPr/>
            </w:pPr>
            <w:r>
              <w:rPr/>
              <w:t>233</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FFFFFF" w:val="clear"/>
            <w:tcMar>
              <w:bottom w:w="28" w:type="dxa"/>
            </w:tcMar>
            <w:vAlign w:val="center"/>
          </w:tcPr>
          <w:p>
            <w:pPr>
              <w:pStyle w:val="TableContents"/>
              <w:bidi w:val="0"/>
              <w:spacing w:before="0" w:after="283"/>
              <w:jc w:val="right"/>
              <w:rPr/>
            </w:pPr>
            <w:r>
              <w:rPr/>
              <w:t>236</w:t>
            </w:r>
          </w:p>
        </w:tc>
        <w:tc>
          <w:tcPr>
            <w:tcW w:w="75" w:type="dxa"/>
            <w:tcBorders/>
            <w:shd w:fill="FFFFFF" w:val="clear"/>
            <w:vAlign w:val="center"/>
          </w:tcPr>
          <w:p>
            <w:pPr>
              <w:pStyle w:val="TableContents"/>
              <w:bidi w:val="0"/>
              <w:spacing w:before="0" w:after="283"/>
              <w:jc w:val="left"/>
              <w:rPr/>
            </w:pPr>
            <w:r>
              <w:rPr/>
              <w:t> </w:t>
            </w:r>
            <w:bookmarkStart w:id="362" w:name="xdx_404_eus-gaap--PropertyPlantAndEquipm"/>
            <w:bookmarkEnd w:id="362"/>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CCEEFF" w:val="clear"/>
            <w:tcMar>
              <w:bottom w:w="28" w:type="dxa"/>
            </w:tcMar>
            <w:vAlign w:val="center"/>
          </w:tcPr>
          <w:p>
            <w:pPr>
              <w:pStyle w:val="TableContents"/>
              <w:bidi w:val="0"/>
              <w:spacing w:before="0" w:after="283"/>
              <w:jc w:val="right"/>
              <w:rPr/>
            </w:pPr>
            <w:r>
              <w:rPr/>
              <w:t>639</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CCEEFF" w:val="clear"/>
            <w:tcMar>
              <w:bottom w:w="28" w:type="dxa"/>
            </w:tcMar>
            <w:vAlign w:val="center"/>
          </w:tcPr>
          <w:p>
            <w:pPr>
              <w:pStyle w:val="TableContents"/>
              <w:bidi w:val="0"/>
              <w:spacing w:before="0" w:after="283"/>
              <w:jc w:val="right"/>
              <w:rPr/>
            </w:pPr>
            <w:r>
              <w:rPr/>
              <w:t>608</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both"/>
              <w:rPr>
                <w:b/>
              </w:rPr>
            </w:pPr>
            <w:r>
              <w:rPr>
                <w:b/>
              </w:rPr>
              <w:t>Accumulated Depreciation:</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63" w:name="xdx_400_eus-gaap--AccumulatedDepreciatio"/>
            <w:bookmarkEnd w:id="363"/>
          </w:p>
        </w:tc>
      </w:tr>
      <w:tr>
        <w:trPr/>
        <w:tc>
          <w:tcPr>
            <w:tcW w:w="3230" w:type="dxa"/>
            <w:tcBorders/>
            <w:shd w:fill="CCEEFF" w:val="clear"/>
            <w:vAlign w:val="center"/>
          </w:tcPr>
          <w:p>
            <w:pPr>
              <w:pStyle w:val="TableContents"/>
              <w:bidi w:val="0"/>
              <w:spacing w:before="0" w:after="283"/>
              <w:jc w:val="left"/>
              <w:rPr/>
            </w:pPr>
            <w:r>
              <w:rPr/>
              <w:t>Research equipment and software</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109</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63</w:t>
            </w:r>
          </w:p>
        </w:tc>
        <w:tc>
          <w:tcPr>
            <w:tcW w:w="75" w:type="dxa"/>
            <w:tcBorders/>
            <w:shd w:fill="CCEEFF" w:val="clear"/>
            <w:vAlign w:val="center"/>
          </w:tcPr>
          <w:p>
            <w:pPr>
              <w:pStyle w:val="TableContents"/>
              <w:bidi w:val="0"/>
              <w:spacing w:before="0" w:after="283"/>
              <w:jc w:val="left"/>
              <w:rPr/>
            </w:pPr>
            <w:r>
              <w:rPr/>
              <w:t> </w:t>
            </w:r>
            <w:bookmarkStart w:id="364" w:name="xdx_401_eus-gaap--AccumulatedDepreciatio"/>
            <w:bookmarkEnd w:id="364"/>
          </w:p>
        </w:tc>
      </w:tr>
      <w:tr>
        <w:trPr/>
        <w:tc>
          <w:tcPr>
            <w:tcW w:w="3230" w:type="dxa"/>
            <w:tcBorders/>
            <w:shd w:fill="FFFFFF" w:val="clear"/>
            <w:vAlign w:val="center"/>
          </w:tcPr>
          <w:p>
            <w:pPr>
              <w:pStyle w:val="TableContents"/>
              <w:bidi w:val="0"/>
              <w:spacing w:before="0" w:after="283"/>
              <w:jc w:val="left"/>
              <w:rPr/>
            </w:pPr>
            <w:r>
              <w:rPr/>
              <w:t>Leasehold improvement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181</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135</w:t>
            </w:r>
          </w:p>
        </w:tc>
        <w:tc>
          <w:tcPr>
            <w:tcW w:w="75" w:type="dxa"/>
            <w:tcBorders/>
            <w:shd w:fill="FFFFFF" w:val="clear"/>
            <w:vAlign w:val="center"/>
          </w:tcPr>
          <w:p>
            <w:pPr>
              <w:pStyle w:val="TableContents"/>
              <w:bidi w:val="0"/>
              <w:spacing w:before="0" w:after="283"/>
              <w:jc w:val="left"/>
              <w:rPr/>
            </w:pPr>
            <w:r>
              <w:rPr/>
              <w:t> </w:t>
            </w:r>
            <w:bookmarkStart w:id="365" w:name="xdx_40A_eus-gaap--AccumulatedDepreciatio"/>
            <w:bookmarkEnd w:id="365"/>
          </w:p>
        </w:tc>
      </w:tr>
      <w:tr>
        <w:trPr/>
        <w:tc>
          <w:tcPr>
            <w:tcW w:w="3230" w:type="dxa"/>
            <w:tcBorders/>
            <w:shd w:fill="CCEEFF" w:val="clear"/>
            <w:vAlign w:val="center"/>
          </w:tcPr>
          <w:p>
            <w:pPr>
              <w:pStyle w:val="TableContents"/>
              <w:bidi w:val="0"/>
              <w:spacing w:before="0" w:after="283"/>
              <w:jc w:val="left"/>
              <w:rPr/>
            </w:pPr>
            <w:r>
              <w:rPr/>
              <w:t>Furniture and office equipment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CCEEFF" w:val="clear"/>
            <w:tcMar>
              <w:bottom w:w="28" w:type="dxa"/>
            </w:tcMar>
            <w:vAlign w:val="center"/>
          </w:tcPr>
          <w:p>
            <w:pPr>
              <w:pStyle w:val="TableContents"/>
              <w:bidi w:val="0"/>
              <w:spacing w:before="0" w:after="283"/>
              <w:jc w:val="right"/>
              <w:rPr/>
            </w:pPr>
            <w:r>
              <w:rPr/>
              <w:t>203</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CCEEFF" w:val="clear"/>
            <w:tcMar>
              <w:bottom w:w="28" w:type="dxa"/>
            </w:tcMar>
            <w:vAlign w:val="center"/>
          </w:tcPr>
          <w:p>
            <w:pPr>
              <w:pStyle w:val="TableContents"/>
              <w:bidi w:val="0"/>
              <w:spacing w:before="0" w:after="283"/>
              <w:jc w:val="right"/>
              <w:rPr/>
            </w:pPr>
            <w:r>
              <w:rPr/>
              <w:t>189</w:t>
            </w:r>
          </w:p>
        </w:tc>
        <w:tc>
          <w:tcPr>
            <w:tcW w:w="75" w:type="dxa"/>
            <w:tcBorders/>
            <w:shd w:fill="CCEEFF" w:val="clear"/>
            <w:vAlign w:val="center"/>
          </w:tcPr>
          <w:p>
            <w:pPr>
              <w:pStyle w:val="TableContents"/>
              <w:bidi w:val="0"/>
              <w:spacing w:before="0" w:after="283"/>
              <w:jc w:val="left"/>
              <w:rPr/>
            </w:pPr>
            <w:r>
              <w:rPr/>
              <w:t> </w:t>
            </w:r>
            <w:bookmarkStart w:id="366" w:name="xdx_409_eus-gaap--AccumulatedDepreciatio"/>
            <w:bookmarkEnd w:id="366"/>
          </w:p>
        </w:tc>
      </w:tr>
      <w:tr>
        <w:trPr/>
        <w:tc>
          <w:tcPr>
            <w:tcW w:w="32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Depreciation</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FFFFFF" w:val="clear"/>
            <w:tcMar>
              <w:bottom w:w="28" w:type="dxa"/>
            </w:tcMar>
            <w:vAlign w:val="center"/>
          </w:tcPr>
          <w:p>
            <w:pPr>
              <w:pStyle w:val="TableContents"/>
              <w:bidi w:val="0"/>
              <w:spacing w:before="0" w:after="283"/>
              <w:jc w:val="right"/>
              <w:rPr/>
            </w:pPr>
            <w:r>
              <w:rPr/>
              <w:t>493</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FFFFFF" w:val="clear"/>
            <w:tcMar>
              <w:bottom w:w="28" w:type="dxa"/>
            </w:tcMar>
            <w:vAlign w:val="center"/>
          </w:tcPr>
          <w:p>
            <w:pPr>
              <w:pStyle w:val="TableContents"/>
              <w:bidi w:val="0"/>
              <w:spacing w:before="0" w:after="283"/>
              <w:jc w:val="right"/>
              <w:rPr/>
            </w:pPr>
            <w:r>
              <w:rPr/>
              <w:t>387</w:t>
            </w:r>
          </w:p>
        </w:tc>
        <w:tc>
          <w:tcPr>
            <w:tcW w:w="75" w:type="dxa"/>
            <w:tcBorders/>
            <w:shd w:fill="FFFFFF" w:val="clear"/>
            <w:vAlign w:val="center"/>
          </w:tcPr>
          <w:p>
            <w:pPr>
              <w:pStyle w:val="TableContents"/>
              <w:bidi w:val="0"/>
              <w:spacing w:before="0" w:after="283"/>
              <w:jc w:val="left"/>
              <w:rPr/>
            </w:pPr>
            <w:r>
              <w:rPr/>
              <w:t> </w:t>
            </w:r>
            <w:bookmarkStart w:id="367" w:name="xdx_407_eus-gaap--PropertyPlantAndEquipm"/>
            <w:bookmarkEnd w:id="367"/>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book value</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5" w:type="dxa"/>
            <w:tcBorders>
              <w:bottom w:val="double" w:sz="6" w:space="0" w:color="000000"/>
            </w:tcBorders>
            <w:shd w:fill="CCEEFF" w:val="clear"/>
            <w:tcMar>
              <w:bottom w:w="28" w:type="dxa"/>
            </w:tcMar>
            <w:vAlign w:val="center"/>
          </w:tcPr>
          <w:p>
            <w:pPr>
              <w:pStyle w:val="TableContents"/>
              <w:bidi w:val="0"/>
              <w:spacing w:before="0" w:after="283"/>
              <w:jc w:val="right"/>
              <w:rPr/>
            </w:pPr>
            <w:r>
              <w:rPr/>
              <w:t>146</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5" w:type="dxa"/>
            <w:tcBorders>
              <w:bottom w:val="double" w:sz="6" w:space="0" w:color="000000"/>
            </w:tcBorders>
            <w:shd w:fill="CCEEFF" w:val="clear"/>
            <w:tcMar>
              <w:bottom w:w="28" w:type="dxa"/>
            </w:tcMar>
            <w:vAlign w:val="center"/>
          </w:tcPr>
          <w:p>
            <w:pPr>
              <w:pStyle w:val="TableContents"/>
              <w:bidi w:val="0"/>
              <w:spacing w:before="0" w:after="283"/>
              <w:jc w:val="right"/>
              <w:rPr/>
            </w:pPr>
            <w:r>
              <w:rPr/>
              <w:t>221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68" w:name="xdx_8AC_z1yhYSz9yGzd"/>
      <w:bookmarkEnd w:id="36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9" w:name="xdx_806_eus-gaap--AccountsPayableAndAccr"/>
      <w:bookmarkEnd w:id="369"/>
      <w:r>
        <w:rPr>
          <w:rFonts w:ascii="Times New Roman;Times;Serif" w:hAnsi="Times New Roman;Times;Serif"/>
          <w:b/>
          <w:i w:val="false"/>
          <w:caps w:val="false"/>
          <w:smallCaps w:val="false"/>
          <w:sz w:val="20"/>
        </w:rPr>
        <w:t xml:space="preserve">NOTE 8 - </w:t>
      </w:r>
      <w:bookmarkStart w:id="370" w:name="xdx_82E_z4oKWzB2jcnk"/>
      <w:bookmarkEnd w:id="370"/>
      <w:r>
        <w:rPr>
          <w:rFonts w:ascii="Times New Roman;Times;Serif" w:hAnsi="Times New Roman;Times;Serif"/>
          <w:b/>
          <w:i w:val="false"/>
          <w:caps w:val="false"/>
          <w:smallCaps w:val="false"/>
          <w:sz w:val="20"/>
        </w:rPr>
        <w:t>ACCRUED LIABILITIES</w:t>
      </w:r>
    </w:p>
    <w:p>
      <w:pPr>
        <w:pStyle w:val="TextBody"/>
        <w:bidi w:val="0"/>
        <w:spacing w:before="0" w:after="0"/>
        <w:ind w:left="0" w:right="0" w:hanging="0"/>
        <w:jc w:val="both"/>
        <w:rPr>
          <w:caps w:val="false"/>
          <w:smallCaps w:val="false"/>
        </w:rPr>
      </w:pPr>
      <w:bookmarkStart w:id="371" w:name="xdx_896_eus-gaap--ScheduleOfAccruedLiabi"/>
      <w:bookmarkEnd w:id="371"/>
      <w:r>
        <w:rPr>
          <w:caps w:val="false"/>
          <w:smallCaps w:val="false"/>
        </w:rPr>
        <w:t> </w:t>
      </w:r>
      <w:bookmarkStart w:id="372" w:name="xdx_8B4_z1gIXrpX3CSa"/>
      <w:bookmarkEnd w:id="372"/>
      <w:r>
        <w:rPr>
          <w:rFonts w:ascii="Times New Roman;Times;Serif" w:hAnsi="Times New Roman;Times;Serif"/>
          <w:b w:val="false"/>
          <w:i w:val="false"/>
          <w:caps w:val="false"/>
          <w:smallCaps w:val="false"/>
          <w:sz w:val="20"/>
        </w:rPr>
        <w:t>SCHEDULE OF ACCRUED LIABILITIES</w:t>
      </w:r>
    </w:p>
    <w:tbl>
      <w:tblPr>
        <w:tblW w:w="4731" w:type="dxa"/>
        <w:jc w:val="left"/>
        <w:tblInd w:w="0" w:type="dxa"/>
        <w:tblLayout w:type="fixed"/>
        <w:tblCellMar>
          <w:top w:w="0" w:type="dxa"/>
          <w:left w:w="0" w:type="dxa"/>
          <w:bottom w:w="0" w:type="dxa"/>
          <w:right w:w="0" w:type="dxa"/>
        </w:tblCellMar>
      </w:tblPr>
      <w:tblGrid>
        <w:gridCol w:w="2600"/>
        <w:gridCol w:w="60"/>
        <w:gridCol w:w="184"/>
        <w:gridCol w:w="736"/>
        <w:gridCol w:w="78"/>
        <w:gridCol w:w="78"/>
        <w:gridCol w:w="184"/>
        <w:gridCol w:w="736"/>
        <w:gridCol w:w="75"/>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3" w:name="xdx_496_20231231_zYbx1L4PGzxk"/>
            <w:bookmarkEnd w:id="373"/>
          </w:p>
        </w:tc>
        <w:tc>
          <w:tcPr>
            <w:tcW w:w="920"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bookmarkStart w:id="374" w:name="xdx_49B_20221231_zwfOmmvhiSqd"/>
            <w:bookmarkEnd w:id="374"/>
          </w:p>
        </w:tc>
        <w:tc>
          <w:tcPr>
            <w:tcW w:w="9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375" w:name="xdx_400_eus-gaap--EmployeeRelatedLiabili"/>
            <w:bookmarkEnd w:id="375"/>
          </w:p>
        </w:tc>
      </w:tr>
      <w:tr>
        <w:trPr/>
        <w:tc>
          <w:tcPr>
            <w:tcW w:w="2600" w:type="dxa"/>
            <w:tcBorders/>
            <w:shd w:fill="CCEEFF" w:val="clear"/>
            <w:vAlign w:val="center"/>
          </w:tcPr>
          <w:p>
            <w:pPr>
              <w:pStyle w:val="TableContents"/>
              <w:bidi w:val="0"/>
              <w:spacing w:before="0" w:after="283"/>
              <w:jc w:val="left"/>
              <w:rPr/>
            </w:pPr>
            <w:r>
              <w:rPr/>
              <w:t>Employee-related liabilities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r>
              <w:rPr/>
              <w:t>725</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r>
              <w:rPr/>
              <w:t>1,372</w:t>
            </w:r>
          </w:p>
        </w:tc>
        <w:tc>
          <w:tcPr>
            <w:tcW w:w="75" w:type="dxa"/>
            <w:tcBorders/>
            <w:shd w:fill="CCEEFF" w:val="clear"/>
            <w:vAlign w:val="center"/>
          </w:tcPr>
          <w:p>
            <w:pPr>
              <w:pStyle w:val="TableContents"/>
              <w:bidi w:val="0"/>
              <w:spacing w:before="0" w:after="283"/>
              <w:jc w:val="left"/>
              <w:rPr/>
            </w:pPr>
            <w:r>
              <w:rPr/>
              <w:t> </w:t>
            </w:r>
            <w:bookmarkStart w:id="376" w:name="xdx_403_eus-gaap--OtherAccruedLiabilitie"/>
            <w:bookmarkEnd w:id="376"/>
          </w:p>
        </w:tc>
      </w:tr>
      <w:tr>
        <w:trPr/>
        <w:tc>
          <w:tcPr>
            <w:tcW w:w="2600"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FFFFFF" w:val="clear"/>
            <w:tcMar>
              <w:bottom w:w="28" w:type="dxa"/>
            </w:tcMar>
            <w:vAlign w:val="center"/>
          </w:tcPr>
          <w:p>
            <w:pPr>
              <w:pStyle w:val="TableContents"/>
              <w:bidi w:val="0"/>
              <w:spacing w:before="0" w:after="283"/>
              <w:jc w:val="right"/>
              <w:rPr/>
            </w:pPr>
            <w:r>
              <w:rPr/>
              <w:t>302</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FFFFFF" w:val="clear"/>
            <w:tcMar>
              <w:bottom w:w="28" w:type="dxa"/>
            </w:tcMar>
            <w:vAlign w:val="center"/>
          </w:tcPr>
          <w:p>
            <w:pPr>
              <w:pStyle w:val="TableContents"/>
              <w:bidi w:val="0"/>
              <w:spacing w:before="0" w:after="283"/>
              <w:jc w:val="right"/>
              <w:rPr/>
            </w:pPr>
            <w:r>
              <w:rPr/>
              <w:t>298</w:t>
            </w:r>
          </w:p>
        </w:tc>
        <w:tc>
          <w:tcPr>
            <w:tcW w:w="75" w:type="dxa"/>
            <w:tcBorders/>
            <w:shd w:fill="FFFFFF" w:val="clear"/>
            <w:vAlign w:val="center"/>
          </w:tcPr>
          <w:p>
            <w:pPr>
              <w:pStyle w:val="TableContents"/>
              <w:bidi w:val="0"/>
              <w:spacing w:before="0" w:after="283"/>
              <w:jc w:val="left"/>
              <w:rPr/>
            </w:pPr>
            <w:r>
              <w:rPr/>
              <w:t> </w:t>
            </w:r>
            <w:bookmarkStart w:id="377" w:name="xdx_40E_eus-gaap--AccruedLiabilitiesCurr"/>
            <w:bookmarkEnd w:id="377"/>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Accrued Liabilities</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283"/>
              <w:jc w:val="right"/>
              <w:rPr/>
            </w:pPr>
            <w:r>
              <w:rPr/>
              <w:t>1,027</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283"/>
              <w:jc w:val="right"/>
              <w:rPr/>
            </w:pPr>
            <w:r>
              <w:rPr/>
              <w:t>1,670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993" w:right="0" w:hanging="993"/>
        <w:jc w:val="both"/>
        <w:rPr>
          <w:caps w:val="false"/>
          <w:smallCaps w:val="false"/>
        </w:rPr>
      </w:pPr>
      <w:bookmarkStart w:id="378" w:name="xdx_8A0_zn2HHF9YU0Jc"/>
      <w:bookmarkEnd w:id="37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993" w:right="0" w:hanging="993"/>
        <w:jc w:val="both"/>
        <w:rPr>
          <w:caps w:val="false"/>
          <w:smallCaps w:val="false"/>
        </w:rPr>
      </w:pPr>
      <w:r>
        <w:rPr>
          <w:caps w:val="false"/>
          <w:smallCaps w:val="false"/>
        </w:rPr>
        <w:t> </w:t>
      </w:r>
    </w:p>
    <w:p>
      <w:pPr>
        <w:pStyle w:val="TextBody"/>
        <w:bidi w:val="0"/>
        <w:spacing w:before="0" w:after="0"/>
        <w:ind w:left="993" w:right="0" w:hanging="993"/>
        <w:jc w:val="both"/>
        <w:rPr>
          <w:rFonts w:ascii="Times New Roman;Times;Serif" w:hAnsi="Times New Roman;Times;Serif"/>
          <w:b/>
          <w:i w:val="false"/>
          <w:caps w:val="false"/>
          <w:smallCaps w:val="false"/>
          <w:sz w:val="20"/>
        </w:rPr>
      </w:pPr>
      <w:bookmarkStart w:id="379" w:name="xdx_803_eus-gaap--CommitmentsAndContinge"/>
      <w:bookmarkEnd w:id="379"/>
      <w:r>
        <w:rPr>
          <w:rFonts w:ascii="Times New Roman;Times;Serif" w:hAnsi="Times New Roman;Times;Serif"/>
          <w:b/>
          <w:i w:val="false"/>
          <w:caps w:val="false"/>
          <w:smallCaps w:val="false"/>
          <w:sz w:val="20"/>
        </w:rPr>
        <w:t xml:space="preserve">NOTE 9 - </w:t>
      </w:r>
      <w:bookmarkStart w:id="380" w:name="xdx_820_zzkzsMEWeE5b"/>
      <w:bookmarkEnd w:id="380"/>
      <w:r>
        <w:rPr>
          <w:rFonts w:ascii="Times New Roman;Times;Serif" w:hAnsi="Times New Roman;Times;Serif"/>
          <w:b/>
          <w:i w:val="false"/>
          <w:caps w:val="false"/>
          <w:smallCaps w:val="false"/>
          <w:sz w:val="20"/>
        </w:rPr>
        <w:t>COMMITMENTS AND CONTINGENCIES</w:t>
      </w:r>
    </w:p>
    <w:p>
      <w:pPr>
        <w:pStyle w:val="TextBody"/>
        <w:bidi w:val="0"/>
        <w:spacing w:before="0" w:after="0"/>
        <w:ind w:left="993" w:right="0" w:hanging="993"/>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Government grants: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has received grants from the IIA for participation in research and development since 2013 through December 31, 2023 totaling approximately $</w:t>
      </w:r>
      <w:bookmarkStart w:id="381" w:name="xdx_906_eus-gaap--RevenueFromContractWit"/>
      <w:bookmarkEnd w:id="381"/>
      <w:r>
        <w:rPr>
          <w:rFonts w:ascii="Times New Roman;Times;Serif" w:hAnsi="Times New Roman;Times;Serif"/>
          <w:b w:val="false"/>
          <w:i w:val="false"/>
          <w:caps w:val="false"/>
          <w:smallCaps w:val="false"/>
          <w:sz w:val="20"/>
        </w:rPr>
        <w:t>1,804. This amount includes amounts received in 2023 of approximately $</w:t>
      </w:r>
      <w:bookmarkStart w:id="382" w:name="xdx_90F_eus-gaap--GrantsReceivable_iI_c2"/>
      <w:bookmarkEnd w:id="382"/>
      <w:r>
        <w:rPr>
          <w:rFonts w:ascii="Times New Roman;Times;Serif" w:hAnsi="Times New Roman;Times;Serif"/>
          <w:b w:val="false"/>
          <w:i w:val="false"/>
          <w:caps w:val="false"/>
          <w:smallCaps w:val="false"/>
          <w:sz w:val="20"/>
        </w:rPr>
        <w:t xml:space="preserve">304, which are a portion of an additional grant from the IIA in the amount of approximately NIS </w:t>
      </w:r>
      <w:bookmarkStart w:id="383" w:name="xdx_90B_ecustom--AdditionalGrantReceivab"/>
      <w:bookmarkEnd w:id="383"/>
      <w:r>
        <w:rPr>
          <w:rFonts w:ascii="Times New Roman;Times;Serif" w:hAnsi="Times New Roman;Times;Serif"/>
          <w:b w:val="false"/>
          <w:i w:val="false"/>
          <w:caps w:val="false"/>
          <w:smallCaps w:val="false"/>
          <w:sz w:val="20"/>
        </w:rPr>
        <w:t>1,620,000 (approximately $</w:t>
      </w:r>
      <w:bookmarkStart w:id="384" w:name="xdx_909_ecustom--AdditionalGrantReceivab"/>
      <w:bookmarkEnd w:id="384"/>
      <w:r>
        <w:rPr>
          <w:rFonts w:ascii="Times New Roman;Times;Serif" w:hAnsi="Times New Roman;Times;Serif"/>
          <w:b w:val="false"/>
          <w:i w:val="false"/>
          <w:caps w:val="false"/>
          <w:smallCaps w:val="false"/>
          <w:sz w:val="20"/>
        </w:rPr>
        <w:t>447) approved by the IIA on June 1, 2023, to further finance the development of the manufacturing process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result of the agreement with CardioSert Ltd. (“CardioSert”) on January 4, 2018, Microbot Israel took over the liability to repay CardioSert’s IIA grants in the aggregate amount of approximately $</w:t>
      </w:r>
      <w:bookmarkStart w:id="385" w:name="xdx_906_ecustom--RepaymentOfGovernmentGr"/>
      <w:bookmarkEnd w:id="385"/>
      <w:r>
        <w:rPr>
          <w:rFonts w:ascii="Times New Roman;Times;Serif" w:hAnsi="Times New Roman;Times;Serif"/>
          <w:b w:val="false"/>
          <w:i w:val="false"/>
          <w:caps w:val="false"/>
          <w:smallCaps w:val="false"/>
          <w:sz w:val="20"/>
        </w:rPr>
        <w:t>530.</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result of the agreement with Nitiloop, on October 6, 2022, Microbot Israel took over the liability to repay Nitiloop’s IIA grants in the aggregate amount of approximately $</w:t>
      </w:r>
      <w:bookmarkStart w:id="386" w:name="xdx_900_ecustom--RepaymentOfGovernmentGr"/>
      <w:bookmarkEnd w:id="386"/>
      <w:r>
        <w:rPr>
          <w:rFonts w:ascii="Times New Roman;Times;Serif" w:hAnsi="Times New Roman;Times;Serif"/>
          <w:b w:val="false"/>
          <w:i w:val="false"/>
          <w:caps w:val="false"/>
          <w:smallCaps w:val="false"/>
          <w:sz w:val="20"/>
        </w:rPr>
        <w:t>925.</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relation to the IIA grants described above, the Company is obligated to pay royalties amounting to </w:t>
      </w:r>
      <w:bookmarkStart w:id="387" w:name="xdx_90E_ecustom--NetSalesRoyaltyPercenta"/>
      <w:bookmarkEnd w:id="387"/>
      <w:r>
        <w:rPr>
          <w:rFonts w:ascii="Times New Roman;Times;Serif" w:hAnsi="Times New Roman;Times;Serif"/>
          <w:b w:val="false"/>
          <w:i w:val="false"/>
          <w:caps w:val="false"/>
          <w:smallCaps w:val="false"/>
          <w:sz w:val="20"/>
        </w:rPr>
        <w:t>3.0%-</w:t>
      </w:r>
      <w:bookmarkStart w:id="388" w:name="xdx_90D_ecustom--NetSalesRoyaltyPercenta"/>
      <w:bookmarkEnd w:id="388"/>
      <w:r>
        <w:rPr>
          <w:rFonts w:ascii="Times New Roman;Times;Serif" w:hAnsi="Times New Roman;Times;Serif"/>
          <w:b w:val="false"/>
          <w:i w:val="false"/>
          <w:caps w:val="false"/>
          <w:smallCaps w:val="false"/>
          <w:sz w:val="20"/>
        </w:rPr>
        <w:t>5% of its future sales of the products relating to such grants.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grants are linked to the exchange rate of the dollar to the New Israeli Shekel and bears interest of SOFR per year (SOFR is a benchmark interest rate which replaced LIBOR).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11, 2022, the Company received approval for a grant from the Ministry of Economy, in the amount of NIS </w:t>
      </w:r>
      <w:bookmarkStart w:id="389" w:name="xdx_905_eus-gaap--GrantsReceivable_iI_uI"/>
      <w:bookmarkEnd w:id="389"/>
      <w:r>
        <w:rPr>
          <w:rFonts w:ascii="Times New Roman;Times;Serif" w:hAnsi="Times New Roman;Times;Serif"/>
          <w:b w:val="false"/>
          <w:i w:val="false"/>
          <w:caps w:val="false"/>
          <w:smallCaps w:val="false"/>
          <w:sz w:val="20"/>
        </w:rPr>
        <w:t>300,000 (approximately $</w:t>
      </w:r>
      <w:bookmarkStart w:id="390" w:name="xdx_904_eus-gaap--GrantsReceivable_iI_c2"/>
      <w:bookmarkEnd w:id="390"/>
      <w:r>
        <w:rPr>
          <w:rFonts w:ascii="Times New Roman;Times;Serif" w:hAnsi="Times New Roman;Times;Serif"/>
          <w:b w:val="false"/>
          <w:i w:val="false"/>
          <w:caps w:val="false"/>
          <w:smallCaps w:val="false"/>
          <w:sz w:val="20"/>
        </w:rPr>
        <w:t>83), for participation in expenses related to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in the U.S. market. As of December 31, 2023, the Company received approximately $</w:t>
      </w:r>
      <w:bookmarkStart w:id="391" w:name="xdx_90B_eus-gaap--GrantsReceivable_iI_pn"/>
      <w:bookmarkEnd w:id="391"/>
      <w:r>
        <w:rPr>
          <w:rFonts w:ascii="Times New Roman;Times;Serif" w:hAnsi="Times New Roman;Times;Serif"/>
          <w:b w:val="false"/>
          <w:i w:val="false"/>
          <w:caps w:val="false"/>
          <w:smallCaps w:val="false"/>
          <w:sz w:val="20"/>
        </w:rPr>
        <w:t xml:space="preserve">27 of such grant. In relation with the Ministry of Economy grant, the Company is obligated to pay royalties amounting to </w:t>
      </w:r>
      <w:bookmarkStart w:id="392" w:name="xdx_908_ecustom--NetSalesRoyaltyPercenta"/>
      <w:bookmarkEnd w:id="392"/>
      <w:r>
        <w:rPr>
          <w:rFonts w:ascii="Times New Roman;Times;Serif" w:hAnsi="Times New Roman;Times;Serif"/>
          <w:b w:val="false"/>
          <w:i w:val="false"/>
          <w:caps w:val="false"/>
          <w:smallCaps w:val="false"/>
          <w:sz w:val="20"/>
        </w:rPr>
        <w:t>3% of future sales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up to the grant amount plus interest.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TRDF agreement: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signed an agreement with the Technion Research and Development Foundation (“TRDF”) in June 2012 by which TRDF transferred to Microbot Israel a global, exclusive, royalty-bearing license (as amended, the “License Agreement”) with respect to the Company’s Self-Cleaning Shunt (SCS) project and its TipCat assets in addition to certain technology relating to the Company’s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As partial consideration for the license, Microbot Israel shall pay TRDF royalties on net sales (between </w:t>
      </w:r>
      <w:bookmarkStart w:id="393" w:name="xdx_90E_ecustom--NetSalesRoyaltyPercenta"/>
      <w:bookmarkEnd w:id="393"/>
      <w:r>
        <w:rPr>
          <w:rFonts w:ascii="Times New Roman;Times;Serif" w:hAnsi="Times New Roman;Times;Serif"/>
          <w:b w:val="false"/>
          <w:i w:val="false"/>
          <w:caps w:val="false"/>
          <w:smallCaps w:val="false"/>
          <w:sz w:val="20"/>
        </w:rPr>
        <w:t>1.5%-</w:t>
      </w:r>
      <w:bookmarkStart w:id="394" w:name="xdx_909_ecustom--NetSalesRoyaltyPercenta"/>
      <w:bookmarkEnd w:id="394"/>
      <w:r>
        <w:rPr>
          <w:rFonts w:ascii="Times New Roman;Times;Serif" w:hAnsi="Times New Roman;Times;Serif"/>
          <w:b w:val="false"/>
          <w:i w:val="false"/>
          <w:caps w:val="false"/>
          <w:smallCaps w:val="false"/>
          <w:sz w:val="20"/>
        </w:rPr>
        <w:t>3.0%) and on sublicense income as detailed in the License Agreement.</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w:t>
      </w:r>
    </w:p>
    <w:p>
      <w:pPr>
        <w:pStyle w:val="TextBody"/>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993" w:right="0" w:hanging="993"/>
        <w:jc w:val="both"/>
        <w:rPr>
          <w:caps w:val="false"/>
          <w:smallCaps w:val="false"/>
        </w:rPr>
      </w:pPr>
      <w:r>
        <w:rPr>
          <w:caps w:val="false"/>
          <w:smallCaps w:val="false"/>
        </w:rPr>
        <w:t> </w:t>
      </w:r>
    </w:p>
    <w:p>
      <w:pPr>
        <w:pStyle w:val="TextBody"/>
        <w:bidi w:val="0"/>
        <w:spacing w:before="0" w:after="0"/>
        <w:ind w:left="993" w:right="0" w:hanging="99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9 - COMMITMENTS AND CONTINGENCIES </w:t>
      </w:r>
    </w:p>
    <w:p>
      <w:pPr>
        <w:pStyle w:val="TextBody"/>
        <w:bidi w:val="0"/>
        <w:spacing w:before="0" w:after="0"/>
        <w:ind w:left="993" w:right="0" w:hanging="993"/>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Agreement with CardioSert Ltd.: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4, 2018, Microbot Israel entered into an agreement with CardioSert (the “CardioSert Agreement”) to acquire certain of its patent-protected technology (the “Technology”). Pursuant to the CardioSert Agreement, Microbot Israel made aggregate payments of $</w:t>
      </w:r>
      <w:bookmarkStart w:id="395" w:name="xdx_902_eus-gaap--PaymentsToAcquireIntan"/>
      <w:bookmarkEnd w:id="395"/>
      <w:r>
        <w:rPr>
          <w:rFonts w:ascii="Times New Roman;Times;Serif" w:hAnsi="Times New Roman;Times;Serif"/>
          <w:b w:val="false"/>
          <w:i w:val="false"/>
          <w:caps w:val="false"/>
          <w:smallCaps w:val="false"/>
          <w:sz w:val="20"/>
        </w:rPr>
        <w:t xml:space="preserve">300 in cash and </w:t>
      </w:r>
      <w:bookmarkStart w:id="396" w:name="xdx_90A_eus-gaap--StockIssuedDuringPerio"/>
      <w:bookmarkEnd w:id="396"/>
      <w:r>
        <w:rPr>
          <w:rFonts w:ascii="Times New Roman;Times;Serif" w:hAnsi="Times New Roman;Times;Serif"/>
          <w:b w:val="false"/>
          <w:i w:val="false"/>
          <w:caps w:val="false"/>
          <w:smallCaps w:val="false"/>
          <w:sz w:val="20"/>
        </w:rPr>
        <w:t>6,738 shares of common stock estimated at $</w:t>
      </w:r>
      <w:bookmarkStart w:id="397" w:name="xdx_90A_eus-gaap--StockIssuedDuringPerio"/>
      <w:bookmarkEnd w:id="397"/>
      <w:r>
        <w:rPr>
          <w:rFonts w:ascii="Times New Roman;Times;Serif" w:hAnsi="Times New Roman;Times;Serif"/>
          <w:b w:val="false"/>
          <w:i w:val="false"/>
          <w:caps w:val="false"/>
          <w:smallCaps w:val="false"/>
          <w:sz w:val="20"/>
        </w:rPr>
        <w:t>74 to complete the acquisition.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CardioSert Agreement may be terminated by CardioSert in case the first commercial sale does not occur by the third anniversary of the date of signing of the CardioSert Agreement except if Microbot Israel has invested more than $</w:t>
      </w:r>
      <w:bookmarkStart w:id="398" w:name="xdx_900_eus-gaap--Investments_iI_pn3n3_c"/>
      <w:bookmarkEnd w:id="398"/>
      <w:r>
        <w:rPr>
          <w:rFonts w:ascii="Times New Roman;Times;Serif" w:hAnsi="Times New Roman;Times;Serif"/>
          <w:b w:val="false"/>
          <w:i w:val="false"/>
          <w:caps w:val="false"/>
          <w:smallCaps w:val="false"/>
          <w:sz w:val="20"/>
        </w:rPr>
        <w:t>2,000 in certain development stages, or the first commercial sale does not occur within 50 months. As of December 31, 2023, the 50 months period has expired and CardioSert can buy-back the Technology at any time.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of the above termination events, or in case of breach by Microbot Israel, CardioSert shall have the right to buy back the Technology from Microbot Israel for $</w:t>
      </w:r>
      <w:bookmarkStart w:id="399" w:name="xdx_904_ecustom--BuyBackAmountPerPatent_"/>
      <w:bookmarkEnd w:id="399"/>
      <w:r>
        <w:rPr>
          <w:rFonts w:ascii="Times New Roman;Times;Serif" w:hAnsi="Times New Roman;Times;Serif"/>
          <w:b w:val="false"/>
          <w:i w:val="false"/>
          <w:caps w:val="false"/>
          <w:smallCaps w:val="false"/>
          <w:sz w:val="20"/>
        </w:rPr>
        <w:t xml:space="preserve">1.00 (dollar not in thousands), upon 60 days prior written notice, but only 1 year after such termination events. </w:t>
      </w:r>
      <w:bookmarkStart w:id="400" w:name="xdx_90F_ecustom--ConsultingFeeDescriptio"/>
      <w:bookmarkEnd w:id="400"/>
      <w:r>
        <w:rPr>
          <w:rFonts w:ascii="Times New Roman;Times;Serif" w:hAnsi="Times New Roman;Times;Serif"/>
          <w:b w:val="false"/>
          <w:i w:val="false"/>
          <w:caps w:val="false"/>
          <w:smallCaps w:val="false"/>
          <w:sz w:val="20"/>
        </w:rPr>
        <w:t xml:space="preserve">Additionally, the CardioSert Agreement may be terminated by either party upon breach of the other (subject to cure). Until May 2023, Microbot Israel paid CardioSert a monthly consultation fee of NIS </w:t>
      </w:r>
      <w:bookmarkStart w:id="401" w:name="xdx_90D_eus-gaap--ProfessionalFees_pn3n3"/>
      <w:bookmarkEnd w:id="401"/>
      <w:r>
        <w:rPr>
          <w:rFonts w:ascii="Times New Roman;Times;Serif" w:hAnsi="Times New Roman;Times;Serif"/>
          <w:b w:val="false"/>
          <w:i w:val="false"/>
          <w:caps w:val="false"/>
          <w:smallCaps w:val="false"/>
          <w:sz w:val="20"/>
        </w:rPr>
        <w:t>40,000 (or approximately US$</w:t>
      </w:r>
      <w:bookmarkStart w:id="402" w:name="xdx_900_ecustom--MonthlyConsultationFeeI"/>
      <w:bookmarkEnd w:id="402"/>
      <w:r>
        <w:rPr>
          <w:rFonts w:ascii="Times New Roman;Times;Serif" w:hAnsi="Times New Roman;Times;Serif"/>
          <w:b w:val="false"/>
          <w:i w:val="false"/>
          <w:caps w:val="false"/>
          <w:smallCaps w:val="false"/>
          <w:sz w:val="20"/>
        </w:rPr>
        <w:t xml:space="preserve">11, based on an </w:t>
      </w:r>
      <w:bookmarkStart w:id="403" w:name="xdx_90C_ecustom--CurrencyExchangeRateDes"/>
      <w:bookmarkEnd w:id="403"/>
      <w:r>
        <w:rPr>
          <w:rFonts w:ascii="Times New Roman;Times;Serif" w:hAnsi="Times New Roman;Times;Serif"/>
          <w:b w:val="false"/>
          <w:i w:val="false"/>
          <w:caps w:val="false"/>
          <w:smallCaps w:val="false"/>
          <w:sz w:val="20"/>
        </w:rPr>
        <w:t>exchange rate of NIS 3.7 to the dollar) covering up to 60 consulting hours per month, relating to the development of the Technology. As a result of its core-business focus program and its cost reduction plan enacted in May 2023, the Company has terminated the CardioSert Agreement effective as of August 17, 2023 and ceased its research and development and commercialization efforts for, and maintaining, the Technology, which subsequent to the balance sheet date resulted in CardioSert triggering its right to reacquire the Technology for nominal consideration. See Note 16E below.</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ATM agreement: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w:t>
      </w:r>
      <w:bookmarkStart w:id="404" w:name="xdx_904_ecustom--OfferingCosts_iI_pn3n3_"/>
      <w:bookmarkEnd w:id="404"/>
      <w:r>
        <w:rPr>
          <w:rFonts w:ascii="Times New Roman;Times;Serif" w:hAnsi="Times New Roman;Times;Serif"/>
          <w:b w:val="false"/>
          <w:i w:val="false"/>
          <w:caps w:val="false"/>
          <w:smallCaps w:val="false"/>
          <w:sz w:val="20"/>
        </w:rPr>
        <w:t>10,000 at market prices or as otherwise agreed with Wainwright. To date, we have not sold any shares of common stock pursuant to the ATM Agreement, and as of October 13, 2022, the Company suspended the ATM Agreement, which otherwise remains in full force and effect subject to reactivation.</w:t>
      </w:r>
    </w:p>
    <w:p>
      <w:pPr>
        <w:pStyle w:val="TextBody"/>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993" w:right="0" w:hanging="993"/>
        <w:jc w:val="both"/>
        <w:rPr>
          <w:caps w:val="false"/>
          <w:smallCaps w:val="false"/>
        </w:rPr>
      </w:pPr>
      <w:r>
        <w:rPr>
          <w:caps w:val="false"/>
          <w:smallCaps w:val="false"/>
        </w:rPr>
        <w:t> </w:t>
      </w:r>
    </w:p>
    <w:p>
      <w:pPr>
        <w:pStyle w:val="TextBody"/>
        <w:bidi w:val="0"/>
        <w:spacing w:before="0" w:after="0"/>
        <w:ind w:left="993" w:right="0" w:hanging="99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9 - COMMITMENTS AND CONTINGENCIES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Engagement letters with H.C. Wainwright:</w:t>
      </w:r>
    </w:p>
    <w:p>
      <w:pPr>
        <w:pStyle w:val="TextBody"/>
        <w:bidi w:val="0"/>
        <w:spacing w:before="0" w:after="0"/>
        <w:ind w:left="360" w:right="0" w:firstLine="774"/>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registered direct and private placement offerings referred to in Note 10 below, the Company entered into engagement letters (the “Engagement Letters”) with Wainwright on October 3, 2022, on May 16, 2023 and on October 24, 2023, pursuant to which Wainwright agreed to serve as the exclusive placement agent for the issuance and sale of securities of the Company.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compensation for such placement agent services, the Company has agreed to pay Wainwright an aggregate cash fee equal to </w:t>
      </w:r>
      <w:bookmarkStart w:id="405" w:name="xdx_906_ecustom--GrossProceedsFromCashFe"/>
      <w:bookmarkEnd w:id="405"/>
      <w:r>
        <w:rPr>
          <w:rFonts w:ascii="Times New Roman;Times;Serif" w:hAnsi="Times New Roman;Times;Serif"/>
          <w:b w:val="false"/>
          <w:i w:val="false"/>
          <w:caps w:val="false"/>
          <w:smallCaps w:val="false"/>
          <w:sz w:val="20"/>
        </w:rPr>
        <w:t xml:space="preserve">7.0% of the gross proceeds received by the Company from offerings contemplated by the Engagement Letters, plus a management fee equal to </w:t>
      </w:r>
      <w:bookmarkStart w:id="406" w:name="xdx_90B_ecustom--GrossProceedsFromManage"/>
      <w:bookmarkEnd w:id="406"/>
      <w:r>
        <w:rPr>
          <w:rFonts w:ascii="Times New Roman;Times;Serif" w:hAnsi="Times New Roman;Times;Serif"/>
          <w:b w:val="false"/>
          <w:i w:val="false"/>
          <w:caps w:val="false"/>
          <w:smallCaps w:val="false"/>
          <w:sz w:val="20"/>
        </w:rPr>
        <w:t xml:space="preserve">1.0% of the gross proceeds received by the Company from such offerings, as well as other reimbursable expenses. </w:t>
      </w:r>
      <w:bookmarkStart w:id="407" w:name="xdx_904_eus-gaap--ClassOfWarrantOrRightR"/>
      <w:bookmarkEnd w:id="407"/>
      <w:r>
        <w:rPr>
          <w:rFonts w:ascii="Times New Roman;Times;Serif" w:hAnsi="Times New Roman;Times;Serif"/>
          <w:b w:val="false"/>
          <w:i w:val="false"/>
          <w:caps w:val="false"/>
          <w:smallCaps w:val="false"/>
          <w:sz w:val="20"/>
        </w:rPr>
        <w:t>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Acquisition of Nitiloop’s assets: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acquisition of the Assets, Microbot Israel shall pay royalties to Nitiloop, which shall not, in the aggregate, exceed $</w:t>
      </w:r>
      <w:bookmarkStart w:id="408" w:name="xdx_901_eus-gaap--StockIssuedDuringPerio"/>
      <w:bookmarkEnd w:id="408"/>
      <w:r>
        <w:rPr>
          <w:rFonts w:ascii="Times New Roman;Times;Serif" w:hAnsi="Times New Roman;Times;Serif"/>
          <w:b w:val="false"/>
          <w:i w:val="false"/>
          <w:caps w:val="false"/>
          <w:smallCaps w:val="false"/>
          <w:sz w:val="20"/>
        </w:rPr>
        <w:t>8,000, as follows:</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Royalties at a rate of </w:t>
            </w:r>
            <w:bookmarkStart w:id="409" w:name="xdx_909_ecustom--RoyaltiesPercentage1_pi"/>
            <w:bookmarkEnd w:id="409"/>
            <w:r>
              <w:rPr>
                <w:rFonts w:ascii="Times New Roman;Times;Serif" w:hAnsi="Times New Roman;Times;Serif"/>
                <w:b w:val="false"/>
                <w:i w:val="false"/>
                <w:caps w:val="false"/>
                <w:smallCaps w:val="false"/>
                <w:sz w:val="20"/>
              </w:rPr>
              <w:t>3% of net revenue generated as a result of sales, license or other exploitation of the Devices;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Royalties at a rate of </w:t>
            </w:r>
            <w:bookmarkStart w:id="410" w:name="xdx_900_ecustom--RoyaltiesPercentage1_pi"/>
            <w:bookmarkEnd w:id="410"/>
            <w:r>
              <w:rPr>
                <w:rFonts w:ascii="Times New Roman;Times;Serif" w:hAnsi="Times New Roman;Times;Serif"/>
                <w:b w:val="false"/>
                <w:i w:val="false"/>
                <w:caps w:val="false"/>
                <w:smallCaps w:val="false"/>
                <w:sz w:val="20"/>
              </w:rPr>
              <w:t>1.5% of net revenue generated from the sale, license or other exploitation of commercialization of the technology as part of an integrated product.</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analysis, the Company concluded that the acquisition of the assets does not meet the definition of a business for the purpose of applying SEC Rules (S-X Rules of 3-05, 8-04 and 11-01).</w:t>
      </w:r>
    </w:p>
    <w:p>
      <w:pPr>
        <w:pStyle w:val="TextBody"/>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993" w:right="0" w:hanging="993"/>
        <w:jc w:val="both"/>
        <w:rPr>
          <w:caps w:val="false"/>
          <w:smallCaps w:val="false"/>
        </w:rPr>
      </w:pPr>
      <w:r>
        <w:rPr>
          <w:caps w:val="false"/>
          <w:smallCaps w:val="false"/>
        </w:rPr>
        <w:t> </w:t>
      </w:r>
    </w:p>
    <w:p>
      <w:pPr>
        <w:pStyle w:val="TextBody"/>
        <w:bidi w:val="0"/>
        <w:spacing w:before="0" w:after="0"/>
        <w:ind w:left="993" w:right="0" w:hanging="99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9 - COMMITMENTS AND CONTINGENCIES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Litigation resulting from the 2017 financing: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named as the defendant in a lawsuit captioned Empery Asset Master Ltd., Empery Tax Efficient, LP, Empery Tax Efficient II, LP, Hudson Bay Master Fund Ltd., (the “Plaintiffs”), against Microbot Medical Inc., Defendant, in the Supreme Court of the State of New York, County of New York (Index No. 651182/2020) (the “Lawsuit”). The complaint alleged,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sought rescission of the SPA and return of the Plaintiffs’ $</w:t>
      </w:r>
      <w:bookmarkStart w:id="411" w:name="xdx_900_eus-gaap--LossContingencyDamages"/>
      <w:bookmarkEnd w:id="411"/>
      <w:r>
        <w:rPr>
          <w:rFonts w:ascii="Times New Roman;Times;Serif" w:hAnsi="Times New Roman;Times;Serif"/>
          <w:b w:val="false"/>
          <w:i w:val="false"/>
          <w:caps w:val="false"/>
          <w:smallCaps w:val="false"/>
          <w:sz w:val="20"/>
        </w:rPr>
        <w:t>6,750 purchase price with respect to the 2017 Financing.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Lawsuit was settled in January 2024. Refer to Note 16C below.</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Mona litigation: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2019, the Company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The amount of profits was estimated in the complaint to be approximately $</w:t>
      </w:r>
      <w:bookmarkStart w:id="412" w:name="xdx_90D_eus-gaap--LitigationSettlementAm"/>
      <w:bookmarkEnd w:id="412"/>
      <w:r>
        <w:rPr>
          <w:rFonts w:ascii="Times New Roman;Times;Serif" w:hAnsi="Times New Roman;Times;Serif"/>
          <w:b w:val="false"/>
          <w:i w:val="false"/>
          <w:caps w:val="false"/>
          <w:smallCaps w:val="false"/>
          <w:sz w:val="20"/>
        </w:rPr>
        <w:t>468.</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2021, the Court entered a judgment against Mona and in favor of the Company in the amount of approximately $</w:t>
      </w:r>
      <w:bookmarkStart w:id="413" w:name="xdx_909_eus-gaap--LossContingencyDamages"/>
      <w:bookmarkEnd w:id="413"/>
      <w:r>
        <w:rPr>
          <w:rFonts w:ascii="Times New Roman;Times;Serif" w:hAnsi="Times New Roman;Times;Serif"/>
          <w:b w:val="false"/>
          <w:i w:val="false"/>
          <w:caps w:val="false"/>
          <w:smallCaps w:val="false"/>
          <w:sz w:val="20"/>
        </w:rPr>
        <w:t>485. Collection of the judgment was deferred pending resolution of Mona’s counterclaim.</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2023, the Magistrate Judge issued a Report &amp; Recommendation, which recommended that the District Court dismiss Mona’s Section 10(b) counterclaim in the entirety. On August 22, 2023, the District Court adopted the Report and Recommendation in full and dismissed the Section 10(b) counterclaim in its entirety. The time for appeal has expired and the Company is proceeding with collection efforts for the $</w:t>
      </w:r>
      <w:bookmarkStart w:id="414" w:name="xdx_907_eus-gaap--LossContingencyDamages"/>
      <w:bookmarkEnd w:id="414"/>
      <w:r>
        <w:rPr>
          <w:rFonts w:ascii="Times New Roman;Times;Serif" w:hAnsi="Times New Roman;Times;Serif"/>
          <w:b w:val="false"/>
          <w:i w:val="false"/>
          <w:caps w:val="false"/>
          <w:smallCaps w:val="false"/>
          <w:sz w:val="20"/>
        </w:rPr>
        <w:t>485 judgment against Mona (the “Judgment”).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Court has permitted the Company’s ongoing execution efforts to continue notwithstanding Mona’s purported appeal of the Court’s denial of his motion to vacate. On March 15, 2024, the Magistrate Judge issued an Order to Show Cause (“OTSC”) directing the liquidation of certain of Mona’s accounts, and the transfer of the sale proceeds to the Company in partial satisfaction of the Judgment. The OTSC hearing is scheduled to be held in the second quarter of 2024.</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993" w:right="0" w:hanging="993"/>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15" w:name="xdx_807_eus-gaap--StockholdersEquityNote"/>
      <w:bookmarkEnd w:id="415"/>
      <w:r>
        <w:rPr>
          <w:rFonts w:ascii="Times New Roman;Times;Serif" w:hAnsi="Times New Roman;Times;Serif"/>
          <w:b/>
          <w:i w:val="false"/>
          <w:caps w:val="false"/>
          <w:smallCaps w:val="false"/>
          <w:sz w:val="20"/>
        </w:rPr>
        <w:t xml:space="preserve">NOTE 10 - </w:t>
      </w:r>
      <w:bookmarkStart w:id="416" w:name="xdx_82F_zHRX91xeM1i1"/>
      <w:bookmarkEnd w:id="416"/>
      <w:r>
        <w:rPr>
          <w:rFonts w:ascii="Times New Roman;Times;Serif" w:hAnsi="Times New Roman;Times;Serif"/>
          <w:b/>
          <w:i w:val="false"/>
          <w:caps w:val="false"/>
          <w:smallCaps w:val="false"/>
          <w:sz w:val="20"/>
        </w:rPr>
        <w:t>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Share capital developments: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2023 and 2022, the Company has </w:t>
      </w:r>
      <w:bookmarkStart w:id="417" w:name="xdx_901_eus-gaap--CommonStockSharesOutst"/>
      <w:bookmarkStart w:id="418" w:name="xdx_90D_eus-gaap--CommonStockSharesIssue"/>
      <w:bookmarkEnd w:id="417"/>
      <w:bookmarkEnd w:id="418"/>
      <w:r>
        <w:rPr>
          <w:rFonts w:ascii="Times New Roman;Times;Serif" w:hAnsi="Times New Roman;Times;Serif"/>
          <w:b w:val="false"/>
          <w:i w:val="false"/>
          <w:caps w:val="false"/>
          <w:smallCaps w:val="false"/>
          <w:sz w:val="20"/>
        </w:rPr>
        <w:t xml:space="preserve">11,707,317 and </w:t>
      </w:r>
      <w:bookmarkStart w:id="419" w:name="xdx_90F_eus-gaap--CommonStockSharesOutst"/>
      <w:bookmarkStart w:id="420" w:name="xdx_90D_eus-gaap--CommonStockSharesIssue"/>
      <w:bookmarkEnd w:id="419"/>
      <w:bookmarkEnd w:id="420"/>
      <w:r>
        <w:rPr>
          <w:rFonts w:ascii="Times New Roman;Times;Serif" w:hAnsi="Times New Roman;Times;Serif"/>
          <w:b w:val="false"/>
          <w:i w:val="false"/>
          <w:caps w:val="false"/>
          <w:smallCaps w:val="false"/>
          <w:sz w:val="20"/>
        </w:rPr>
        <w:t>7,890,628 shares of common stock issued and outstanding, respectively.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21, 2022, the Company entered into a Securities Purchase Agreement (the “Purchase Agreement”) with an institutional investor (the “Investor”), pursuant to which the Company issued and sold, in a registered direct offering priced at-the-market under the rules of The Nasdaq Stock Market (the “Registered Offering”), (i) an aggregate of </w:t>
      </w:r>
      <w:bookmarkStart w:id="421" w:name="xdx_906_eus-gaap--StockIssuedDuringPerio"/>
      <w:bookmarkEnd w:id="421"/>
      <w:r>
        <w:rPr>
          <w:rFonts w:ascii="Times New Roman;Times;Serif" w:hAnsi="Times New Roman;Times;Serif"/>
          <w:b w:val="false"/>
          <w:i w:val="false"/>
          <w:caps w:val="false"/>
          <w:smallCaps w:val="false"/>
          <w:sz w:val="20"/>
        </w:rPr>
        <w:t>782,495 shares of common stock, at an offering price of $</w:t>
      </w:r>
      <w:bookmarkStart w:id="422" w:name="xdx_90F_eus-gaap--ClassOfWarrantOrRightE"/>
      <w:bookmarkEnd w:id="422"/>
      <w:r>
        <w:rPr>
          <w:rFonts w:ascii="Times New Roman;Times;Serif" w:hAnsi="Times New Roman;Times;Serif"/>
          <w:b w:val="false"/>
          <w:i w:val="false"/>
          <w:caps w:val="false"/>
          <w:smallCaps w:val="false"/>
          <w:sz w:val="20"/>
        </w:rPr>
        <w:t xml:space="preserve">4.89 per share and (ii) pre-funded warrants exercisable for up to </w:t>
      </w:r>
      <w:bookmarkStart w:id="423" w:name="xdx_90F_eus-gaap--ClassOfWarrantOrRightN"/>
      <w:bookmarkEnd w:id="423"/>
      <w:r>
        <w:rPr>
          <w:rFonts w:ascii="Times New Roman;Times;Serif" w:hAnsi="Times New Roman;Times;Serif"/>
          <w:b w:val="false"/>
          <w:i w:val="false"/>
          <w:caps w:val="false"/>
          <w:smallCaps w:val="false"/>
          <w:sz w:val="20"/>
        </w:rPr>
        <w:t>240,000 shares of common stock (the “Pre-Funded Warrants”) to the Investor at an offering price of $</w:t>
      </w:r>
      <w:bookmarkStart w:id="424" w:name="xdx_90E_eus-gaap--ClassOfWarrantOrRightE"/>
      <w:bookmarkEnd w:id="424"/>
      <w:r>
        <w:rPr>
          <w:rFonts w:ascii="Times New Roman;Times;Serif" w:hAnsi="Times New Roman;Times;Serif"/>
          <w:b w:val="false"/>
          <w:i w:val="false"/>
          <w:caps w:val="false"/>
          <w:smallCaps w:val="false"/>
          <w:sz w:val="20"/>
        </w:rPr>
        <w:t>4.8899 per Pre-Funded Warrant, for aggregate gross proceeds from the Offerings (as defined below) of approximately $</w:t>
      </w:r>
      <w:bookmarkStart w:id="425" w:name="xdx_90B_eus-gaap--ProceedsFromIssuanceOf"/>
      <w:bookmarkEnd w:id="425"/>
      <w:r>
        <w:rPr>
          <w:rFonts w:ascii="Times New Roman;Times;Serif" w:hAnsi="Times New Roman;Times;Serif"/>
          <w:b w:val="false"/>
          <w:i w:val="false"/>
          <w:caps w:val="false"/>
          <w:smallCaps w:val="false"/>
          <w:sz w:val="20"/>
        </w:rPr>
        <w:t>5,000 before deducting the placement agent fee (as described below) and related offering expenses.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Pre-Funded Warrant represents the right to purchase one share of common stock at an exercise price of $</w:t>
      </w:r>
      <w:bookmarkStart w:id="426" w:name="xdx_90B_eus-gaap--WarrantExercisePriceIn"/>
      <w:bookmarkEnd w:id="426"/>
      <w:r>
        <w:rPr>
          <w:rFonts w:ascii="Times New Roman;Times;Serif" w:hAnsi="Times New Roman;Times;Serif"/>
          <w:b w:val="false"/>
          <w:i w:val="false"/>
          <w:caps w:val="false"/>
          <w:smallCaps w:val="false"/>
          <w:sz w:val="20"/>
        </w:rPr>
        <w:t>0.0001 per share. The Pre-Funded Warrants are exercisable immediately and may be exercised at any time until the Pre-Funded Warrants are exercised in full.</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 concurrent private placement (the “Private Placement” and, together with the Registered Offering, the “Offerings”), the Company issued to the Investor (i) Series A preferred investment options to purchase up to </w:t>
      </w:r>
      <w:bookmarkStart w:id="427" w:name="xdx_90B_eus-gaap--StockIssuedDuringPerio"/>
      <w:bookmarkEnd w:id="427"/>
      <w:r>
        <w:rPr>
          <w:rFonts w:ascii="Times New Roman;Times;Serif" w:hAnsi="Times New Roman;Times;Serif"/>
          <w:b w:val="false"/>
          <w:i w:val="false"/>
          <w:caps w:val="false"/>
          <w:smallCaps w:val="false"/>
          <w:sz w:val="20"/>
        </w:rPr>
        <w:t>1,022,495 shares of common stock (the “Series A Warrants”) at an exercise price of $</w:t>
      </w:r>
      <w:bookmarkStart w:id="428" w:name="xdx_902_eus-gaap--SharesIssuedPricePerSh"/>
      <w:bookmarkEnd w:id="428"/>
      <w:r>
        <w:rPr>
          <w:rFonts w:ascii="Times New Roman;Times;Serif" w:hAnsi="Times New Roman;Times;Serif"/>
          <w:b w:val="false"/>
          <w:i w:val="false"/>
          <w:caps w:val="false"/>
          <w:smallCaps w:val="false"/>
          <w:sz w:val="20"/>
        </w:rPr>
        <w:t xml:space="preserve">4.64 per share and (ii) Series B preferred investment options to purchase up to </w:t>
      </w:r>
      <w:bookmarkStart w:id="429" w:name="xdx_905_eus-gaap--StockIssuedDuringPerio"/>
      <w:bookmarkEnd w:id="429"/>
      <w:r>
        <w:rPr>
          <w:rFonts w:ascii="Times New Roman;Times;Serif" w:hAnsi="Times New Roman;Times;Serif"/>
          <w:b w:val="false"/>
          <w:i w:val="false"/>
          <w:caps w:val="false"/>
          <w:smallCaps w:val="false"/>
          <w:sz w:val="20"/>
        </w:rPr>
        <w:t>1,022,495 shares of common stock (the “Series B Warrants”) at an exercise price of $</w:t>
      </w:r>
      <w:bookmarkStart w:id="430" w:name="xdx_90E_eus-gaap--SharesIssuedPricePerSh"/>
      <w:bookmarkEnd w:id="430"/>
      <w:r>
        <w:rPr>
          <w:rFonts w:ascii="Times New Roman;Times;Serif" w:hAnsi="Times New Roman;Times;Serif"/>
          <w:b w:val="false"/>
          <w:i w:val="false"/>
          <w:caps w:val="false"/>
          <w:smallCaps w:val="false"/>
          <w:sz w:val="20"/>
        </w:rPr>
        <w:t>4.64 per share. Each Series A Warrant is exercisable immediately and will expire five years from the initial exercise date. Each Series B Warrant is exercisable immediately and will expire two years from the initial exercise date.</w:t>
      </w:r>
    </w:p>
    <w:p>
      <w:pPr>
        <w:pStyle w:val="TextBody"/>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993" w:right="0" w:hanging="993"/>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10 - SHARE CAPITAL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2022 and in connection with the Offerings, the Company entered into an Engagement Letter with Wainwright as mentioned in Note 9E, as compensation for such placement agent services, the Company paid Wainwright aggregate cash fees and reimbursed Wainwright for its expenses aggregating approximately $</w:t>
      </w:r>
      <w:bookmarkStart w:id="431" w:name="xdx_900_eus-gaap--ProfessionalFees_pn3n3"/>
      <w:bookmarkEnd w:id="431"/>
      <w:r>
        <w:rPr>
          <w:rFonts w:ascii="Times New Roman;Times;Serif" w:hAnsi="Times New Roman;Times;Serif"/>
          <w:b w:val="false"/>
          <w:i w:val="false"/>
          <w:caps w:val="false"/>
          <w:smallCaps w:val="false"/>
          <w:sz w:val="20"/>
        </w:rPr>
        <w:t>565. The Company incurred other related offering expenses of $</w:t>
      </w:r>
      <w:bookmarkStart w:id="432" w:name="xdx_90E_eus-gaap--DeferredOfferingCosts_"/>
      <w:bookmarkEnd w:id="432"/>
      <w:r>
        <w:rPr>
          <w:rFonts w:ascii="Times New Roman;Times;Serif" w:hAnsi="Times New Roman;Times;Serif"/>
          <w:b w:val="false"/>
          <w:i w:val="false"/>
          <w:caps w:val="false"/>
          <w:smallCaps w:val="false"/>
          <w:sz w:val="20"/>
        </w:rPr>
        <w:t xml:space="preserve">111. The Company also issued to Wainwright or its designees warrants to purchase </w:t>
      </w:r>
      <w:bookmarkStart w:id="433" w:name="xdx_905_eus-gaap--ClassOfWarrantOrRightN"/>
      <w:bookmarkEnd w:id="433"/>
      <w:r>
        <w:rPr>
          <w:rFonts w:ascii="Times New Roman;Times;Serif" w:hAnsi="Times New Roman;Times;Serif"/>
          <w:b w:val="false"/>
          <w:i w:val="false"/>
          <w:caps w:val="false"/>
          <w:smallCaps w:val="false"/>
          <w:sz w:val="20"/>
        </w:rPr>
        <w:t xml:space="preserve">51,125 shares of common stock (the “Wainwright Warrants”). The Wainwright Warrants have a term of </w:t>
      </w:r>
      <w:bookmarkStart w:id="434" w:name="xdx_902_eus-gaap--WarrantsAndRightsOutst"/>
      <w:bookmarkEnd w:id="434"/>
      <w:r>
        <w:rPr>
          <w:rFonts w:ascii="Times New Roman;Times;Serif" w:hAnsi="Times New Roman;Times;Serif"/>
          <w:b w:val="false"/>
          <w:i w:val="false"/>
          <w:caps w:val="false"/>
          <w:smallCaps w:val="false"/>
          <w:sz w:val="20"/>
        </w:rPr>
        <w:t>five years from the commencement of sales in the Offerings, and have an exercise price of $</w:t>
      </w:r>
      <w:bookmarkStart w:id="435" w:name="xdx_909_eus-gaap--ClassOfWarrantOrRightE"/>
      <w:bookmarkEnd w:id="435"/>
      <w:r>
        <w:rPr>
          <w:rFonts w:ascii="Times New Roman;Times;Serif" w:hAnsi="Times New Roman;Times;Serif"/>
          <w:b w:val="false"/>
          <w:i w:val="false"/>
          <w:caps w:val="false"/>
          <w:smallCaps w:val="false"/>
          <w:sz w:val="20"/>
        </w:rPr>
        <w:t>6.11 per share. The Company estimated the fair value of the warrants using a Black-Scholes options pricing model and concluded it is approximately $</w:t>
      </w:r>
      <w:bookmarkStart w:id="436" w:name="xdx_90B_eus-gaap--FairValueAdjustmentOfW"/>
      <w:bookmarkEnd w:id="436"/>
      <w:r>
        <w:rPr>
          <w:rFonts w:ascii="Times New Roman;Times;Serif" w:hAnsi="Times New Roman;Times;Serif"/>
          <w:b w:val="false"/>
          <w:i w:val="false"/>
          <w:caps w:val="false"/>
          <w:smallCaps w:val="false"/>
          <w:sz w:val="20"/>
        </w:rPr>
        <w:t>138.</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13, 2023, </w:t>
      </w:r>
      <w:bookmarkStart w:id="437" w:name="xdx_907_eus-gaap--ClassOfWarrantOrRightO"/>
      <w:bookmarkEnd w:id="437"/>
      <w:r>
        <w:rPr>
          <w:rFonts w:ascii="Times New Roman;Times;Serif" w:hAnsi="Times New Roman;Times;Serif"/>
          <w:b w:val="false"/>
          <w:i w:val="false"/>
          <w:caps w:val="false"/>
          <w:smallCaps w:val="false"/>
          <w:sz w:val="20"/>
        </w:rPr>
        <w:t>240,000 of the Company’s outstanding pre-funded warrants were exercised into an equivalent number of shares of common stock, at an exercise price of $</w:t>
      </w:r>
      <w:bookmarkStart w:id="438" w:name="xdx_906_eus-gaap--ClassOfWarrantOrRightE"/>
      <w:bookmarkEnd w:id="438"/>
      <w:r>
        <w:rPr>
          <w:rFonts w:ascii="Times New Roman;Times;Serif" w:hAnsi="Times New Roman;Times;Serif"/>
          <w:b w:val="false"/>
          <w:i w:val="false"/>
          <w:caps w:val="false"/>
          <w:smallCaps w:val="false"/>
          <w:sz w:val="20"/>
        </w:rPr>
        <w:t>0.0001 per share.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Registered direct and private placement offerings: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22, 2023, the Company entered into a securities purchase agreement with an institutional investor, pursuant to which it agreed to issue and sell in a registered direct offering an aggregate of </w:t>
      </w:r>
      <w:bookmarkStart w:id="439" w:name="xdx_901_eus-gaap--StockIssuedDuringPerio"/>
      <w:bookmarkEnd w:id="439"/>
      <w:r>
        <w:rPr>
          <w:rFonts w:ascii="Times New Roman;Times;Serif" w:hAnsi="Times New Roman;Times;Serif"/>
          <w:b w:val="false"/>
          <w:i w:val="false"/>
          <w:caps w:val="false"/>
          <w:smallCaps w:val="false"/>
          <w:sz w:val="20"/>
        </w:rPr>
        <w:t>655,569 shares of common stock, at an offering price of $</w:t>
      </w:r>
      <w:bookmarkStart w:id="440" w:name="xdx_90E_eus-gaap--SharesIssuedPricePerSh"/>
      <w:bookmarkEnd w:id="440"/>
      <w:r>
        <w:rPr>
          <w:rFonts w:ascii="Times New Roman;Times;Serif" w:hAnsi="Times New Roman;Times;Serif"/>
          <w:b w:val="false"/>
          <w:i w:val="false"/>
          <w:caps w:val="false"/>
          <w:smallCaps w:val="false"/>
          <w:sz w:val="20"/>
        </w:rPr>
        <w:t>2.20 per share, for aggregate gross proceeds of $</w:t>
      </w:r>
      <w:bookmarkStart w:id="441" w:name="xdx_908_eus-gaap--ProceedsFromIssuanceOf"/>
      <w:bookmarkEnd w:id="441"/>
      <w:r>
        <w:rPr>
          <w:rFonts w:ascii="Times New Roman;Times;Serif" w:hAnsi="Times New Roman;Times;Serif"/>
          <w:b w:val="false"/>
          <w:i w:val="false"/>
          <w:caps w:val="false"/>
          <w:smallCaps w:val="false"/>
          <w:sz w:val="20"/>
        </w:rPr>
        <w:t>1,442 before deducting the placement agent fee and related offering expenses of approximately $</w:t>
      </w:r>
      <w:bookmarkStart w:id="442" w:name="xdx_901_eus-gaap--DeferredOfferingCosts_"/>
      <w:bookmarkEnd w:id="442"/>
      <w:r>
        <w:rPr>
          <w:rFonts w:ascii="Times New Roman;Times;Serif" w:hAnsi="Times New Roman;Times;Serif"/>
          <w:b w:val="false"/>
          <w:i w:val="false"/>
          <w:caps w:val="false"/>
          <w:smallCaps w:val="false"/>
          <w:sz w:val="20"/>
        </w:rPr>
        <w:t xml:space="preserve">222 (the “First May Offering”). The Company also issued to Wainwright or its designees preferred investment options to purchase </w:t>
      </w:r>
      <w:bookmarkStart w:id="443" w:name="xdx_909_eus-gaap--StockIssuedDuringPerio"/>
      <w:bookmarkEnd w:id="443"/>
      <w:r>
        <w:rPr>
          <w:rFonts w:ascii="Times New Roman;Times;Serif" w:hAnsi="Times New Roman;Times;Serif"/>
          <w:b w:val="false"/>
          <w:i w:val="false"/>
          <w:caps w:val="false"/>
          <w:smallCaps w:val="false"/>
          <w:sz w:val="20"/>
        </w:rPr>
        <w:t>32,778 shares of common stock, which have a term of three and one-half years from the commencement of sales in the First May Offering, and have an exercise price of $</w:t>
      </w:r>
      <w:bookmarkStart w:id="444" w:name="xdx_908_eus-gaap--SharesIssuedPricePerSh"/>
      <w:bookmarkEnd w:id="444"/>
      <w:r>
        <w:rPr>
          <w:rFonts w:ascii="Times New Roman;Times;Serif" w:hAnsi="Times New Roman;Times;Serif"/>
          <w:b w:val="false"/>
          <w:i w:val="false"/>
          <w:caps w:val="false"/>
          <w:smallCaps w:val="false"/>
          <w:sz w:val="20"/>
        </w:rPr>
        <w:t>2.75 per share. The First May Offering was consummated on May 23, 2023. The Company estimated the fair value of the warrants using a Black-Scholes options pricing model and concluded it is approximately $</w:t>
      </w:r>
      <w:bookmarkStart w:id="445" w:name="xdx_90E_eus-gaap--FairValueAdjustmentOfW"/>
      <w:bookmarkEnd w:id="445"/>
      <w:r>
        <w:rPr>
          <w:rFonts w:ascii="Times New Roman;Times;Serif" w:hAnsi="Times New Roman;Times;Serif"/>
          <w:b w:val="false"/>
          <w:i w:val="false"/>
          <w:caps w:val="false"/>
          <w:smallCaps w:val="false"/>
          <w:sz w:val="20"/>
        </w:rPr>
        <w:t>46.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23, 2023, the Company entered into a securities purchase agreement with an institutional investor, pursuant to which it agreed to issue and sell in a registered direct offering (i) an aggregate of </w:t>
      </w:r>
      <w:bookmarkStart w:id="446" w:name="xdx_900_eus-gaap--StockIssuedDuringPerio"/>
      <w:bookmarkEnd w:id="446"/>
      <w:r>
        <w:rPr>
          <w:rFonts w:ascii="Times New Roman;Times;Serif" w:hAnsi="Times New Roman;Times;Serif"/>
          <w:b w:val="false"/>
          <w:i w:val="false"/>
          <w:caps w:val="false"/>
          <w:smallCaps w:val="false"/>
          <w:sz w:val="20"/>
        </w:rPr>
        <w:t>975,000 shares of common stock, at an offering price of $</w:t>
      </w:r>
      <w:bookmarkStart w:id="447" w:name="xdx_903_eus-gaap--SharesIssuedPricePerSh"/>
      <w:bookmarkEnd w:id="447"/>
      <w:r>
        <w:rPr>
          <w:rFonts w:ascii="Times New Roman;Times;Serif" w:hAnsi="Times New Roman;Times;Serif"/>
          <w:b w:val="false"/>
          <w:i w:val="false"/>
          <w:caps w:val="false"/>
          <w:smallCaps w:val="false"/>
          <w:sz w:val="20"/>
        </w:rPr>
        <w:t xml:space="preserve">2.20 per share and (ii) pre-funded warrants exercisable for up to </w:t>
      </w:r>
      <w:bookmarkStart w:id="448" w:name="xdx_900_eus-gaap--ClassOfWarrantOrRightN"/>
      <w:bookmarkEnd w:id="448"/>
      <w:r>
        <w:rPr>
          <w:rFonts w:ascii="Times New Roman;Times;Serif" w:hAnsi="Times New Roman;Times;Serif"/>
          <w:b w:val="false"/>
          <w:i w:val="false"/>
          <w:caps w:val="false"/>
          <w:smallCaps w:val="false"/>
          <w:sz w:val="20"/>
        </w:rPr>
        <w:t>234,500 shares of the Company’s common stock, at an offering price of $</w:t>
      </w:r>
      <w:bookmarkStart w:id="449" w:name="xdx_90F_eus-gaap--SharesIssuedPricePerSh"/>
      <w:bookmarkEnd w:id="449"/>
      <w:r>
        <w:rPr>
          <w:rFonts w:ascii="Times New Roman;Times;Serif" w:hAnsi="Times New Roman;Times;Serif"/>
          <w:b w:val="false"/>
          <w:i w:val="false"/>
          <w:caps w:val="false"/>
          <w:smallCaps w:val="false"/>
          <w:sz w:val="20"/>
        </w:rPr>
        <w:t>2.1999 per pre-funded warrant, for aggregate gross proceeds of $</w:t>
      </w:r>
      <w:bookmarkStart w:id="450" w:name="xdx_90A_eus-gaap--ProceedsFromIssuanceOf"/>
      <w:bookmarkEnd w:id="450"/>
      <w:r>
        <w:rPr>
          <w:rFonts w:ascii="Times New Roman;Times;Serif" w:hAnsi="Times New Roman;Times;Serif"/>
          <w:b w:val="false"/>
          <w:i w:val="false"/>
          <w:caps w:val="false"/>
          <w:smallCaps w:val="false"/>
          <w:sz w:val="20"/>
        </w:rPr>
        <w:t>2,661 before deducting the placement agent fee and related offering expenses of approximately $</w:t>
      </w:r>
      <w:bookmarkStart w:id="451" w:name="xdx_905_eus-gaap--DeferredOfferingCosts_"/>
      <w:bookmarkEnd w:id="451"/>
      <w:r>
        <w:rPr>
          <w:rFonts w:ascii="Times New Roman;Times;Serif" w:hAnsi="Times New Roman;Times;Serif"/>
          <w:b w:val="false"/>
          <w:i w:val="false"/>
          <w:caps w:val="false"/>
          <w:smallCaps w:val="false"/>
          <w:sz w:val="20"/>
        </w:rPr>
        <w:t>345 (the “Second May Offering”). The pre-funded warrants are exercisable immediately and may be exercised at any time until the pre-funded warrants are exercised in full. The Second May Offering was consummated on May 24, 2023. All of such pre-funded warrants were subsequently immediately exercised in accordance with their terms at an exercise price per share of $</w:t>
      </w:r>
      <w:bookmarkStart w:id="452" w:name="xdx_90B_eus-gaap--SharesIssuedPricePerSh"/>
      <w:bookmarkEnd w:id="452"/>
      <w:r>
        <w:rPr>
          <w:rFonts w:ascii="Times New Roman;Times;Serif" w:hAnsi="Times New Roman;Times;Serif"/>
          <w:b w:val="false"/>
          <w:i w:val="false"/>
          <w:caps w:val="false"/>
          <w:smallCaps w:val="false"/>
          <w:sz w:val="20"/>
        </w:rPr>
        <w:t>0.0001 into an equivalent number of shares of common stock.</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issued to Wainwright or its designees preferred investment options to purchase </w:t>
      </w:r>
      <w:bookmarkStart w:id="453" w:name="xdx_90D_eus-gaap--StockIssuedDuringPerio"/>
      <w:bookmarkEnd w:id="453"/>
      <w:r>
        <w:rPr>
          <w:rFonts w:ascii="Times New Roman;Times;Serif" w:hAnsi="Times New Roman;Times;Serif"/>
          <w:b w:val="false"/>
          <w:i w:val="false"/>
          <w:caps w:val="false"/>
          <w:smallCaps w:val="false"/>
          <w:sz w:val="20"/>
        </w:rPr>
        <w:t>60,476 shares of common stock, which have a term of three and one-half years from the closing of the Second May Offering, and have an exercise price of $</w:t>
      </w:r>
      <w:bookmarkStart w:id="454" w:name="xdx_906_eus-gaap--SharesIssuedPricePerSh"/>
      <w:bookmarkEnd w:id="454"/>
      <w:r>
        <w:rPr>
          <w:rFonts w:ascii="Times New Roman;Times;Serif" w:hAnsi="Times New Roman;Times;Serif"/>
          <w:b w:val="false"/>
          <w:i w:val="false"/>
          <w:caps w:val="false"/>
          <w:smallCaps w:val="false"/>
          <w:sz w:val="20"/>
        </w:rPr>
        <w:t>2.75 per share. The Company estimated the fair value of the warrants using a Black-Scholes options pricing model and concluded it is approximately $</w:t>
      </w:r>
      <w:bookmarkStart w:id="455" w:name="xdx_909_eus-gaap--FairValueAdjustmentOfW"/>
      <w:bookmarkEnd w:id="455"/>
      <w:r>
        <w:rPr>
          <w:rFonts w:ascii="Times New Roman;Times;Serif" w:hAnsi="Times New Roman;Times;Serif"/>
          <w:b w:val="false"/>
          <w:i w:val="false"/>
          <w:caps w:val="false"/>
          <w:smallCaps w:val="false"/>
          <w:sz w:val="20"/>
        </w:rPr>
        <w:t>72.</w:t>
      </w:r>
    </w:p>
    <w:p>
      <w:pPr>
        <w:pStyle w:val="TextBody"/>
        <w:bidi w:val="0"/>
        <w:spacing w:before="0" w:after="0"/>
        <w:ind w:left="36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993" w:right="0" w:hanging="99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10 - SHARE CAPITAL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Registered Direct and Private Placement Offerings: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 2023, the Company entered into a securities purchase agreement with institutional investors, pursuant to which it agreed to issue and sell in a registered direct offering an aggregate of </w:t>
      </w:r>
      <w:bookmarkStart w:id="456" w:name="xdx_906_eus-gaap--StockIssuedDuringPerio"/>
      <w:bookmarkEnd w:id="456"/>
      <w:r>
        <w:rPr>
          <w:rFonts w:ascii="Times New Roman;Times;Serif" w:hAnsi="Times New Roman;Times;Serif"/>
          <w:b w:val="false"/>
          <w:i w:val="false"/>
          <w:caps w:val="false"/>
          <w:smallCaps w:val="false"/>
          <w:sz w:val="20"/>
        </w:rPr>
        <w:t>701,756 shares of common stock, at an offering price of $</w:t>
      </w:r>
      <w:bookmarkStart w:id="457" w:name="xdx_907_eus-gaap--SharesIssuedPricePerSh"/>
      <w:bookmarkEnd w:id="457"/>
      <w:r>
        <w:rPr>
          <w:rFonts w:ascii="Times New Roman;Times;Serif" w:hAnsi="Times New Roman;Times;Serif"/>
          <w:b w:val="false"/>
          <w:i w:val="false"/>
          <w:caps w:val="false"/>
          <w:smallCaps w:val="false"/>
          <w:sz w:val="20"/>
        </w:rPr>
        <w:t>2.1375 per share, for aggregate gross proceeds, with the concurrent private placement described below, of $</w:t>
      </w:r>
      <w:bookmarkStart w:id="458" w:name="xdx_909_eus-gaap--ProceedsFromIssuanceOf"/>
      <w:bookmarkEnd w:id="458"/>
      <w:r>
        <w:rPr>
          <w:rFonts w:ascii="Times New Roman;Times;Serif" w:hAnsi="Times New Roman;Times;Serif"/>
          <w:b w:val="false"/>
          <w:i w:val="false"/>
          <w:caps w:val="false"/>
          <w:smallCaps w:val="false"/>
          <w:sz w:val="20"/>
        </w:rPr>
        <w:t>1,500 before deducting the placement agent fee and related offering expenses of approximately $</w:t>
      </w:r>
      <w:bookmarkStart w:id="459" w:name="xdx_90B_eus-gaap--DeferredOfferingCosts_"/>
      <w:bookmarkEnd w:id="459"/>
      <w:r>
        <w:rPr>
          <w:rFonts w:ascii="Times New Roman;Times;Serif" w:hAnsi="Times New Roman;Times;Serif"/>
          <w:b w:val="false"/>
          <w:i w:val="false"/>
          <w:caps w:val="false"/>
          <w:smallCaps w:val="false"/>
          <w:sz w:val="20"/>
        </w:rPr>
        <w:t xml:space="preserve">227 (the “First June Offering”). The Company also issued to Wainwright or its designees preferred investment options to purchase </w:t>
      </w:r>
      <w:bookmarkStart w:id="460" w:name="xdx_903_eus-gaap--StockIssuedDuringPerio"/>
      <w:bookmarkEnd w:id="460"/>
      <w:r>
        <w:rPr>
          <w:rFonts w:ascii="Times New Roman;Times;Serif" w:hAnsi="Times New Roman;Times;Serif"/>
          <w:b w:val="false"/>
          <w:i w:val="false"/>
          <w:caps w:val="false"/>
          <w:smallCaps w:val="false"/>
          <w:sz w:val="20"/>
        </w:rPr>
        <w:t>35,088 shares of its common stock, which have a term of five years from the commencement of sales in the First June Offering, and have an exercise price of $</w:t>
      </w:r>
      <w:bookmarkStart w:id="461" w:name="xdx_90B_eus-gaap--SharesIssuedPricePerSh"/>
      <w:bookmarkEnd w:id="461"/>
      <w:r>
        <w:rPr>
          <w:rFonts w:ascii="Times New Roman;Times;Serif" w:hAnsi="Times New Roman;Times;Serif"/>
          <w:b w:val="false"/>
          <w:i w:val="false"/>
          <w:caps w:val="false"/>
          <w:smallCaps w:val="false"/>
          <w:sz w:val="20"/>
        </w:rPr>
        <w:t>2.6719 per share. The Company estimated the fair value of the warrants using a Black-Scholes options pricing model and concluded it is approximately $</w:t>
      </w:r>
      <w:bookmarkStart w:id="462" w:name="xdx_903_eus-gaap--FairValueAdjustmentOfW"/>
      <w:bookmarkEnd w:id="462"/>
      <w:r>
        <w:rPr>
          <w:rFonts w:ascii="Times New Roman;Times;Serif" w:hAnsi="Times New Roman;Times;Serif"/>
          <w:b w:val="false"/>
          <w:i w:val="false"/>
          <w:caps w:val="false"/>
          <w:smallCaps w:val="false"/>
          <w:sz w:val="20"/>
        </w:rPr>
        <w:t xml:space="preserve">58. The registered direct offering was consummated on June 6, 2023. In a concurrent private placement, the Company also issued to the purchasers of shares of common stock in the First June Offering, series C preferred investment options to purchase up to </w:t>
      </w:r>
      <w:bookmarkStart w:id="463" w:name="xdx_909_eus-gaap--StockIssuedDuringPerio"/>
      <w:bookmarkEnd w:id="463"/>
      <w:r>
        <w:rPr>
          <w:rFonts w:ascii="Times New Roman;Times;Serif" w:hAnsi="Times New Roman;Times;Serif"/>
          <w:b w:val="false"/>
          <w:i w:val="false"/>
          <w:caps w:val="false"/>
          <w:smallCaps w:val="false"/>
          <w:sz w:val="20"/>
        </w:rPr>
        <w:t>350,878 shares of common stock. Each series C preferred investment option is exercisable for one share of common stock at an exercise price of $</w:t>
      </w:r>
      <w:bookmarkStart w:id="464" w:name="xdx_900_eus-gaap--SharesIssuedPricePerSh"/>
      <w:bookmarkEnd w:id="464"/>
      <w:r>
        <w:rPr>
          <w:rFonts w:ascii="Times New Roman;Times;Serif" w:hAnsi="Times New Roman;Times;Serif"/>
          <w:b w:val="false"/>
          <w:i w:val="false"/>
          <w:caps w:val="false"/>
          <w:smallCaps w:val="false"/>
          <w:sz w:val="20"/>
        </w:rPr>
        <w:t xml:space="preserve">2.075 commencing on the date of issuance and expiring five and one-half years from the issuance date.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26, 2023, the Company entered into a securities purchase agreement with institutional investors, pursuant to which it agreed to issue and sell in a registered direct offering an aggregate of </w:t>
      </w:r>
      <w:bookmarkStart w:id="465" w:name="xdx_901_eus-gaap--StockIssuedDuringPerio"/>
      <w:bookmarkEnd w:id="465"/>
      <w:r>
        <w:rPr>
          <w:rFonts w:ascii="Times New Roman;Times;Serif" w:hAnsi="Times New Roman;Times;Serif"/>
          <w:b w:val="false"/>
          <w:i w:val="false"/>
          <w:caps w:val="false"/>
          <w:smallCaps w:val="false"/>
          <w:sz w:val="20"/>
        </w:rPr>
        <w:t>624,618 shares of its common stock, at an offering price of $</w:t>
      </w:r>
      <w:bookmarkStart w:id="466" w:name="xdx_909_eus-gaap--SharesIssuedPricePerSh"/>
      <w:bookmarkEnd w:id="466"/>
      <w:r>
        <w:rPr>
          <w:rFonts w:ascii="Times New Roman;Times;Serif" w:hAnsi="Times New Roman;Times;Serif"/>
          <w:b w:val="false"/>
          <w:i w:val="false"/>
          <w:caps w:val="false"/>
          <w:smallCaps w:val="false"/>
          <w:sz w:val="20"/>
        </w:rPr>
        <w:t>3.25 per share, for aggregate gross proceeds, with the concurrent private placement described below, of $</w:t>
      </w:r>
      <w:bookmarkStart w:id="467" w:name="xdx_90E_eus-gaap--ProceedsFromIssuanceOf"/>
      <w:bookmarkEnd w:id="467"/>
      <w:r>
        <w:rPr>
          <w:rFonts w:ascii="Times New Roman;Times;Serif" w:hAnsi="Times New Roman;Times;Serif"/>
          <w:b w:val="false"/>
          <w:i w:val="false"/>
          <w:caps w:val="false"/>
          <w:smallCaps w:val="false"/>
          <w:sz w:val="20"/>
        </w:rPr>
        <w:t>2,030 before deducting the placement agent fee and related offering expenses of approximately $</w:t>
      </w:r>
      <w:bookmarkStart w:id="468" w:name="xdx_902_eus-gaap--DeferredOfferingCosts_"/>
      <w:bookmarkEnd w:id="468"/>
      <w:r>
        <w:rPr>
          <w:rFonts w:ascii="Times New Roman;Times;Serif" w:hAnsi="Times New Roman;Times;Serif"/>
          <w:b w:val="false"/>
          <w:i w:val="false"/>
          <w:caps w:val="false"/>
          <w:smallCaps w:val="false"/>
          <w:sz w:val="20"/>
        </w:rPr>
        <w:t xml:space="preserve">281 (the “Second June Offering”). The Company also issued to Wainwright or its designees preferred investment options to purchase </w:t>
      </w:r>
      <w:bookmarkStart w:id="469" w:name="xdx_902_eus-gaap--StockIssuedDuringPerio"/>
      <w:bookmarkEnd w:id="469"/>
      <w:r>
        <w:rPr>
          <w:rFonts w:ascii="Times New Roman;Times;Serif" w:hAnsi="Times New Roman;Times;Serif"/>
          <w:b w:val="false"/>
          <w:i w:val="false"/>
          <w:caps w:val="false"/>
          <w:smallCaps w:val="false"/>
          <w:sz w:val="20"/>
        </w:rPr>
        <w:t>31,231 shares of its common stock, which have a term of five years from the commencement of sales in the Second June Offering, and have an exercise price of $</w:t>
      </w:r>
      <w:bookmarkStart w:id="470" w:name="xdx_904_eus-gaap--SharesIssuedPricePerSh"/>
      <w:bookmarkEnd w:id="470"/>
      <w:r>
        <w:rPr>
          <w:rFonts w:ascii="Times New Roman;Times;Serif" w:hAnsi="Times New Roman;Times;Serif"/>
          <w:b w:val="false"/>
          <w:i w:val="false"/>
          <w:caps w:val="false"/>
          <w:smallCaps w:val="false"/>
          <w:sz w:val="20"/>
        </w:rPr>
        <w:t>4.0625 per share. The Company estimated the fair value of the warrants using a Black-Scholes options pricing model and concluded it is approximately $</w:t>
      </w:r>
      <w:bookmarkStart w:id="471" w:name="xdx_90F_eus-gaap--FairValueAdjustmentOfW"/>
      <w:bookmarkEnd w:id="471"/>
      <w:r>
        <w:rPr>
          <w:rFonts w:ascii="Times New Roman;Times;Serif" w:hAnsi="Times New Roman;Times;Serif"/>
          <w:b w:val="false"/>
          <w:i w:val="false"/>
          <w:caps w:val="false"/>
          <w:smallCaps w:val="false"/>
          <w:sz w:val="20"/>
        </w:rPr>
        <w:t xml:space="preserve">68. The registered direct offering was consummated on June 28, 2023. In a concurrent private placement, the Company also issued to the purchasers of shares of common stock in the Second June Offering, series D preferred investment options to purchase up to </w:t>
      </w:r>
      <w:bookmarkStart w:id="472" w:name="xdx_904_eus-gaap--StockIssuedDuringPerio"/>
      <w:bookmarkEnd w:id="472"/>
      <w:r>
        <w:rPr>
          <w:rFonts w:ascii="Times New Roman;Times;Serif" w:hAnsi="Times New Roman;Times;Serif"/>
          <w:b w:val="false"/>
          <w:i w:val="false"/>
          <w:caps w:val="false"/>
          <w:smallCaps w:val="false"/>
          <w:sz w:val="20"/>
        </w:rPr>
        <w:t>312,309 shares of the Company’s common stock. Each series D preferred investment option is exercisable for one share of common stock at an exercise price of $</w:t>
      </w:r>
      <w:bookmarkStart w:id="473" w:name="xdx_90F_eus-gaap--SharesIssuedPricePerSh"/>
      <w:bookmarkEnd w:id="473"/>
      <w:r>
        <w:rPr>
          <w:rFonts w:ascii="Times New Roman;Times;Serif" w:hAnsi="Times New Roman;Times;Serif"/>
          <w:b w:val="false"/>
          <w:i w:val="false"/>
          <w:caps w:val="false"/>
          <w:smallCaps w:val="false"/>
          <w:sz w:val="20"/>
        </w:rPr>
        <w:t xml:space="preserve">3.19 commencing on the date of issuance and expiring five and one-half years from the issuance date.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of the Company are recognized as equity under the requirements of ASC Topic 505 Equity.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analyzed the accounting treatment for the series A preferred investment option, the series B preferred investment option, the series C preferred investment option, the series D preferred investment option, and all of the pre-funded warrants issued to investors. Based on the Company’s analysis all such warrants were classified as equity.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analyzed the accounting treatment for all of the preferred investment options issued to Wainwright in the aforementioned offerings. Since the Company did not identify any features causing liability classification according to ASC 718, it concluded that all such preferred investment options are equity-classified awards.</w:t>
      </w:r>
    </w:p>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Preferred investment options amendment: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Second May Offering, the Company amended the terms of (i) the Series A preferred investment options to purchase </w:t>
      </w:r>
      <w:bookmarkStart w:id="474" w:name="xdx_904_eus-gaap--StockIssuedDuringPerio"/>
      <w:bookmarkEnd w:id="474"/>
      <w:r>
        <w:rPr>
          <w:rFonts w:ascii="Times New Roman;Times;Serif" w:hAnsi="Times New Roman;Times;Serif"/>
          <w:b w:val="false"/>
          <w:i w:val="false"/>
          <w:caps w:val="false"/>
          <w:smallCaps w:val="false"/>
          <w:sz w:val="20"/>
        </w:rPr>
        <w:t>1,022,495 shares of its common stock for an exercise price of $</w:t>
      </w:r>
      <w:bookmarkStart w:id="475" w:name="xdx_90B_eus-gaap--SharesIssuedPricePerSh"/>
      <w:bookmarkEnd w:id="475"/>
      <w:r>
        <w:rPr>
          <w:rFonts w:ascii="Times New Roman;Times;Serif" w:hAnsi="Times New Roman;Times;Serif"/>
          <w:b w:val="false"/>
          <w:i w:val="false"/>
          <w:caps w:val="false"/>
          <w:smallCaps w:val="false"/>
          <w:sz w:val="20"/>
        </w:rPr>
        <w:t xml:space="preserve">4.64 per share which are scheduled to expire on </w:t>
      </w:r>
      <w:bookmarkStart w:id="476" w:name="xdx_90E_eus-gaap--ShareBasedCompensation"/>
      <w:bookmarkEnd w:id="476"/>
      <w:r>
        <w:rPr>
          <w:rFonts w:ascii="Times New Roman;Times;Serif" w:hAnsi="Times New Roman;Times;Serif"/>
          <w:b w:val="false"/>
          <w:i w:val="false"/>
          <w:caps w:val="false"/>
          <w:smallCaps w:val="false"/>
          <w:sz w:val="20"/>
        </w:rPr>
        <w:t xml:space="preserve">October 25, 2027 and (ii) the Series B preferred investment options to purchase </w:t>
      </w:r>
      <w:bookmarkStart w:id="477" w:name="xdx_902_eus-gaap--StockIssuedDuringPerio"/>
      <w:bookmarkEnd w:id="477"/>
      <w:r>
        <w:rPr>
          <w:rFonts w:ascii="Times New Roman;Times;Serif" w:hAnsi="Times New Roman;Times;Serif"/>
          <w:b w:val="false"/>
          <w:i w:val="false"/>
          <w:caps w:val="false"/>
          <w:smallCaps w:val="false"/>
          <w:sz w:val="20"/>
        </w:rPr>
        <w:t>1,022,495 shares of its common stock for an exercise price of $</w:t>
      </w:r>
      <w:bookmarkStart w:id="478" w:name="xdx_909_eus-gaap--SharesIssuedPricePerSh"/>
      <w:bookmarkEnd w:id="478"/>
      <w:r>
        <w:rPr>
          <w:rFonts w:ascii="Times New Roman;Times;Serif" w:hAnsi="Times New Roman;Times;Serif"/>
          <w:b w:val="false"/>
          <w:i w:val="false"/>
          <w:caps w:val="false"/>
          <w:smallCaps w:val="false"/>
          <w:sz w:val="20"/>
        </w:rPr>
        <w:t xml:space="preserve">4.64 per share which were initially scheduled to expire on </w:t>
      </w:r>
      <w:bookmarkStart w:id="479" w:name="xdx_906_eus-gaap--ShareBasedCompensation"/>
      <w:bookmarkEnd w:id="479"/>
      <w:r>
        <w:rPr>
          <w:rFonts w:ascii="Times New Roman;Times;Serif" w:hAnsi="Times New Roman;Times;Serif"/>
          <w:b w:val="false"/>
          <w:i w:val="false"/>
          <w:caps w:val="false"/>
          <w:smallCaps w:val="false"/>
          <w:sz w:val="20"/>
        </w:rPr>
        <w:t>October 25, 2024 (the “Series B Preferred Investment Options”), in each case previously issued to the investor in October 2022 under the securities purchase agreement dated October 21, 2022 (collectively, the “Existing Preferred Investment Options”), which investor also participated in the Second May Offering, such that effective upon the closing of the Second May Offering, the Existing Preferred Investment Options have a reduced exercise price of $</w:t>
      </w:r>
      <w:bookmarkStart w:id="480" w:name="xdx_905_eus-gaap--ShareBasedCompensation"/>
      <w:bookmarkEnd w:id="480"/>
      <w:r>
        <w:rPr>
          <w:rFonts w:ascii="Times New Roman;Times;Serif" w:hAnsi="Times New Roman;Times;Serif"/>
          <w:b w:val="false"/>
          <w:i w:val="false"/>
          <w:caps w:val="false"/>
          <w:smallCaps w:val="false"/>
          <w:sz w:val="20"/>
        </w:rPr>
        <w:t xml:space="preserve">2.20 per share and the Series B Preferred Investment Options expire on </w:t>
      </w:r>
      <w:bookmarkStart w:id="481" w:name="xdx_900_eus-gaap--ShareBasedCompensation"/>
      <w:bookmarkEnd w:id="481"/>
      <w:r>
        <w:rPr>
          <w:rFonts w:ascii="Times New Roman;Times;Serif" w:hAnsi="Times New Roman;Times;Serif"/>
          <w:b w:val="false"/>
          <w:i w:val="false"/>
          <w:caps w:val="false"/>
          <w:smallCaps w:val="false"/>
          <w:sz w:val="20"/>
        </w:rPr>
        <w:t>October 25, 2027. These modifications to the Existing Preferred Investment Options represent issuance costs associated with the Second May Offering. The Company estimated the amount of the effect of the modifications using a Black-Scholes option pricing model and concluded that is approximately $</w:t>
      </w:r>
      <w:bookmarkStart w:id="482" w:name="xdx_905_eus-gaap--FairValueAdjustmentOfW"/>
      <w:bookmarkEnd w:id="482"/>
      <w:r>
        <w:rPr>
          <w:rFonts w:ascii="Times New Roman;Times;Serif" w:hAnsi="Times New Roman;Times;Serif"/>
          <w:b w:val="false"/>
          <w:i w:val="false"/>
          <w:caps w:val="false"/>
          <w:smallCaps w:val="false"/>
          <w:sz w:val="20"/>
        </w:rPr>
        <w:t xml:space="preserve">1,230. On June 16, 2023, the holder of the Series B Preferred Investment Options exercised all of such Series B Preferred Investment Options pursuant to its cashless exercise provision into </w:t>
      </w:r>
      <w:bookmarkStart w:id="483" w:name="xdx_903_eus-gaap--StockIssuedDuringPerio"/>
      <w:bookmarkEnd w:id="483"/>
      <w:r>
        <w:rPr>
          <w:rFonts w:ascii="Times New Roman;Times;Serif" w:hAnsi="Times New Roman;Times;Serif"/>
          <w:b w:val="false"/>
          <w:i w:val="false"/>
          <w:caps w:val="false"/>
          <w:smallCaps w:val="false"/>
          <w:sz w:val="20"/>
        </w:rPr>
        <w:t>385,246 shares of common stock.</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484" w:name="xdx_89E_ecustom--ScheduleOfGrantDateFair"/>
      <w:bookmarkEnd w:id="484"/>
      <w:r>
        <w:rPr>
          <w:rFonts w:ascii="Times New Roman;Times;Serif" w:hAnsi="Times New Roman;Times;Serif"/>
          <w:b w:val="false"/>
          <w:i w:val="false"/>
          <w:caps w:val="false"/>
          <w:smallCaps w:val="false"/>
          <w:sz w:val="20"/>
        </w:rPr>
        <w:t>The grant date fair values of preferred investment options issued to Wainwright and preferred investment options issued to investors that were modified in the years ended December 31, 2023 and 2022 were estimated using the Black-Scholes valuation model with the following:</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bookmarkStart w:id="485" w:name="xdx_8B6_zIgB9hmNvmki"/>
      <w:bookmarkEnd w:id="485"/>
      <w:r>
        <w:rPr>
          <w:rFonts w:ascii="Times New Roman;Times;Serif" w:hAnsi="Times New Roman;Times;Serif"/>
          <w:b w:val="false"/>
          <w:i w:val="false"/>
          <w:caps w:val="false"/>
          <w:smallCaps w:val="false"/>
          <w:sz w:val="20"/>
        </w:rPr>
        <w:t>SCHEDULE OF GRANT DATE FAIR VALUE OF PREFERRED INVESTMENT OPTIONS ISSUED TO INVESTORS</w:t>
      </w:r>
    </w:p>
    <w:tbl>
      <w:tblPr>
        <w:tblW w:w="4400" w:type="dxa"/>
        <w:jc w:val="left"/>
        <w:tblInd w:w="0" w:type="dxa"/>
        <w:tblLayout w:type="fixed"/>
        <w:tblCellMar>
          <w:top w:w="0" w:type="dxa"/>
          <w:left w:w="0" w:type="dxa"/>
          <w:bottom w:w="0" w:type="dxa"/>
          <w:right w:w="0" w:type="dxa"/>
        </w:tblCellMar>
      </w:tblPr>
      <w:tblGrid>
        <w:gridCol w:w="1865"/>
        <w:gridCol w:w="60"/>
        <w:gridCol w:w="60"/>
        <w:gridCol w:w="1550"/>
        <w:gridCol w:w="60"/>
        <w:gridCol w:w="60"/>
        <w:gridCol w:w="60"/>
        <w:gridCol w:w="485"/>
        <w:gridCol w:w="200"/>
      </w:tblGrid>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5" w:type="dxa"/>
            <w:gridSpan w:val="6"/>
            <w:tcBorders>
              <w:bottom w:val="single" w:sz="12" w:space="0" w:color="000000"/>
            </w:tcBorders>
            <w:tcMar>
              <w:bottom w:w="28" w:type="dxa"/>
            </w:tcMar>
            <w:vAlign w:val="center"/>
          </w:tcPr>
          <w:p>
            <w:pPr>
              <w:pStyle w:val="TableContents"/>
              <w:bidi w:val="0"/>
              <w:jc w:val="center"/>
              <w:rPr>
                <w:b/>
                <w:sz w:val="20"/>
              </w:rPr>
            </w:pPr>
            <w:r>
              <w:rPr>
                <w:b/>
                <w:sz w:val="20"/>
              </w:rPr>
              <w:t>For the Years Ended</w:t>
            </w:r>
          </w:p>
          <w:p>
            <w:pPr>
              <w:pStyle w:val="TableContents"/>
              <w:bidi w:val="0"/>
              <w:spacing w:before="0" w:after="283"/>
              <w:jc w:val="center"/>
              <w:rPr>
                <w:b/>
                <w:sz w:val="20"/>
              </w:rPr>
            </w:pPr>
            <w:r>
              <w:rPr>
                <w:b/>
                <w:sz w:val="20"/>
              </w:rPr>
              <w:t>December 31,</w:t>
            </w:r>
          </w:p>
        </w:tc>
        <w:tc>
          <w:tcPr>
            <w:tcW w:w="20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2022</w:t>
            </w:r>
          </w:p>
        </w:tc>
        <w:tc>
          <w:tcPr>
            <w:tcW w:w="200"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sz w:val="20"/>
              </w:rPr>
            </w:pPr>
            <w:r>
              <w:rPr>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right"/>
              <w:rPr>
                <w:sz w:val="20"/>
              </w:rPr>
            </w:pPr>
            <w:bookmarkStart w:id="486" w:name="xdx_909_eus-gaap--WarrantsAndRightsOutst"/>
            <w:bookmarkEnd w:id="486"/>
            <w:r>
              <w:rPr>
                <w:sz w:val="20"/>
              </w:rPr>
              <w:t>101.31%-</w:t>
            </w:r>
            <w:bookmarkStart w:id="487" w:name="xdx_901_eus-gaap--WarrantsAndRightsOutst"/>
            <w:bookmarkEnd w:id="487"/>
            <w:r>
              <w:rPr>
                <w:sz w:val="20"/>
              </w:rPr>
              <w:t>122.39%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bookmarkStart w:id="488" w:name="xdx_908_eus-gaap--WarrantsAndRightsOutst"/>
            <w:bookmarkEnd w:id="488"/>
            <w:r>
              <w:rPr>
                <w:sz w:val="20"/>
              </w:rPr>
              <w:t>87.96</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1865" w:type="dxa"/>
            <w:tcBorders/>
            <w:shd w:fill="FFFFFF" w:val="clear"/>
            <w:vAlign w:val="center"/>
          </w:tcPr>
          <w:p>
            <w:pPr>
              <w:pStyle w:val="TableContents"/>
              <w:bidi w:val="0"/>
              <w:spacing w:before="0" w:after="283"/>
              <w:jc w:val="left"/>
              <w:rPr>
                <w:sz w:val="20"/>
              </w:rPr>
            </w:pPr>
            <w:r>
              <w:rPr>
                <w:sz w:val="20"/>
              </w:rPr>
              <w:t>Risk-free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right"/>
              <w:rPr>
                <w:sz w:val="20"/>
              </w:rPr>
            </w:pPr>
            <w:bookmarkStart w:id="489" w:name="xdx_905_eus-gaap--WarrantsAndRightsOutst"/>
            <w:bookmarkEnd w:id="489"/>
            <w:r>
              <w:rPr>
                <w:sz w:val="20"/>
              </w:rPr>
              <w:t xml:space="preserve">3.85%- </w:t>
            </w:r>
            <w:bookmarkStart w:id="490" w:name="xdx_905_eus-gaap--WarrantsAndRightsOutst"/>
            <w:bookmarkEnd w:id="490"/>
            <w:r>
              <w:rPr>
                <w:sz w:val="20"/>
              </w:rPr>
              <w:t>4.93%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bookmarkStart w:id="491" w:name="xdx_90E_eus-gaap--WarrantsAndRightsOutst"/>
            <w:bookmarkEnd w:id="491"/>
            <w:r>
              <w:rPr>
                <w:sz w:val="20"/>
              </w:rPr>
              <w:t>4.25</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1865" w:type="dxa"/>
            <w:tcBorders/>
            <w:shd w:fill="CCEEFF" w:val="clear"/>
            <w:vAlign w:val="center"/>
          </w:tcPr>
          <w:p>
            <w:pPr>
              <w:pStyle w:val="TableContents"/>
              <w:bidi w:val="0"/>
              <w:spacing w:before="0" w:after="283"/>
              <w:jc w:val="left"/>
              <w:rPr>
                <w:sz w:val="20"/>
              </w:rPr>
            </w:pPr>
            <w:r>
              <w:rPr>
                <w:sz w:val="20"/>
              </w:rPr>
              <w:t>Dividend yield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right"/>
              <w:rPr>
                <w:sz w:val="20"/>
              </w:rPr>
            </w:pPr>
            <w:bookmarkStart w:id="492" w:name="xdx_90C_eus-gaap--WarrantsAndRightsOutst"/>
            <w:bookmarkEnd w:id="492"/>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bookmarkStart w:id="493" w:name="xdx_906_eus-gaap--WarrantsAndRightsOutst"/>
            <w:bookmarkEnd w:id="493"/>
            <w:r>
              <w:rPr>
                <w:sz w:val="20"/>
              </w:rPr>
              <w:t>-%</w:t>
            </w:r>
          </w:p>
        </w:tc>
        <w:tc>
          <w:tcPr>
            <w:tcW w:w="20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sz w:val="20"/>
              </w:rPr>
            </w:pPr>
            <w:r>
              <w:rPr>
                <w:sz w:val="20"/>
              </w:rPr>
              <w:t>Expected terms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right"/>
              <w:rPr>
                <w:sz w:val="20"/>
              </w:rPr>
            </w:pPr>
            <w:bookmarkStart w:id="494" w:name="xdx_902_eus-gaap--WarrantsAndRightsOutst"/>
            <w:bookmarkEnd w:id="494"/>
            <w:r>
              <w:rPr>
                <w:sz w:val="20"/>
              </w:rPr>
              <w:t>1.42-</w:t>
            </w:r>
            <w:bookmarkStart w:id="495" w:name="xdx_909_eus-gaap--WarrantsAndRightsOutst"/>
            <w:bookmarkEnd w:id="495"/>
            <w:r>
              <w:rPr>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bookmarkStart w:id="496" w:name="xdx_903_eus-gaap--WarrantsAndRightsOutst"/>
            <w:bookmarkEnd w:id="496"/>
            <w:r>
              <w:rPr>
                <w:sz w:val="20"/>
              </w:rPr>
              <w:t>4.99</w:t>
            </w:r>
          </w:p>
        </w:tc>
        <w:tc>
          <w:tcPr>
            <w:tcW w:w="2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080" w:right="0" w:hanging="0"/>
        <w:jc w:val="both"/>
        <w:rPr>
          <w:caps w:val="false"/>
          <w:smallCaps w:val="false"/>
        </w:rPr>
      </w:pPr>
      <w:bookmarkStart w:id="497" w:name="xdx_8A3_zkniGLViaBf1"/>
      <w:bookmarkEnd w:id="49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993" w:right="0" w:hanging="99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10 - SHARE CAPITAL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Employee stock option grants: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2022, the Company granted to Mr. Harel Gadot, the Company’s Chairman of the Board, President and CEO (the “CEO”), options to purchase an aggregate of </w:t>
      </w:r>
      <w:bookmarkStart w:id="498" w:name="xdx_902_eus-gaap--ShareBasedCompensation"/>
      <w:bookmarkEnd w:id="498"/>
      <w:r>
        <w:rPr>
          <w:rFonts w:ascii="Times New Roman;Times;Serif" w:hAnsi="Times New Roman;Times;Serif"/>
          <w:b w:val="false"/>
          <w:i w:val="false"/>
          <w:caps w:val="false"/>
          <w:smallCaps w:val="false"/>
          <w:sz w:val="20"/>
        </w:rPr>
        <w:t>260,000 shares of the Company’s common stock, at an exercise price per share ranging from $</w:t>
      </w:r>
      <w:bookmarkStart w:id="499" w:name="xdx_90C_eus-gaap--ShareBasedCompensation"/>
      <w:bookmarkEnd w:id="499"/>
      <w:r>
        <w:rPr>
          <w:rFonts w:ascii="Times New Roman;Times;Serif" w:hAnsi="Times New Roman;Times;Serif"/>
          <w:b w:val="false"/>
          <w:i w:val="false"/>
          <w:caps w:val="false"/>
          <w:smallCaps w:val="false"/>
          <w:sz w:val="20"/>
        </w:rPr>
        <w:t>3.73-$</w:t>
      </w:r>
      <w:bookmarkStart w:id="500" w:name="xdx_903_eus-gaap--ShareBasedCompensation"/>
      <w:bookmarkEnd w:id="500"/>
      <w:r>
        <w:rPr>
          <w:rFonts w:ascii="Times New Roman;Times;Serif" w:hAnsi="Times New Roman;Times;Serif"/>
          <w:b w:val="false"/>
          <w:i w:val="false"/>
          <w:caps w:val="false"/>
          <w:smallCaps w:val="false"/>
          <w:sz w:val="20"/>
        </w:rPr>
        <w:t xml:space="preserve">6.48. The stock options vest over a period of </w:t>
      </w:r>
      <w:bookmarkStart w:id="501" w:name="xdx_909_eus-gaap--ShareBasedCompensation"/>
      <w:bookmarkEnd w:id="501"/>
      <w:r>
        <w:rPr>
          <w:rFonts w:ascii="Times New Roman;Times;Serif" w:hAnsi="Times New Roman;Times;Serif"/>
          <w:b w:val="false"/>
          <w:i w:val="false"/>
          <w:caps w:val="false"/>
          <w:smallCaps w:val="false"/>
          <w:sz w:val="20"/>
        </w:rPr>
        <w:t>three years as outlined in the option agreements evidencing such grants.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2022, the Company granted to certain employees, consultants and directors, options to purchase an aggregate of </w:t>
      </w:r>
      <w:bookmarkStart w:id="502" w:name="xdx_90A_eus-gaap--ShareBasedCompensation"/>
      <w:bookmarkEnd w:id="502"/>
      <w:r>
        <w:rPr>
          <w:rFonts w:ascii="Times New Roman;Times;Serif" w:hAnsi="Times New Roman;Times;Serif"/>
          <w:b w:val="false"/>
          <w:i w:val="false"/>
          <w:caps w:val="false"/>
          <w:smallCaps w:val="false"/>
          <w:sz w:val="20"/>
        </w:rPr>
        <w:t>270,822 shares of the Company’s common stock, at an exercise price per share ranging from $</w:t>
      </w:r>
      <w:bookmarkStart w:id="503" w:name="xdx_90F_eus-gaap--ShareBasedCompensation"/>
      <w:bookmarkEnd w:id="503"/>
      <w:r>
        <w:rPr>
          <w:rFonts w:ascii="Times New Roman;Times;Serif" w:hAnsi="Times New Roman;Times;Serif"/>
          <w:b w:val="false"/>
          <w:i w:val="false"/>
          <w:caps w:val="false"/>
          <w:smallCaps w:val="false"/>
          <w:sz w:val="20"/>
        </w:rPr>
        <w:t>3.73-$</w:t>
      </w:r>
      <w:bookmarkStart w:id="504" w:name="xdx_901_eus-gaap--ShareBasedCompensation"/>
      <w:bookmarkEnd w:id="504"/>
      <w:r>
        <w:rPr>
          <w:rFonts w:ascii="Times New Roman;Times;Serif" w:hAnsi="Times New Roman;Times;Serif"/>
          <w:b w:val="false"/>
          <w:i w:val="false"/>
          <w:caps w:val="false"/>
          <w:smallCaps w:val="false"/>
          <w:sz w:val="20"/>
        </w:rPr>
        <w:t xml:space="preserve">6.48. The stock options vest over a period of </w:t>
      </w:r>
      <w:bookmarkStart w:id="505" w:name="xdx_90A_eus-gaap--ShareBasedCompensation"/>
      <w:bookmarkEnd w:id="505"/>
      <w:r>
        <w:rPr>
          <w:rFonts w:ascii="Times New Roman;Times;Serif" w:hAnsi="Times New Roman;Times;Serif"/>
          <w:b w:val="false"/>
          <w:i w:val="false"/>
          <w:caps w:val="false"/>
          <w:smallCaps w:val="false"/>
          <w:sz w:val="20"/>
        </w:rPr>
        <w:t>three years as outlined in the option agreements evidencing such grants.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2023, the Company granted to the CEO, options to purchase an aggregate of </w:t>
      </w:r>
      <w:bookmarkStart w:id="506" w:name="xdx_90A_eus-gaap--ShareBasedCompensation"/>
      <w:bookmarkEnd w:id="506"/>
      <w:r>
        <w:rPr>
          <w:rFonts w:ascii="Times New Roman;Times;Serif" w:hAnsi="Times New Roman;Times;Serif"/>
          <w:b w:val="false"/>
          <w:i w:val="false"/>
          <w:caps w:val="false"/>
          <w:smallCaps w:val="false"/>
          <w:sz w:val="20"/>
        </w:rPr>
        <w:t>80,000 shares of the Company’s common stock, at an exercise price per share of $</w:t>
      </w:r>
      <w:bookmarkStart w:id="507" w:name="xdx_901_eus-gaap--ShareBasedCompensation"/>
      <w:bookmarkEnd w:id="507"/>
      <w:r>
        <w:rPr>
          <w:rFonts w:ascii="Times New Roman;Times;Serif" w:hAnsi="Times New Roman;Times;Serif"/>
          <w:b w:val="false"/>
          <w:i w:val="false"/>
          <w:caps w:val="false"/>
          <w:smallCaps w:val="false"/>
          <w:sz w:val="20"/>
        </w:rPr>
        <w:t xml:space="preserve">2.43. The stock options vest over a period of </w:t>
      </w:r>
      <w:bookmarkStart w:id="508" w:name="xdx_905_eus-gaap--ShareBasedCompensation"/>
      <w:bookmarkEnd w:id="508"/>
      <w:r>
        <w:rPr>
          <w:rFonts w:ascii="Times New Roman;Times;Serif" w:hAnsi="Times New Roman;Times;Serif"/>
          <w:b w:val="false"/>
          <w:i w:val="false"/>
          <w:caps w:val="false"/>
          <w:smallCaps w:val="false"/>
          <w:sz w:val="20"/>
        </w:rPr>
        <w:t>three years as outlined in the option agreements evidencing such grants.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2023, the Company granted stock option awards to certain officers, directors and employees to purchase an aggregate of </w:t>
      </w:r>
      <w:bookmarkStart w:id="509" w:name="xdx_907_eus-gaap--ShareBasedCompensation"/>
      <w:bookmarkEnd w:id="509"/>
      <w:r>
        <w:rPr>
          <w:rFonts w:ascii="Times New Roman;Times;Serif" w:hAnsi="Times New Roman;Times;Serif"/>
          <w:b w:val="false"/>
          <w:i w:val="false"/>
          <w:caps w:val="false"/>
          <w:smallCaps w:val="false"/>
          <w:sz w:val="20"/>
        </w:rPr>
        <w:t>631,308 shares of the Company’s common stock, at an exercise price per share ranging from $</w:t>
      </w:r>
      <w:bookmarkStart w:id="510" w:name="xdx_90D_eus-gaap--ShareBasedCompensation"/>
      <w:bookmarkEnd w:id="510"/>
      <w:r>
        <w:rPr>
          <w:rFonts w:ascii="Times New Roman;Times;Serif" w:hAnsi="Times New Roman;Times;Serif"/>
          <w:b w:val="false"/>
          <w:i w:val="false"/>
          <w:caps w:val="false"/>
          <w:smallCaps w:val="false"/>
          <w:sz w:val="20"/>
        </w:rPr>
        <w:t>1.16-$</w:t>
      </w:r>
      <w:bookmarkStart w:id="511" w:name="xdx_90E_eus-gaap--ShareBasedCompensation"/>
      <w:bookmarkEnd w:id="511"/>
      <w:r>
        <w:rPr>
          <w:rFonts w:ascii="Times New Roman;Times;Serif" w:hAnsi="Times New Roman;Times;Serif"/>
          <w:b w:val="false"/>
          <w:i w:val="false"/>
          <w:caps w:val="false"/>
          <w:smallCaps w:val="false"/>
          <w:sz w:val="20"/>
        </w:rPr>
        <w:t xml:space="preserve">3.48 with a vesting period of </w:t>
      </w:r>
      <w:bookmarkStart w:id="512" w:name="xdx_900_eus-gaap--ShareBasedCompensation"/>
      <w:bookmarkEnd w:id="512"/>
      <w:r>
        <w:rPr>
          <w:rFonts w:ascii="Times New Roman;Times;Serif" w:hAnsi="Times New Roman;Times;Serif"/>
          <w:b w:val="false"/>
          <w:i w:val="false"/>
          <w:caps w:val="false"/>
          <w:smallCaps w:val="false"/>
          <w:sz w:val="20"/>
        </w:rPr>
        <w:t>three years.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option activity related to options to employees and directors, and related information is as follows:</w:t>
      </w:r>
    </w:p>
    <w:p>
      <w:pPr>
        <w:pStyle w:val="TextBody"/>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993" w:right="0" w:hanging="99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10 - SHARE CAPITAL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Employee stock option grants: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513" w:name="xdx_8B9_zOdT4crBTSNa"/>
      <w:bookmarkStart w:id="514" w:name="xdx_89D_eus-gaap--ScheduleOfShareBasedCo"/>
      <w:bookmarkEnd w:id="513"/>
      <w:bookmarkEnd w:id="514"/>
      <w:r>
        <w:rPr>
          <w:rFonts w:ascii="Times New Roman;Times;Serif" w:hAnsi="Times New Roman;Times;Serif"/>
          <w:b w:val="false"/>
          <w:i w:val="false"/>
          <w:caps w:val="false"/>
          <w:smallCaps w:val="false"/>
          <w:sz w:val="20"/>
        </w:rPr>
        <w:t>SUMMARY OF STOCK OPTION ACTIVITY </w:t>
      </w:r>
    </w:p>
    <w:tbl>
      <w:tblPr>
        <w:tblW w:w="9734" w:type="dxa"/>
        <w:jc w:val="left"/>
        <w:tblInd w:w="0" w:type="dxa"/>
        <w:tblLayout w:type="fixed"/>
        <w:tblCellMar>
          <w:top w:w="0" w:type="dxa"/>
          <w:left w:w="0" w:type="dxa"/>
          <w:bottom w:w="0" w:type="dxa"/>
          <w:right w:w="0" w:type="dxa"/>
        </w:tblCellMar>
      </w:tblPr>
      <w:tblGrid>
        <w:gridCol w:w="3635"/>
        <w:gridCol w:w="60"/>
        <w:gridCol w:w="144"/>
        <w:gridCol w:w="2365"/>
        <w:gridCol w:w="111"/>
        <w:gridCol w:w="70"/>
        <w:gridCol w:w="789"/>
        <w:gridCol w:w="2485"/>
        <w:gridCol w:w="75"/>
      </w:tblGrid>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64" w:type="dxa"/>
            <w:gridSpan w:val="6"/>
            <w:tcBorders>
              <w:bottom w:val="single" w:sz="12" w:space="0" w:color="000000"/>
            </w:tcBorders>
            <w:tcMar>
              <w:bottom w:w="28" w:type="dxa"/>
            </w:tcMar>
            <w:vAlign w:val="center"/>
          </w:tcPr>
          <w:p>
            <w:pPr>
              <w:pStyle w:val="TableContents"/>
              <w:bidi w:val="0"/>
              <w:jc w:val="center"/>
              <w:rPr>
                <w:b/>
              </w:rPr>
            </w:pPr>
            <w:r>
              <w:rPr>
                <w:b/>
              </w:rPr>
              <w:t>For the Year Ended</w:t>
            </w:r>
          </w:p>
          <w:p>
            <w:pPr>
              <w:pStyle w:val="TableContents"/>
              <w:bidi w:val="0"/>
              <w:spacing w:before="0" w:after="283"/>
              <w:jc w:val="center"/>
              <w:rPr>
                <w:b/>
              </w:rPr>
            </w:pPr>
            <w:r>
              <w:rPr>
                <w:b/>
              </w:rPr>
              <w:t>December 31, 2023</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stock options</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32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9"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Outstanding as of December 31, 2022</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bookmarkStart w:id="515" w:name="xdx_984_eus-gaap--ShareBasedCompensation"/>
            <w:bookmarkEnd w:id="515"/>
          </w:p>
        </w:tc>
        <w:tc>
          <w:tcPr>
            <w:tcW w:w="2365" w:type="dxa"/>
            <w:tcBorders/>
            <w:shd w:fill="CCEEFF" w:val="clear"/>
            <w:vAlign w:val="center"/>
          </w:tcPr>
          <w:p>
            <w:pPr>
              <w:pStyle w:val="TableContents"/>
              <w:bidi w:val="0"/>
              <w:spacing w:before="0" w:after="283"/>
              <w:jc w:val="right"/>
              <w:rPr/>
            </w:pPr>
            <w:r>
              <w:rPr/>
              <w:t>1,507,137</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left"/>
              <w:rPr/>
            </w:pPr>
            <w:r>
              <w:rPr/>
              <w:t>$</w:t>
            </w:r>
            <w:bookmarkStart w:id="516" w:name="xdx_98C_eus-gaap--ShareBasedCompensation"/>
            <w:bookmarkEnd w:id="516"/>
          </w:p>
        </w:tc>
        <w:tc>
          <w:tcPr>
            <w:tcW w:w="2485" w:type="dxa"/>
            <w:tcBorders/>
            <w:shd w:fill="CCEEFF" w:val="clear"/>
            <w:vAlign w:val="center"/>
          </w:tcPr>
          <w:p>
            <w:pPr>
              <w:pStyle w:val="TableContents"/>
              <w:bidi w:val="0"/>
              <w:spacing w:before="0" w:after="283"/>
              <w:jc w:val="right"/>
              <w:rPr/>
            </w:pPr>
            <w:r>
              <w:rPr/>
              <w:t>7.31</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bookmarkStart w:id="517" w:name="xdx_986_eus-gaap--ShareBasedCompensation"/>
            <w:bookmarkEnd w:id="517"/>
          </w:p>
        </w:tc>
        <w:tc>
          <w:tcPr>
            <w:tcW w:w="2365" w:type="dxa"/>
            <w:tcBorders/>
            <w:shd w:fill="FFFFFF" w:val="clear"/>
            <w:vAlign w:val="center"/>
          </w:tcPr>
          <w:p>
            <w:pPr>
              <w:pStyle w:val="TableContents"/>
              <w:bidi w:val="0"/>
              <w:spacing w:before="0" w:after="283"/>
              <w:jc w:val="right"/>
              <w:rPr/>
            </w:pPr>
            <w:r>
              <w:rPr/>
              <w:t>711,308</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left"/>
              <w:rPr/>
            </w:pPr>
            <w:r>
              <w:rPr/>
              <w:t> </w:t>
            </w:r>
            <w:bookmarkStart w:id="518" w:name="xdx_980_eus-gaap--ShareBasedCompensation"/>
            <w:bookmarkEnd w:id="518"/>
          </w:p>
        </w:tc>
        <w:tc>
          <w:tcPr>
            <w:tcW w:w="2485" w:type="dxa"/>
            <w:tcBorders/>
            <w:shd w:fill="FFFFFF" w:val="clear"/>
            <w:vAlign w:val="center"/>
          </w:tcPr>
          <w:p>
            <w:pPr>
              <w:pStyle w:val="TableContents"/>
              <w:bidi w:val="0"/>
              <w:spacing w:before="0" w:after="283"/>
              <w:jc w:val="right"/>
              <w:rPr/>
            </w:pPr>
            <w:r>
              <w:rPr/>
              <w:t>1.75</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Forfeitures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519" w:name="xdx_988_eus-gaap--ShareBasedCompensation"/>
            <w:bookmarkEnd w:id="519"/>
          </w:p>
        </w:tc>
        <w:tc>
          <w:tcPr>
            <w:tcW w:w="2365" w:type="dxa"/>
            <w:tcBorders>
              <w:bottom w:val="single" w:sz="12" w:space="0" w:color="000000"/>
            </w:tcBorders>
            <w:shd w:fill="CCEEFF" w:val="clear"/>
            <w:tcMar>
              <w:bottom w:w="28" w:type="dxa"/>
            </w:tcMar>
            <w:vAlign w:val="center"/>
          </w:tcPr>
          <w:p>
            <w:pPr>
              <w:pStyle w:val="TableContents"/>
              <w:bidi w:val="0"/>
              <w:spacing w:before="0" w:after="283"/>
              <w:jc w:val="right"/>
              <w:rPr/>
            </w:pPr>
            <w:r>
              <w:rPr/>
              <w:t>(123,083</w:t>
            </w:r>
          </w:p>
        </w:tc>
        <w:tc>
          <w:tcPr>
            <w:tcW w:w="111"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7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520" w:name="xdx_98C_eus-gaap--ShareBasedCompensation"/>
            <w:bookmarkEnd w:id="520"/>
          </w:p>
        </w:tc>
        <w:tc>
          <w:tcPr>
            <w:tcW w:w="2485" w:type="dxa"/>
            <w:tcBorders>
              <w:bottom w:val="single" w:sz="12" w:space="0" w:color="000000"/>
            </w:tcBorders>
            <w:shd w:fill="CCEEFF" w:val="clear"/>
            <w:tcMar>
              <w:bottom w:w="28" w:type="dxa"/>
            </w:tcMar>
            <w:vAlign w:val="center"/>
          </w:tcPr>
          <w:p>
            <w:pPr>
              <w:pStyle w:val="TableContents"/>
              <w:bidi w:val="0"/>
              <w:spacing w:before="0" w:after="283"/>
              <w:jc w:val="right"/>
              <w:rPr/>
            </w:pPr>
            <w:r>
              <w:rPr/>
              <w:t>5.78</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Outstanding as of December 31, 2023</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21" w:name="xdx_987_eus-gaap--ShareBasedCompensation"/>
            <w:bookmarkEnd w:id="521"/>
          </w:p>
        </w:tc>
        <w:tc>
          <w:tcPr>
            <w:tcW w:w="2365" w:type="dxa"/>
            <w:tcBorders>
              <w:bottom w:val="double" w:sz="6" w:space="0" w:color="000000"/>
            </w:tcBorders>
            <w:shd w:fill="FFFFFF" w:val="clear"/>
            <w:tcMar>
              <w:bottom w:w="28" w:type="dxa"/>
            </w:tcMar>
            <w:vAlign w:val="center"/>
          </w:tcPr>
          <w:p>
            <w:pPr>
              <w:pStyle w:val="TableContents"/>
              <w:bidi w:val="0"/>
              <w:spacing w:before="0" w:after="283"/>
              <w:jc w:val="right"/>
              <w:rPr/>
            </w:pPr>
            <w:r>
              <w:rPr/>
              <w:t>2,095,362</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8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22" w:name="xdx_98B_eus-gaap--ShareBasedCompensation"/>
            <w:bookmarkEnd w:id="522"/>
          </w:p>
        </w:tc>
        <w:tc>
          <w:tcPr>
            <w:tcW w:w="2485" w:type="dxa"/>
            <w:tcBorders>
              <w:bottom w:val="double" w:sz="6" w:space="0" w:color="000000"/>
            </w:tcBorders>
            <w:shd w:fill="FFFFFF" w:val="clear"/>
            <w:tcMar>
              <w:bottom w:w="28" w:type="dxa"/>
            </w:tcMar>
            <w:vAlign w:val="center"/>
          </w:tcPr>
          <w:p>
            <w:pPr>
              <w:pStyle w:val="TableContents"/>
              <w:bidi w:val="0"/>
              <w:spacing w:before="0" w:after="283"/>
              <w:jc w:val="right"/>
              <w:rPr/>
            </w:pPr>
            <w:r>
              <w:rPr/>
              <w:t>5.51</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236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left"/>
              <w:rPr/>
            </w:pPr>
            <w:r>
              <w:rPr/>
              <w:t> </w:t>
            </w:r>
          </w:p>
        </w:tc>
        <w:tc>
          <w:tcPr>
            <w:tcW w:w="248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Vested as of December 31, 2023</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23" w:name="xdx_986_eus-gaap--ShareBasedCompensation"/>
            <w:bookmarkEnd w:id="523"/>
          </w:p>
        </w:tc>
        <w:tc>
          <w:tcPr>
            <w:tcW w:w="2365" w:type="dxa"/>
            <w:tcBorders>
              <w:bottom w:val="double" w:sz="6" w:space="0" w:color="000000"/>
            </w:tcBorders>
            <w:shd w:fill="FFFFFF" w:val="clear"/>
            <w:tcMar>
              <w:bottom w:w="28" w:type="dxa"/>
            </w:tcMar>
            <w:vAlign w:val="center"/>
          </w:tcPr>
          <w:p>
            <w:pPr>
              <w:pStyle w:val="TableContents"/>
              <w:bidi w:val="0"/>
              <w:spacing w:before="0" w:after="283"/>
              <w:jc w:val="right"/>
              <w:rPr/>
            </w:pPr>
            <w:r>
              <w:rPr/>
              <w:t>1,176,118</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8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24" w:name="xdx_98C_eus-gaap--ShareBasedCompensation"/>
            <w:bookmarkEnd w:id="524"/>
          </w:p>
        </w:tc>
        <w:tc>
          <w:tcPr>
            <w:tcW w:w="2485" w:type="dxa"/>
            <w:tcBorders>
              <w:bottom w:val="double" w:sz="6" w:space="0" w:color="000000"/>
            </w:tcBorders>
            <w:shd w:fill="FFFFFF" w:val="clear"/>
            <w:tcMar>
              <w:bottom w:w="28" w:type="dxa"/>
            </w:tcMar>
            <w:vAlign w:val="center"/>
          </w:tcPr>
          <w:p>
            <w:pPr>
              <w:pStyle w:val="TableContents"/>
              <w:bidi w:val="0"/>
              <w:spacing w:before="0" w:after="283"/>
              <w:jc w:val="right"/>
              <w:rPr/>
            </w:pPr>
            <w:r>
              <w:rPr/>
              <w:t>7.74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080" w:right="0" w:hanging="0"/>
        <w:jc w:val="both"/>
        <w:rPr>
          <w:caps w:val="false"/>
          <w:smallCaps w:val="false"/>
        </w:rPr>
      </w:pPr>
      <w:r>
        <w:rPr>
          <w:caps w:val="false"/>
          <w:smallCaps w:val="false"/>
        </w:rPr>
        <w:t> </w:t>
      </w:r>
    </w:p>
    <w:tbl>
      <w:tblPr>
        <w:tblW w:w="9734" w:type="dxa"/>
        <w:jc w:val="left"/>
        <w:tblInd w:w="0" w:type="dxa"/>
        <w:tblLayout w:type="fixed"/>
        <w:tblCellMar>
          <w:top w:w="0" w:type="dxa"/>
          <w:left w:w="0" w:type="dxa"/>
          <w:bottom w:w="0" w:type="dxa"/>
          <w:right w:w="0" w:type="dxa"/>
        </w:tblCellMar>
      </w:tblPr>
      <w:tblGrid>
        <w:gridCol w:w="3635"/>
        <w:gridCol w:w="60"/>
        <w:gridCol w:w="144"/>
        <w:gridCol w:w="2365"/>
        <w:gridCol w:w="111"/>
        <w:gridCol w:w="70"/>
        <w:gridCol w:w="789"/>
        <w:gridCol w:w="2485"/>
        <w:gridCol w:w="75"/>
      </w:tblGrid>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64" w:type="dxa"/>
            <w:gridSpan w:val="6"/>
            <w:tcBorders>
              <w:bottom w:val="single" w:sz="12" w:space="0" w:color="000000"/>
            </w:tcBorders>
            <w:tcMar>
              <w:bottom w:w="28" w:type="dxa"/>
            </w:tcMar>
            <w:vAlign w:val="center"/>
          </w:tcPr>
          <w:p>
            <w:pPr>
              <w:pStyle w:val="TableContents"/>
              <w:bidi w:val="0"/>
              <w:jc w:val="center"/>
              <w:rPr>
                <w:b/>
              </w:rPr>
            </w:pPr>
            <w:r>
              <w:rPr>
                <w:b/>
              </w:rPr>
              <w:t>For the Year Ended</w:t>
            </w:r>
          </w:p>
          <w:p>
            <w:pPr>
              <w:pStyle w:val="TableContents"/>
              <w:bidi w:val="0"/>
              <w:spacing w:before="0" w:after="283"/>
              <w:jc w:val="center"/>
              <w:rPr>
                <w:b/>
              </w:rPr>
            </w:pPr>
            <w:r>
              <w:rPr>
                <w:b/>
              </w:rPr>
              <w:t>December 31, 2022</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stock options</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32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9"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Outstanding as of December 31, 2021</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bookmarkStart w:id="525" w:name="xdx_980_eus-gaap--ShareBasedCompensation"/>
            <w:bookmarkEnd w:id="525"/>
          </w:p>
        </w:tc>
        <w:tc>
          <w:tcPr>
            <w:tcW w:w="2365" w:type="dxa"/>
            <w:tcBorders/>
            <w:shd w:fill="CCEEFF" w:val="clear"/>
            <w:vAlign w:val="center"/>
          </w:tcPr>
          <w:p>
            <w:pPr>
              <w:pStyle w:val="TableContents"/>
              <w:bidi w:val="0"/>
              <w:spacing w:before="0" w:after="283"/>
              <w:jc w:val="right"/>
              <w:rPr/>
            </w:pPr>
            <w:r>
              <w:rPr/>
              <w:t>997,148</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left"/>
              <w:rPr/>
            </w:pPr>
            <w:r>
              <w:rPr/>
              <w:t>$</w:t>
            </w:r>
            <w:bookmarkStart w:id="526" w:name="xdx_989_eus-gaap--ShareBasedCompensation"/>
            <w:bookmarkEnd w:id="526"/>
          </w:p>
        </w:tc>
        <w:tc>
          <w:tcPr>
            <w:tcW w:w="2485" w:type="dxa"/>
            <w:tcBorders/>
            <w:shd w:fill="CCEEFF" w:val="clear"/>
            <w:vAlign w:val="center"/>
          </w:tcPr>
          <w:p>
            <w:pPr>
              <w:pStyle w:val="TableContents"/>
              <w:bidi w:val="0"/>
              <w:spacing w:before="0" w:after="283"/>
              <w:jc w:val="right"/>
              <w:rPr/>
            </w:pPr>
            <w:r>
              <w:rPr/>
              <w:t>8.48</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bookmarkStart w:id="527" w:name="xdx_985_eus-gaap--ShareBasedCompensation"/>
            <w:bookmarkEnd w:id="527"/>
          </w:p>
        </w:tc>
        <w:tc>
          <w:tcPr>
            <w:tcW w:w="2365" w:type="dxa"/>
            <w:tcBorders/>
            <w:shd w:fill="FFFFFF" w:val="clear"/>
            <w:vAlign w:val="center"/>
          </w:tcPr>
          <w:p>
            <w:pPr>
              <w:pStyle w:val="TableContents"/>
              <w:bidi w:val="0"/>
              <w:spacing w:before="0" w:after="283"/>
              <w:jc w:val="right"/>
              <w:rPr/>
            </w:pPr>
            <w:r>
              <w:rPr/>
              <w:t>530,822</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left"/>
              <w:rPr/>
            </w:pPr>
            <w:r>
              <w:rPr/>
              <w:t> </w:t>
            </w:r>
            <w:bookmarkStart w:id="528" w:name="xdx_980_eus-gaap--ShareBasedCompensation"/>
            <w:bookmarkEnd w:id="528"/>
          </w:p>
        </w:tc>
        <w:tc>
          <w:tcPr>
            <w:tcW w:w="2485" w:type="dxa"/>
            <w:tcBorders/>
            <w:shd w:fill="FFFFFF" w:val="clear"/>
            <w:vAlign w:val="center"/>
          </w:tcPr>
          <w:p>
            <w:pPr>
              <w:pStyle w:val="TableContents"/>
              <w:bidi w:val="0"/>
              <w:spacing w:before="0" w:after="283"/>
              <w:jc w:val="right"/>
              <w:rPr/>
            </w:pPr>
            <w:r>
              <w:rPr/>
              <w:t>5.14</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Forfeitures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529" w:name="xdx_98F_eus-gaap--ShareBasedCompensation"/>
            <w:bookmarkEnd w:id="529"/>
          </w:p>
        </w:tc>
        <w:tc>
          <w:tcPr>
            <w:tcW w:w="2365" w:type="dxa"/>
            <w:tcBorders>
              <w:bottom w:val="single" w:sz="12" w:space="0" w:color="000000"/>
            </w:tcBorders>
            <w:shd w:fill="CCEEFF" w:val="clear"/>
            <w:tcMar>
              <w:bottom w:w="28" w:type="dxa"/>
            </w:tcMar>
            <w:vAlign w:val="center"/>
          </w:tcPr>
          <w:p>
            <w:pPr>
              <w:pStyle w:val="TableContents"/>
              <w:bidi w:val="0"/>
              <w:spacing w:before="0" w:after="283"/>
              <w:jc w:val="right"/>
              <w:rPr/>
            </w:pPr>
            <w:r>
              <w:rPr/>
              <w:t>(20,833</w:t>
            </w:r>
          </w:p>
        </w:tc>
        <w:tc>
          <w:tcPr>
            <w:tcW w:w="111"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7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530" w:name="xdx_983_eus-gaap--ShareBasedCompensation"/>
            <w:bookmarkEnd w:id="530"/>
          </w:p>
        </w:tc>
        <w:tc>
          <w:tcPr>
            <w:tcW w:w="2485" w:type="dxa"/>
            <w:tcBorders>
              <w:bottom w:val="single" w:sz="12" w:space="0" w:color="000000"/>
            </w:tcBorders>
            <w:shd w:fill="CCEEFF" w:val="clear"/>
            <w:tcMar>
              <w:bottom w:w="28" w:type="dxa"/>
            </w:tcMar>
            <w:vAlign w:val="center"/>
          </w:tcPr>
          <w:p>
            <w:pPr>
              <w:pStyle w:val="TableContents"/>
              <w:bidi w:val="0"/>
              <w:spacing w:before="0" w:after="283"/>
              <w:jc w:val="right"/>
              <w:rPr/>
            </w:pPr>
            <w:r>
              <w:rPr/>
              <w:t>8.16</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Outstanding as of December 31, 2022</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31" w:name="xdx_98D_eus-gaap--ShareBasedCompensation"/>
            <w:bookmarkEnd w:id="531"/>
          </w:p>
        </w:tc>
        <w:tc>
          <w:tcPr>
            <w:tcW w:w="2365" w:type="dxa"/>
            <w:tcBorders>
              <w:bottom w:val="double" w:sz="6" w:space="0" w:color="000000"/>
            </w:tcBorders>
            <w:shd w:fill="FFFFFF" w:val="clear"/>
            <w:tcMar>
              <w:bottom w:w="28" w:type="dxa"/>
            </w:tcMar>
            <w:vAlign w:val="center"/>
          </w:tcPr>
          <w:p>
            <w:pPr>
              <w:pStyle w:val="TableContents"/>
              <w:bidi w:val="0"/>
              <w:spacing w:before="0" w:after="283"/>
              <w:jc w:val="right"/>
              <w:rPr/>
            </w:pPr>
            <w:r>
              <w:rPr/>
              <w:t>1,507,137</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8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32" w:name="xdx_989_eus-gaap--ShareBasedCompensation"/>
            <w:bookmarkEnd w:id="532"/>
          </w:p>
        </w:tc>
        <w:tc>
          <w:tcPr>
            <w:tcW w:w="2485" w:type="dxa"/>
            <w:tcBorders>
              <w:bottom w:val="double" w:sz="6" w:space="0" w:color="000000"/>
            </w:tcBorders>
            <w:shd w:fill="FFFFFF" w:val="clear"/>
            <w:tcMar>
              <w:bottom w:w="28" w:type="dxa"/>
            </w:tcMar>
            <w:vAlign w:val="center"/>
          </w:tcPr>
          <w:p>
            <w:pPr>
              <w:pStyle w:val="TableContents"/>
              <w:bidi w:val="0"/>
              <w:spacing w:before="0" w:after="283"/>
              <w:jc w:val="right"/>
              <w:rPr/>
            </w:pPr>
            <w:r>
              <w:rPr/>
              <w:t>7.31</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236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left"/>
              <w:rPr/>
            </w:pPr>
            <w:r>
              <w:rPr/>
              <w:t> </w:t>
            </w:r>
          </w:p>
        </w:tc>
        <w:tc>
          <w:tcPr>
            <w:tcW w:w="248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Vested as of December 31, 2022</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33" w:name="xdx_985_eus-gaap--ShareBasedCompensation"/>
            <w:bookmarkEnd w:id="533"/>
          </w:p>
        </w:tc>
        <w:tc>
          <w:tcPr>
            <w:tcW w:w="2365" w:type="dxa"/>
            <w:tcBorders>
              <w:bottom w:val="double" w:sz="6" w:space="0" w:color="000000"/>
            </w:tcBorders>
            <w:shd w:fill="FFFFFF" w:val="clear"/>
            <w:tcMar>
              <w:bottom w:w="28" w:type="dxa"/>
            </w:tcMar>
            <w:vAlign w:val="center"/>
          </w:tcPr>
          <w:p>
            <w:pPr>
              <w:pStyle w:val="TableContents"/>
              <w:bidi w:val="0"/>
              <w:spacing w:before="0" w:after="283"/>
              <w:jc w:val="right"/>
              <w:rPr/>
            </w:pPr>
            <w:r>
              <w:rPr/>
              <w:t>899,609</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8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34" w:name="xdx_985_eus-gaap--ShareBasedCompensation"/>
            <w:bookmarkEnd w:id="534"/>
          </w:p>
        </w:tc>
        <w:tc>
          <w:tcPr>
            <w:tcW w:w="2485" w:type="dxa"/>
            <w:tcBorders>
              <w:bottom w:val="double" w:sz="6" w:space="0" w:color="000000"/>
            </w:tcBorders>
            <w:shd w:fill="FFFFFF" w:val="clear"/>
            <w:tcMar>
              <w:bottom w:w="28" w:type="dxa"/>
            </w:tcMar>
            <w:vAlign w:val="center"/>
          </w:tcPr>
          <w:p>
            <w:pPr>
              <w:pStyle w:val="TableContents"/>
              <w:bidi w:val="0"/>
              <w:spacing w:before="0" w:after="283"/>
              <w:jc w:val="right"/>
              <w:rPr/>
            </w:pPr>
            <w:r>
              <w:rPr/>
              <w:t>8.52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35" w:name="xdx_8AE_zUknAg3zJPHe"/>
      <w:bookmarkEnd w:id="535"/>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forfeitures of outstanding options as they occur.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intrinsic value is calculated as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December 31, 2023 and December 31, 2022, respectively.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and 2022, the aggregate intrinsic value of the outstanding options is $</w:t>
      </w:r>
      <w:bookmarkStart w:id="536" w:name="xdx_904_eus-gaap--ShareBasedCompensation"/>
      <w:bookmarkEnd w:id="536"/>
      <w:r>
        <w:rPr>
          <w:rFonts w:ascii="Times New Roman;Times;Serif" w:hAnsi="Times New Roman;Times;Serif"/>
          <w:b w:val="false"/>
          <w:i w:val="false"/>
          <w:caps w:val="false"/>
          <w:smallCaps w:val="false"/>
          <w:sz w:val="20"/>
        </w:rPr>
        <w:t>277 and $</w:t>
      </w:r>
      <w:bookmarkStart w:id="537" w:name="xdx_908_eus-gaap--ShareBasedCompensation"/>
      <w:bookmarkEnd w:id="537"/>
      <w:r>
        <w:rPr>
          <w:rFonts w:ascii="Times New Roman;Times;Serif" w:hAnsi="Times New Roman;Times;Serif"/>
          <w:b w:val="false"/>
          <w:i w:val="false"/>
          <w:caps w:val="false"/>
          <w:smallCaps w:val="false"/>
          <w:sz w:val="20"/>
        </w:rPr>
        <w:t>185, respectively, and the aggregate intrinsic value of the exercisable options is $</w:t>
      </w:r>
      <w:bookmarkStart w:id="538" w:name="xdx_903_eus-gaap--SharebasedCompensation"/>
      <w:bookmarkEnd w:id="538"/>
      <w:r>
        <w:rPr>
          <w:rFonts w:ascii="Times New Roman;Times;Serif" w:hAnsi="Times New Roman;Times;Serif"/>
          <w:b w:val="false"/>
          <w:i w:val="false"/>
          <w:caps w:val="false"/>
          <w:smallCaps w:val="false"/>
          <w:sz w:val="20"/>
        </w:rPr>
        <w:t>102 and $</w:t>
      </w:r>
      <w:bookmarkStart w:id="539" w:name="xdx_900_eus-gaap--SharebasedCompensation"/>
      <w:bookmarkEnd w:id="539"/>
      <w:r>
        <w:rPr>
          <w:rFonts w:ascii="Times New Roman;Times;Serif" w:hAnsi="Times New Roman;Times;Serif"/>
          <w:b w:val="false"/>
          <w:i w:val="false"/>
          <w:caps w:val="false"/>
          <w:smallCaps w:val="false"/>
          <w:sz w:val="20"/>
        </w:rPr>
        <w:t>185, respectively.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grant date fair value of options granted during the years ended December 31, 2023 and 2022 was $</w:t>
      </w:r>
      <w:bookmarkStart w:id="540" w:name="xdx_901_eus-gaap--SharebasedCompensation"/>
      <w:bookmarkEnd w:id="540"/>
      <w:r>
        <w:rPr>
          <w:rFonts w:ascii="Times New Roman;Times;Serif" w:hAnsi="Times New Roman;Times;Serif"/>
          <w:b w:val="false"/>
          <w:i w:val="false"/>
          <w:caps w:val="false"/>
          <w:smallCaps w:val="false"/>
          <w:sz w:val="20"/>
        </w:rPr>
        <w:t>1.40 and $</w:t>
      </w:r>
      <w:bookmarkStart w:id="541" w:name="xdx_900_eus-gaap--SharebasedCompensation"/>
      <w:bookmarkEnd w:id="541"/>
      <w:r>
        <w:rPr>
          <w:rFonts w:ascii="Times New Roman;Times;Serif" w:hAnsi="Times New Roman;Times;Serif"/>
          <w:b w:val="false"/>
          <w:i w:val="false"/>
          <w:caps w:val="false"/>
          <w:smallCaps w:val="false"/>
          <w:sz w:val="20"/>
        </w:rPr>
        <w:t>4.50, respectively.</w:t>
      </w:r>
    </w:p>
    <w:p>
      <w:pPr>
        <w:pStyle w:val="TextBody"/>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993" w:right="0" w:hanging="99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SHARE CAPITAL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stock option grants: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there were approximately $</w:t>
      </w:r>
      <w:bookmarkStart w:id="542" w:name="xdx_90A_eus-gaap--EmployeeServiceShareBa"/>
      <w:bookmarkEnd w:id="542"/>
      <w:r>
        <w:rPr>
          <w:rFonts w:ascii="Times New Roman;Times;Serif" w:hAnsi="Times New Roman;Times;Serif"/>
          <w:b w:val="false"/>
          <w:i w:val="false"/>
          <w:caps w:val="false"/>
          <w:smallCaps w:val="false"/>
          <w:sz w:val="20"/>
        </w:rPr>
        <w:t xml:space="preserve">1,918 of total unrecognized compensation costs related to unvested share-based compensation awards granted under the Share Incentive Plan. The costs are expected to be recognized over a weighted average period of </w:t>
      </w:r>
      <w:bookmarkStart w:id="543" w:name="xdx_900_eus-gaap--EmployeeServiceShareBa"/>
      <w:bookmarkEnd w:id="543"/>
      <w:r>
        <w:rPr>
          <w:rFonts w:ascii="Times New Roman;Times;Serif" w:hAnsi="Times New Roman;Times;Serif"/>
          <w:b w:val="false"/>
          <w:i w:val="false"/>
          <w:caps w:val="false"/>
          <w:smallCaps w:val="false"/>
          <w:sz w:val="20"/>
        </w:rPr>
        <w:t>2.4 years.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544" w:name="xdx_89B_eus-gaap--ScheduleOfShareBasedCo"/>
      <w:bookmarkEnd w:id="544"/>
      <w:r>
        <w:rPr>
          <w:rFonts w:ascii="Times New Roman;Times;Serif" w:hAnsi="Times New Roman;Times;Serif"/>
          <w:b w:val="false"/>
          <w:i w:val="false"/>
          <w:caps w:val="false"/>
          <w:smallCaps w:val="false"/>
          <w:sz w:val="20"/>
        </w:rPr>
        <w:t>The stock options outstanding as of December 31, 2023 and December 31, 2022, summarized by exercise prices, are as follows:</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545" w:name="xdx_8B4_z4tfeSmTJcod"/>
      <w:bookmarkEnd w:id="545"/>
      <w:r>
        <w:rPr>
          <w:rFonts w:ascii="Times New Roman;Times;Serif" w:hAnsi="Times New Roman;Times;Serif"/>
          <w:b w:val="false"/>
          <w:i w:val="false"/>
          <w:caps w:val="false"/>
          <w:smallCaps w:val="false"/>
          <w:sz w:val="20"/>
        </w:rPr>
        <w:t>SCHEDULE OF STOCK OPTIONS OUTSTANDING </w:t>
      </w:r>
    </w:p>
    <w:tbl>
      <w:tblPr>
        <w:tblW w:w="10205" w:type="dxa"/>
        <w:jc w:val="left"/>
        <w:tblInd w:w="0" w:type="dxa"/>
        <w:tblLayout w:type="fixed"/>
        <w:tblCellMar>
          <w:top w:w="0" w:type="dxa"/>
          <w:left w:w="0" w:type="dxa"/>
          <w:bottom w:w="28" w:type="dxa"/>
          <w:right w:w="0" w:type="dxa"/>
        </w:tblCellMar>
      </w:tblPr>
      <w:tblGrid>
        <w:gridCol w:w="928"/>
        <w:gridCol w:w="60"/>
        <w:gridCol w:w="81"/>
        <w:gridCol w:w="1340"/>
        <w:gridCol w:w="60"/>
        <w:gridCol w:w="60"/>
        <w:gridCol w:w="81"/>
        <w:gridCol w:w="1340"/>
        <w:gridCol w:w="60"/>
        <w:gridCol w:w="60"/>
        <w:gridCol w:w="238"/>
        <w:gridCol w:w="1277"/>
        <w:gridCol w:w="60"/>
        <w:gridCol w:w="60"/>
        <w:gridCol w:w="238"/>
        <w:gridCol w:w="1277"/>
        <w:gridCol w:w="60"/>
        <w:gridCol w:w="60"/>
        <w:gridCol w:w="76"/>
        <w:gridCol w:w="1255"/>
        <w:gridCol w:w="60"/>
        <w:gridCol w:w="60"/>
        <w:gridCol w:w="91"/>
        <w:gridCol w:w="1240"/>
        <w:gridCol w:w="83"/>
      </w:tblGrid>
      <w:tr>
        <w:trPr/>
        <w:tc>
          <w:tcPr>
            <w:tcW w:w="928" w:type="dxa"/>
            <w:tcBorders>
              <w:bottom w:val="single" w:sz="12" w:space="0" w:color="000000"/>
            </w:tcBorders>
            <w:vAlign w:val="center"/>
          </w:tcPr>
          <w:p>
            <w:pPr>
              <w:pStyle w:val="TableContents"/>
              <w:bidi w:val="0"/>
              <w:spacing w:before="0" w:after="283"/>
              <w:jc w:val="center"/>
              <w:rPr>
                <w:b/>
              </w:rPr>
            </w:pPr>
            <w:r>
              <w:rPr>
                <w:b/>
              </w:rPr>
              <w:t>Exercise price $</w:t>
            </w:r>
          </w:p>
        </w:tc>
        <w:tc>
          <w:tcPr>
            <w:tcW w:w="60" w:type="dxa"/>
            <w:tcBorders/>
            <w:tcMar>
              <w:bottom w:w="0" w:type="dxa"/>
            </w:tcMar>
            <w:vAlign w:val="center"/>
          </w:tcPr>
          <w:p>
            <w:pPr>
              <w:pStyle w:val="TableContents"/>
              <w:bidi w:val="0"/>
              <w:spacing w:before="0" w:after="283"/>
              <w:jc w:val="center"/>
              <w:rPr/>
            </w:pPr>
            <w:r>
              <w:rPr/>
              <w:t> </w:t>
            </w:r>
          </w:p>
        </w:tc>
        <w:tc>
          <w:tcPr>
            <w:tcW w:w="1421" w:type="dxa"/>
            <w:gridSpan w:val="2"/>
            <w:tcBorders>
              <w:bottom w:val="single" w:sz="12" w:space="0" w:color="000000"/>
            </w:tcBorders>
            <w:vAlign w:val="center"/>
          </w:tcPr>
          <w:p>
            <w:pPr>
              <w:pStyle w:val="TableContents"/>
              <w:bidi w:val="0"/>
              <w:spacing w:before="0" w:after="283"/>
              <w:jc w:val="center"/>
              <w:rPr>
                <w:b/>
              </w:rPr>
            </w:pPr>
            <w:r>
              <w:rPr>
                <w:b/>
              </w:rPr>
              <w:t>Stock options outstanding as of December 31, 2023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21" w:type="dxa"/>
            <w:gridSpan w:val="2"/>
            <w:tcBorders>
              <w:bottom w:val="single" w:sz="12" w:space="0" w:color="000000"/>
            </w:tcBorders>
            <w:vAlign w:val="center"/>
          </w:tcPr>
          <w:p>
            <w:pPr>
              <w:pStyle w:val="TableContents"/>
              <w:bidi w:val="0"/>
              <w:spacing w:before="0" w:after="283"/>
              <w:jc w:val="center"/>
              <w:rPr>
                <w:b/>
              </w:rPr>
            </w:pPr>
            <w:r>
              <w:rPr>
                <w:b/>
              </w:rPr>
              <w:t>Stock options outstanding as of December 31, 2022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15" w:type="dxa"/>
            <w:gridSpan w:val="2"/>
            <w:tcBorders>
              <w:bottom w:val="single" w:sz="12" w:space="0" w:color="000000"/>
            </w:tcBorders>
            <w:vAlign w:val="center"/>
          </w:tcPr>
          <w:p>
            <w:pPr>
              <w:pStyle w:val="TableContents"/>
              <w:bidi w:val="0"/>
              <w:spacing w:before="0" w:after="283"/>
              <w:jc w:val="center"/>
              <w:rPr>
                <w:b/>
              </w:rPr>
            </w:pPr>
            <w:r>
              <w:rPr>
                <w:b/>
              </w:rPr>
              <w:t>Weighted average remaining contractual life – years as of December 31, 2023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15" w:type="dxa"/>
            <w:gridSpan w:val="2"/>
            <w:tcBorders>
              <w:bottom w:val="single" w:sz="12" w:space="0" w:color="000000"/>
            </w:tcBorders>
            <w:vAlign w:val="center"/>
          </w:tcPr>
          <w:p>
            <w:pPr>
              <w:pStyle w:val="TableContents"/>
              <w:bidi w:val="0"/>
              <w:spacing w:before="0" w:after="283"/>
              <w:jc w:val="center"/>
              <w:rPr>
                <w:b/>
              </w:rPr>
            </w:pPr>
            <w:r>
              <w:rPr>
                <w:b/>
              </w:rPr>
              <w:t>Weighted average remaining contractual life – years as of December 31, 2022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31" w:type="dxa"/>
            <w:gridSpan w:val="2"/>
            <w:tcBorders>
              <w:bottom w:val="single" w:sz="12" w:space="0" w:color="000000"/>
            </w:tcBorders>
            <w:vAlign w:val="center"/>
          </w:tcPr>
          <w:p>
            <w:pPr>
              <w:pStyle w:val="TableContents"/>
              <w:bidi w:val="0"/>
              <w:spacing w:before="0" w:after="283"/>
              <w:jc w:val="center"/>
              <w:rPr>
                <w:b/>
              </w:rPr>
            </w:pPr>
            <w:r>
              <w:rPr>
                <w:b/>
              </w:rPr>
              <w:t>Stock options exercisable as of December 31, 2023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31" w:type="dxa"/>
            <w:gridSpan w:val="2"/>
            <w:tcBorders>
              <w:bottom w:val="single" w:sz="12" w:space="0" w:color="000000"/>
            </w:tcBorders>
            <w:vAlign w:val="center"/>
          </w:tcPr>
          <w:p>
            <w:pPr>
              <w:pStyle w:val="TableContents"/>
              <w:bidi w:val="0"/>
              <w:spacing w:before="0" w:after="283"/>
              <w:jc w:val="center"/>
              <w:rPr>
                <w:b/>
              </w:rPr>
            </w:pPr>
            <w:r>
              <w:rPr>
                <w:b/>
              </w:rPr>
              <w:t>Stock options exercisable as of December 31, 2022</w:t>
            </w:r>
          </w:p>
        </w:tc>
        <w:tc>
          <w:tcPr>
            <w:tcW w:w="83" w:type="dxa"/>
            <w:tcBorders/>
            <w:tcMar>
              <w:bottom w:w="0" w:type="dxa"/>
            </w:tcMar>
            <w:vAlign w:val="center"/>
          </w:tcPr>
          <w:p>
            <w:pPr>
              <w:pStyle w:val="TableContents"/>
              <w:bidi w:val="0"/>
              <w:spacing w:before="0" w:after="283"/>
              <w:jc w:val="center"/>
              <w:rPr/>
            </w:pPr>
            <w:r>
              <w:rPr/>
              <w:t> </w:t>
            </w:r>
          </w:p>
        </w:tc>
      </w:tr>
      <w:tr>
        <w:trPr/>
        <w:tc>
          <w:tcPr>
            <w:tcW w:w="928" w:type="dxa"/>
            <w:tcBorders/>
            <w:shd w:fill="CCEEFF" w:val="clear"/>
            <w:tcMar>
              <w:bottom w:w="0" w:type="dxa"/>
            </w:tcMar>
            <w:vAlign w:val="center"/>
          </w:tcPr>
          <w:p>
            <w:pPr>
              <w:pStyle w:val="TableContents"/>
              <w:bidi w:val="0"/>
              <w:spacing w:before="0" w:after="283"/>
              <w:jc w:val="center"/>
              <w:rPr/>
            </w:pPr>
            <w:bookmarkStart w:id="546" w:name="xdx_90F_eus-gaap--ShareBasedCompensation"/>
            <w:bookmarkStart w:id="547" w:name="xdx_905_eus-gaap--ShareBasedCompensation"/>
            <w:bookmarkEnd w:id="546"/>
            <w:bookmarkEnd w:id="547"/>
            <w:r>
              <w:rPr/>
              <w:t>0.00-</w:t>
            </w:r>
            <w:bookmarkStart w:id="548" w:name="xdx_908_eus-gaap--ShareBasedCompensation"/>
            <w:bookmarkStart w:id="549" w:name="xdx_909_eus-gaap--ShareBasedCompensation"/>
            <w:bookmarkEnd w:id="548"/>
            <w:bookmarkEnd w:id="549"/>
            <w:r>
              <w:rPr/>
              <w:t>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bookmarkStart w:id="550" w:name="xdx_987_eus-gaap--ShareBasedCompensation"/>
            <w:bookmarkEnd w:id="550"/>
          </w:p>
        </w:tc>
        <w:tc>
          <w:tcPr>
            <w:tcW w:w="1340" w:type="dxa"/>
            <w:tcBorders/>
            <w:shd w:fill="CCEEFF" w:val="clear"/>
            <w:tcMar>
              <w:bottom w:w="0" w:type="dxa"/>
            </w:tcMar>
            <w:vAlign w:val="center"/>
          </w:tcPr>
          <w:p>
            <w:pPr>
              <w:pStyle w:val="TableContents"/>
              <w:bidi w:val="0"/>
              <w:spacing w:before="0" w:after="283"/>
              <w:jc w:val="right"/>
              <w:rPr/>
            </w:pPr>
            <w:r>
              <w:rPr/>
              <w:t>61,577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bookmarkStart w:id="551" w:name="xdx_989_eus-gaap--ShareBasedCompensation"/>
            <w:bookmarkEnd w:id="551"/>
          </w:p>
        </w:tc>
        <w:tc>
          <w:tcPr>
            <w:tcW w:w="1340" w:type="dxa"/>
            <w:tcBorders/>
            <w:shd w:fill="CCEEFF" w:val="clear"/>
            <w:tcMar>
              <w:bottom w:w="0" w:type="dxa"/>
            </w:tcMar>
            <w:vAlign w:val="center"/>
          </w:tcPr>
          <w:p>
            <w:pPr>
              <w:pStyle w:val="TableContents"/>
              <w:bidi w:val="0"/>
              <w:spacing w:before="0" w:after="283"/>
              <w:jc w:val="right"/>
              <w:rPr/>
            </w:pPr>
            <w:r>
              <w:rPr/>
              <w:t>61,577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 </w:t>
            </w:r>
          </w:p>
        </w:tc>
        <w:tc>
          <w:tcPr>
            <w:tcW w:w="1277" w:type="dxa"/>
            <w:tcBorders/>
            <w:shd w:fill="CCEEFF" w:val="clear"/>
            <w:tcMar>
              <w:bottom w:w="0" w:type="dxa"/>
            </w:tcMar>
            <w:vAlign w:val="center"/>
          </w:tcPr>
          <w:p>
            <w:pPr>
              <w:pStyle w:val="TableContents"/>
              <w:bidi w:val="0"/>
              <w:spacing w:before="0" w:after="283"/>
              <w:jc w:val="right"/>
              <w:rPr/>
            </w:pPr>
            <w:bookmarkStart w:id="552" w:name="xdx_906_eus-gaap--SharebasedCompensation"/>
            <w:bookmarkEnd w:id="552"/>
            <w:r>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 </w:t>
            </w:r>
          </w:p>
        </w:tc>
        <w:tc>
          <w:tcPr>
            <w:tcW w:w="1277" w:type="dxa"/>
            <w:tcBorders/>
            <w:shd w:fill="CCEEFF" w:val="clear"/>
            <w:tcMar>
              <w:bottom w:w="0" w:type="dxa"/>
            </w:tcMar>
            <w:vAlign w:val="center"/>
          </w:tcPr>
          <w:p>
            <w:pPr>
              <w:pStyle w:val="TableContents"/>
              <w:bidi w:val="0"/>
              <w:spacing w:before="0" w:after="283"/>
              <w:jc w:val="right"/>
              <w:rPr/>
            </w:pPr>
            <w:bookmarkStart w:id="553" w:name="xdx_907_eus-gaap--SharebasedCompensation"/>
            <w:bookmarkEnd w:id="553"/>
            <w:r>
              <w:rPr/>
              <w:t>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bookmarkStart w:id="554" w:name="xdx_986_eus-gaap--ShareBasedCompensation"/>
            <w:bookmarkEnd w:id="554"/>
          </w:p>
        </w:tc>
        <w:tc>
          <w:tcPr>
            <w:tcW w:w="1255" w:type="dxa"/>
            <w:tcBorders/>
            <w:shd w:fill="CCEEFF" w:val="clear"/>
            <w:tcMar>
              <w:bottom w:w="0" w:type="dxa"/>
            </w:tcMar>
            <w:vAlign w:val="center"/>
          </w:tcPr>
          <w:p>
            <w:pPr>
              <w:pStyle w:val="TableContents"/>
              <w:bidi w:val="0"/>
              <w:spacing w:before="0" w:after="283"/>
              <w:jc w:val="right"/>
              <w:rPr/>
            </w:pPr>
            <w:r>
              <w:rPr/>
              <w:t>61,577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bookmarkStart w:id="555" w:name="xdx_980_eus-gaap--ShareBasedCompensation"/>
            <w:bookmarkEnd w:id="555"/>
          </w:p>
        </w:tc>
        <w:tc>
          <w:tcPr>
            <w:tcW w:w="1240" w:type="dxa"/>
            <w:tcBorders/>
            <w:shd w:fill="CCEEFF" w:val="clear"/>
            <w:tcMar>
              <w:bottom w:w="0" w:type="dxa"/>
            </w:tcMar>
            <w:vAlign w:val="center"/>
          </w:tcPr>
          <w:p>
            <w:pPr>
              <w:pStyle w:val="TableContents"/>
              <w:bidi w:val="0"/>
              <w:spacing w:before="0" w:after="283"/>
              <w:jc w:val="right"/>
              <w:rPr/>
            </w:pPr>
            <w:r>
              <w:rPr/>
              <w:t>61,577</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928" w:type="dxa"/>
            <w:tcBorders/>
            <w:shd w:fill="FFFFFF" w:val="clear"/>
            <w:tcMar>
              <w:bottom w:w="0" w:type="dxa"/>
            </w:tcMar>
            <w:vAlign w:val="center"/>
          </w:tcPr>
          <w:p>
            <w:pPr>
              <w:pStyle w:val="TableContents"/>
              <w:bidi w:val="0"/>
              <w:spacing w:before="0" w:after="283"/>
              <w:jc w:val="center"/>
              <w:rPr/>
            </w:pPr>
            <w:bookmarkStart w:id="556" w:name="xdx_903_eus-gaap--ShareBasedCompensation"/>
            <w:bookmarkStart w:id="557" w:name="xdx_901_eus-gaap--ShareBasedCompensation"/>
            <w:bookmarkEnd w:id="556"/>
            <w:bookmarkEnd w:id="557"/>
            <w:r>
              <w:rPr/>
              <w:t>1.00-</w:t>
            </w:r>
            <w:bookmarkStart w:id="558" w:name="xdx_90D_eus-gaap--ShareBasedCompensation"/>
            <w:bookmarkStart w:id="559" w:name="xdx_909_eus-gaap--ShareBasedCompensation"/>
            <w:bookmarkEnd w:id="558"/>
            <w:bookmarkEnd w:id="559"/>
            <w:r>
              <w:rPr/>
              <w:t>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bookmarkStart w:id="560" w:name="xdx_980_eus-gaap--ShareBasedCompensation"/>
            <w:bookmarkEnd w:id="560"/>
          </w:p>
        </w:tc>
        <w:tc>
          <w:tcPr>
            <w:tcW w:w="1340" w:type="dxa"/>
            <w:tcBorders/>
            <w:shd w:fill="FFFFFF" w:val="clear"/>
            <w:tcMar>
              <w:bottom w:w="0" w:type="dxa"/>
            </w:tcMar>
            <w:vAlign w:val="center"/>
          </w:tcPr>
          <w:p>
            <w:pPr>
              <w:pStyle w:val="TableContents"/>
              <w:bidi w:val="0"/>
              <w:spacing w:before="0" w:after="283"/>
              <w:jc w:val="right"/>
              <w:rPr/>
            </w:pPr>
            <w:r>
              <w:rPr/>
              <w:t>860,808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bookmarkStart w:id="561" w:name="xdx_984_eus-gaap--ShareBasedCompensation"/>
            <w:bookmarkEnd w:id="561"/>
          </w:p>
        </w:tc>
        <w:tc>
          <w:tcPr>
            <w:tcW w:w="1340" w:type="dxa"/>
            <w:tcBorders/>
            <w:shd w:fill="FFFFFF" w:val="clear"/>
            <w:tcMar>
              <w:bottom w:w="0" w:type="dxa"/>
            </w:tcMar>
            <w:vAlign w:val="center"/>
          </w:tcPr>
          <w:p>
            <w:pPr>
              <w:pStyle w:val="TableContents"/>
              <w:bidi w:val="0"/>
              <w:spacing w:before="0" w:after="283"/>
              <w:jc w:val="right"/>
              <w:rPr/>
            </w:pPr>
            <w:r>
              <w:rPr/>
              <w:t>211,000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 </w:t>
            </w:r>
          </w:p>
        </w:tc>
        <w:tc>
          <w:tcPr>
            <w:tcW w:w="1277" w:type="dxa"/>
            <w:tcBorders/>
            <w:shd w:fill="FFFFFF" w:val="clear"/>
            <w:tcMar>
              <w:bottom w:w="0" w:type="dxa"/>
            </w:tcMar>
            <w:vAlign w:val="center"/>
          </w:tcPr>
          <w:p>
            <w:pPr>
              <w:pStyle w:val="TableContents"/>
              <w:bidi w:val="0"/>
              <w:spacing w:before="0" w:after="283"/>
              <w:jc w:val="right"/>
              <w:rPr/>
            </w:pPr>
            <w:bookmarkStart w:id="562" w:name="xdx_90F_eus-gaap--SharebasedCompensation"/>
            <w:bookmarkEnd w:id="562"/>
            <w:r>
              <w:rPr/>
              <w:t>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 </w:t>
            </w:r>
          </w:p>
        </w:tc>
        <w:tc>
          <w:tcPr>
            <w:tcW w:w="1277" w:type="dxa"/>
            <w:tcBorders/>
            <w:shd w:fill="FFFFFF" w:val="clear"/>
            <w:tcMar>
              <w:bottom w:w="0" w:type="dxa"/>
            </w:tcMar>
            <w:vAlign w:val="center"/>
          </w:tcPr>
          <w:p>
            <w:pPr>
              <w:pStyle w:val="TableContents"/>
              <w:bidi w:val="0"/>
              <w:spacing w:before="0" w:after="283"/>
              <w:jc w:val="right"/>
              <w:rPr/>
            </w:pPr>
            <w:bookmarkStart w:id="563" w:name="xdx_90A_eus-gaap--SharebasedCompensation"/>
            <w:bookmarkEnd w:id="563"/>
            <w:r>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bookmarkStart w:id="564" w:name="xdx_98B_eus-gaap--ShareBasedCompensation"/>
            <w:bookmarkEnd w:id="564"/>
          </w:p>
        </w:tc>
        <w:tc>
          <w:tcPr>
            <w:tcW w:w="1255" w:type="dxa"/>
            <w:tcBorders/>
            <w:shd w:fill="FFFFFF" w:val="clear"/>
            <w:tcMar>
              <w:bottom w:w="0" w:type="dxa"/>
            </w:tcMar>
            <w:vAlign w:val="center"/>
          </w:tcPr>
          <w:p>
            <w:pPr>
              <w:pStyle w:val="TableContents"/>
              <w:bidi w:val="0"/>
              <w:spacing w:before="0" w:after="283"/>
              <w:jc w:val="right"/>
              <w:rPr/>
            </w:pPr>
            <w:r>
              <w:rPr/>
              <w:t>95,925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bookmarkStart w:id="565" w:name="xdx_987_eus-gaap--ShareBasedCompensation"/>
            <w:bookmarkEnd w:id="565"/>
          </w:p>
        </w:tc>
        <w:tc>
          <w:tcPr>
            <w:tcW w:w="1240" w:type="dxa"/>
            <w:tcBorders/>
            <w:shd w:fill="FFFFFF" w:val="clear"/>
            <w:tcMar>
              <w:bottom w:w="0" w:type="dxa"/>
            </w:tcMar>
            <w:vAlign w:val="center"/>
          </w:tcPr>
          <w:p>
            <w:pPr>
              <w:pStyle w:val="TableContents"/>
              <w:bidi w:val="0"/>
              <w:spacing w:before="0" w:after="283"/>
              <w:jc w:val="right"/>
              <w:rPr/>
            </w:pPr>
            <w:r>
              <w:rPr/>
              <w:t>-</w:t>
            </w:r>
          </w:p>
        </w:tc>
        <w:tc>
          <w:tcPr>
            <w:tcW w:w="83" w:type="dxa"/>
            <w:tcBorders/>
            <w:shd w:fill="FFFFFF" w:val="clear"/>
            <w:tcMar>
              <w:bottom w:w="0" w:type="dxa"/>
            </w:tcMar>
            <w:vAlign w:val="center"/>
          </w:tcPr>
          <w:p>
            <w:pPr>
              <w:pStyle w:val="TableContents"/>
              <w:bidi w:val="0"/>
              <w:spacing w:before="0" w:after="283"/>
              <w:jc w:val="left"/>
              <w:rPr/>
            </w:pPr>
            <w:r>
              <w:rPr/>
              <w:t> </w:t>
            </w:r>
          </w:p>
        </w:tc>
      </w:tr>
      <w:tr>
        <w:trPr/>
        <w:tc>
          <w:tcPr>
            <w:tcW w:w="928" w:type="dxa"/>
            <w:tcBorders/>
            <w:shd w:fill="CCEEFF" w:val="clear"/>
            <w:tcMar>
              <w:bottom w:w="0" w:type="dxa"/>
            </w:tcMar>
            <w:vAlign w:val="center"/>
          </w:tcPr>
          <w:p>
            <w:pPr>
              <w:pStyle w:val="TableContents"/>
              <w:bidi w:val="0"/>
              <w:spacing w:before="0" w:after="283"/>
              <w:jc w:val="center"/>
              <w:rPr/>
            </w:pPr>
            <w:bookmarkStart w:id="566" w:name="xdx_908_eus-gaap--ShareBasedCompensation"/>
            <w:bookmarkStart w:id="567" w:name="xdx_90F_eus-gaap--ShareBasedCompensation"/>
            <w:bookmarkEnd w:id="566"/>
            <w:bookmarkEnd w:id="567"/>
            <w:r>
              <w:rPr/>
              <w:t>4.2-</w:t>
            </w:r>
            <w:bookmarkStart w:id="568" w:name="xdx_908_eus-gaap--ShareBasedCompensation"/>
            <w:bookmarkStart w:id="569" w:name="xdx_90C_eus-gaap--ShareBasedCompensation"/>
            <w:bookmarkEnd w:id="568"/>
            <w:bookmarkEnd w:id="569"/>
            <w:r>
              <w:rPr/>
              <w:t>7.26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bookmarkStart w:id="570" w:name="xdx_983_eus-gaap--ShareBasedCompensation"/>
            <w:bookmarkEnd w:id="570"/>
          </w:p>
        </w:tc>
        <w:tc>
          <w:tcPr>
            <w:tcW w:w="1340" w:type="dxa"/>
            <w:tcBorders/>
            <w:shd w:fill="CCEEFF" w:val="clear"/>
            <w:tcMar>
              <w:bottom w:w="0" w:type="dxa"/>
            </w:tcMar>
            <w:vAlign w:val="center"/>
          </w:tcPr>
          <w:p>
            <w:pPr>
              <w:pStyle w:val="TableContents"/>
              <w:bidi w:val="0"/>
              <w:spacing w:before="0" w:after="283"/>
              <w:jc w:val="right"/>
              <w:rPr/>
            </w:pPr>
            <w:r>
              <w:rPr/>
              <w:t>639,232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bookmarkStart w:id="571" w:name="xdx_98A_eus-gaap--ShareBasedCompensation"/>
            <w:bookmarkEnd w:id="571"/>
          </w:p>
        </w:tc>
        <w:tc>
          <w:tcPr>
            <w:tcW w:w="1340" w:type="dxa"/>
            <w:tcBorders/>
            <w:shd w:fill="CCEEFF" w:val="clear"/>
            <w:tcMar>
              <w:bottom w:w="0" w:type="dxa"/>
            </w:tcMar>
            <w:vAlign w:val="center"/>
          </w:tcPr>
          <w:p>
            <w:pPr>
              <w:pStyle w:val="TableContents"/>
              <w:bidi w:val="0"/>
              <w:spacing w:before="0" w:after="283"/>
              <w:jc w:val="right"/>
              <w:rPr/>
            </w:pPr>
            <w:r>
              <w:rPr/>
              <w:t>687,482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 </w:t>
            </w:r>
          </w:p>
        </w:tc>
        <w:tc>
          <w:tcPr>
            <w:tcW w:w="1277" w:type="dxa"/>
            <w:tcBorders/>
            <w:shd w:fill="CCEEFF" w:val="clear"/>
            <w:tcMar>
              <w:bottom w:w="0" w:type="dxa"/>
            </w:tcMar>
            <w:vAlign w:val="center"/>
          </w:tcPr>
          <w:p>
            <w:pPr>
              <w:pStyle w:val="TableContents"/>
              <w:bidi w:val="0"/>
              <w:spacing w:before="0" w:after="283"/>
              <w:jc w:val="right"/>
              <w:rPr/>
            </w:pPr>
            <w:bookmarkStart w:id="572" w:name="xdx_908_eus-gaap--SharebasedCompensation"/>
            <w:bookmarkEnd w:id="572"/>
            <w:r>
              <w:rPr/>
              <w:t>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 </w:t>
            </w:r>
          </w:p>
        </w:tc>
        <w:tc>
          <w:tcPr>
            <w:tcW w:w="1277" w:type="dxa"/>
            <w:tcBorders/>
            <w:shd w:fill="CCEEFF" w:val="clear"/>
            <w:tcMar>
              <w:bottom w:w="0" w:type="dxa"/>
            </w:tcMar>
            <w:vAlign w:val="center"/>
          </w:tcPr>
          <w:p>
            <w:pPr>
              <w:pStyle w:val="TableContents"/>
              <w:bidi w:val="0"/>
              <w:spacing w:before="0" w:after="283"/>
              <w:jc w:val="right"/>
              <w:rPr/>
            </w:pPr>
            <w:bookmarkStart w:id="573" w:name="xdx_905_eus-gaap--SharebasedCompensation"/>
            <w:bookmarkEnd w:id="573"/>
            <w:r>
              <w:rPr/>
              <w:t>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bookmarkStart w:id="574" w:name="xdx_980_eus-gaap--ShareBasedCompensation"/>
            <w:bookmarkEnd w:id="574"/>
          </w:p>
        </w:tc>
        <w:tc>
          <w:tcPr>
            <w:tcW w:w="1255" w:type="dxa"/>
            <w:tcBorders/>
            <w:shd w:fill="CCEEFF" w:val="clear"/>
            <w:tcMar>
              <w:bottom w:w="0" w:type="dxa"/>
            </w:tcMar>
            <w:vAlign w:val="center"/>
          </w:tcPr>
          <w:p>
            <w:pPr>
              <w:pStyle w:val="TableContents"/>
              <w:bidi w:val="0"/>
              <w:spacing w:before="0" w:after="283"/>
              <w:jc w:val="right"/>
              <w:rPr/>
            </w:pPr>
            <w:r>
              <w:rPr/>
              <w:t>484,871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bookmarkStart w:id="575" w:name="xdx_982_eus-gaap--ShareBasedCompensation"/>
            <w:bookmarkEnd w:id="575"/>
          </w:p>
        </w:tc>
        <w:tc>
          <w:tcPr>
            <w:tcW w:w="1240" w:type="dxa"/>
            <w:tcBorders/>
            <w:shd w:fill="CCEEFF" w:val="clear"/>
            <w:tcMar>
              <w:bottom w:w="0" w:type="dxa"/>
            </w:tcMar>
            <w:vAlign w:val="center"/>
          </w:tcPr>
          <w:p>
            <w:pPr>
              <w:pStyle w:val="TableContents"/>
              <w:bidi w:val="0"/>
              <w:spacing w:before="0" w:after="283"/>
              <w:jc w:val="right"/>
              <w:rPr/>
            </w:pPr>
            <w:r>
              <w:rPr/>
              <w:t>315,807</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928" w:type="dxa"/>
            <w:tcBorders/>
            <w:shd w:fill="FFFFFF" w:val="clear"/>
            <w:tcMar>
              <w:bottom w:w="0" w:type="dxa"/>
            </w:tcMar>
            <w:vAlign w:val="center"/>
          </w:tcPr>
          <w:p>
            <w:pPr>
              <w:pStyle w:val="TableContents"/>
              <w:bidi w:val="0"/>
              <w:spacing w:before="0" w:after="283"/>
              <w:jc w:val="center"/>
              <w:rPr/>
            </w:pPr>
            <w:bookmarkStart w:id="576" w:name="xdx_905_eus-gaap--ShareBasedCompensation"/>
            <w:bookmarkStart w:id="577" w:name="xdx_901_eus-gaap--ShareBasedCompensation"/>
            <w:bookmarkEnd w:id="576"/>
            <w:bookmarkEnd w:id="577"/>
            <w:r>
              <w:rPr/>
              <w:t>8.16-</w:t>
            </w:r>
            <w:bookmarkStart w:id="578" w:name="xdx_909_eus-gaap--ShareBasedCompensation"/>
            <w:bookmarkStart w:id="579" w:name="xdx_901_eus-gaap--ShareBasedCompensation"/>
            <w:bookmarkEnd w:id="578"/>
            <w:bookmarkEnd w:id="579"/>
            <w:r>
              <w:rPr/>
              <w:t>9.64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bookmarkStart w:id="580" w:name="xdx_988_eus-gaap--ShareBasedCompensation"/>
            <w:bookmarkEnd w:id="580"/>
          </w:p>
        </w:tc>
        <w:tc>
          <w:tcPr>
            <w:tcW w:w="1340" w:type="dxa"/>
            <w:tcBorders/>
            <w:shd w:fill="FFFFFF" w:val="clear"/>
            <w:tcMar>
              <w:bottom w:w="0" w:type="dxa"/>
            </w:tcMar>
            <w:vAlign w:val="center"/>
          </w:tcPr>
          <w:p>
            <w:pPr>
              <w:pStyle w:val="TableContents"/>
              <w:bidi w:val="0"/>
              <w:spacing w:before="0" w:after="283"/>
              <w:jc w:val="right"/>
              <w:rPr/>
            </w:pPr>
            <w:r>
              <w:rPr/>
              <w:t>380,872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bookmarkStart w:id="581" w:name="xdx_980_eus-gaap--ShareBasedCompensation"/>
            <w:bookmarkEnd w:id="581"/>
          </w:p>
        </w:tc>
        <w:tc>
          <w:tcPr>
            <w:tcW w:w="1340" w:type="dxa"/>
            <w:tcBorders/>
            <w:shd w:fill="FFFFFF" w:val="clear"/>
            <w:tcMar>
              <w:bottom w:w="0" w:type="dxa"/>
            </w:tcMar>
            <w:vAlign w:val="center"/>
          </w:tcPr>
          <w:p>
            <w:pPr>
              <w:pStyle w:val="TableContents"/>
              <w:bidi w:val="0"/>
              <w:spacing w:before="0" w:after="283"/>
              <w:jc w:val="right"/>
              <w:rPr/>
            </w:pPr>
            <w:r>
              <w:rPr/>
              <w:t>380,872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 </w:t>
            </w:r>
          </w:p>
        </w:tc>
        <w:tc>
          <w:tcPr>
            <w:tcW w:w="1277" w:type="dxa"/>
            <w:tcBorders/>
            <w:shd w:fill="FFFFFF" w:val="clear"/>
            <w:tcMar>
              <w:bottom w:w="0" w:type="dxa"/>
            </w:tcMar>
            <w:vAlign w:val="center"/>
          </w:tcPr>
          <w:p>
            <w:pPr>
              <w:pStyle w:val="TableContents"/>
              <w:bidi w:val="0"/>
              <w:spacing w:before="0" w:after="283"/>
              <w:jc w:val="right"/>
              <w:rPr/>
            </w:pPr>
            <w:bookmarkStart w:id="582" w:name="xdx_902_eus-gaap--SharebasedCompensation"/>
            <w:bookmarkEnd w:id="582"/>
            <w:r>
              <w:rPr/>
              <w:t>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 </w:t>
            </w:r>
          </w:p>
        </w:tc>
        <w:tc>
          <w:tcPr>
            <w:tcW w:w="1277" w:type="dxa"/>
            <w:tcBorders/>
            <w:shd w:fill="FFFFFF" w:val="clear"/>
            <w:tcMar>
              <w:bottom w:w="0" w:type="dxa"/>
            </w:tcMar>
            <w:vAlign w:val="center"/>
          </w:tcPr>
          <w:p>
            <w:pPr>
              <w:pStyle w:val="TableContents"/>
              <w:bidi w:val="0"/>
              <w:spacing w:before="0" w:after="283"/>
              <w:jc w:val="right"/>
              <w:rPr/>
            </w:pPr>
            <w:bookmarkStart w:id="583" w:name="xdx_908_eus-gaap--SharebasedCompensation"/>
            <w:bookmarkEnd w:id="583"/>
            <w:r>
              <w:rPr/>
              <w:t>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bookmarkStart w:id="584" w:name="xdx_988_eus-gaap--ShareBasedCompensation"/>
            <w:bookmarkEnd w:id="584"/>
          </w:p>
        </w:tc>
        <w:tc>
          <w:tcPr>
            <w:tcW w:w="1255" w:type="dxa"/>
            <w:tcBorders/>
            <w:shd w:fill="FFFFFF" w:val="clear"/>
            <w:tcMar>
              <w:bottom w:w="0" w:type="dxa"/>
            </w:tcMar>
            <w:vAlign w:val="center"/>
          </w:tcPr>
          <w:p>
            <w:pPr>
              <w:pStyle w:val="TableContents"/>
              <w:bidi w:val="0"/>
              <w:spacing w:before="0" w:after="283"/>
              <w:jc w:val="right"/>
              <w:rPr/>
            </w:pPr>
            <w:r>
              <w:rPr/>
              <w:t>380,872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bookmarkStart w:id="585" w:name="xdx_98E_eus-gaap--ShareBasedCompensation"/>
            <w:bookmarkEnd w:id="585"/>
          </w:p>
        </w:tc>
        <w:tc>
          <w:tcPr>
            <w:tcW w:w="1240" w:type="dxa"/>
            <w:tcBorders/>
            <w:shd w:fill="FFFFFF" w:val="clear"/>
            <w:tcMar>
              <w:bottom w:w="0" w:type="dxa"/>
            </w:tcMar>
            <w:vAlign w:val="center"/>
          </w:tcPr>
          <w:p>
            <w:pPr>
              <w:pStyle w:val="TableContents"/>
              <w:bidi w:val="0"/>
              <w:spacing w:before="0" w:after="283"/>
              <w:jc w:val="right"/>
              <w:rPr/>
            </w:pPr>
            <w:r>
              <w:rPr/>
              <w:t>356,019</w:t>
            </w:r>
          </w:p>
        </w:tc>
        <w:tc>
          <w:tcPr>
            <w:tcW w:w="83" w:type="dxa"/>
            <w:tcBorders/>
            <w:shd w:fill="FFFFFF" w:val="clear"/>
            <w:tcMar>
              <w:bottom w:w="0" w:type="dxa"/>
            </w:tcMar>
            <w:vAlign w:val="center"/>
          </w:tcPr>
          <w:p>
            <w:pPr>
              <w:pStyle w:val="TableContents"/>
              <w:bidi w:val="0"/>
              <w:spacing w:before="0" w:after="283"/>
              <w:jc w:val="left"/>
              <w:rPr/>
            </w:pPr>
            <w:r>
              <w:rPr/>
              <w:t> </w:t>
            </w:r>
          </w:p>
        </w:tc>
      </w:tr>
      <w:tr>
        <w:trPr/>
        <w:tc>
          <w:tcPr>
            <w:tcW w:w="928" w:type="dxa"/>
            <w:tcBorders/>
            <w:shd w:fill="CCEEFF" w:val="clear"/>
            <w:tcMar>
              <w:bottom w:w="0" w:type="dxa"/>
            </w:tcMar>
            <w:vAlign w:val="center"/>
          </w:tcPr>
          <w:p>
            <w:pPr>
              <w:pStyle w:val="TableContents"/>
              <w:bidi w:val="0"/>
              <w:spacing w:before="0" w:after="283"/>
              <w:jc w:val="center"/>
              <w:rPr/>
            </w:pPr>
            <w:bookmarkStart w:id="586" w:name="xdx_901_eus-gaap--ShareBasedCompensation"/>
            <w:bookmarkStart w:id="587" w:name="xdx_900_eus-gaap--ShareBasedCompensation"/>
            <w:bookmarkEnd w:id="586"/>
            <w:bookmarkEnd w:id="587"/>
            <w:r>
              <w:rPr/>
              <w:t>15.3-</w:t>
            </w:r>
            <w:bookmarkStart w:id="588" w:name="xdx_908_eus-gaap--ShareBasedCompensation"/>
            <w:bookmarkStart w:id="589" w:name="xdx_908_eus-gaap--ShareBasedCompensation"/>
            <w:bookmarkEnd w:id="588"/>
            <w:bookmarkEnd w:id="589"/>
            <w:r>
              <w:rPr/>
              <w:t>15.75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bottom w:val="single" w:sz="12" w:space="0" w:color="000000"/>
            </w:tcBorders>
            <w:shd w:fill="CCEEFF" w:val="clear"/>
            <w:vAlign w:val="center"/>
          </w:tcPr>
          <w:p>
            <w:pPr>
              <w:pStyle w:val="TableContents"/>
              <w:bidi w:val="0"/>
              <w:spacing w:before="0" w:after="283"/>
              <w:jc w:val="left"/>
              <w:rPr/>
            </w:pPr>
            <w:r>
              <w:rPr/>
              <w:t> </w:t>
            </w:r>
            <w:bookmarkStart w:id="590" w:name="xdx_982_eus-gaap--ShareBasedCompensation"/>
            <w:bookmarkEnd w:id="590"/>
          </w:p>
        </w:tc>
        <w:tc>
          <w:tcPr>
            <w:tcW w:w="1340" w:type="dxa"/>
            <w:tcBorders>
              <w:bottom w:val="single" w:sz="12" w:space="0" w:color="000000"/>
            </w:tcBorders>
            <w:shd w:fill="CCEEFF" w:val="clear"/>
            <w:vAlign w:val="center"/>
          </w:tcPr>
          <w:p>
            <w:pPr>
              <w:pStyle w:val="TableContents"/>
              <w:bidi w:val="0"/>
              <w:spacing w:before="0" w:after="283"/>
              <w:jc w:val="right"/>
              <w:rPr/>
            </w:pPr>
            <w:r>
              <w:rPr/>
              <w:t>152,873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bottom w:val="single" w:sz="12" w:space="0" w:color="000000"/>
            </w:tcBorders>
            <w:shd w:fill="CCEEFF" w:val="clear"/>
            <w:vAlign w:val="center"/>
          </w:tcPr>
          <w:p>
            <w:pPr>
              <w:pStyle w:val="TableContents"/>
              <w:bidi w:val="0"/>
              <w:spacing w:before="0" w:after="283"/>
              <w:jc w:val="left"/>
              <w:rPr/>
            </w:pPr>
            <w:r>
              <w:rPr/>
              <w:t> </w:t>
            </w:r>
            <w:bookmarkStart w:id="591" w:name="xdx_98E_eus-gaap--ShareBasedCompensation"/>
            <w:bookmarkEnd w:id="591"/>
          </w:p>
        </w:tc>
        <w:tc>
          <w:tcPr>
            <w:tcW w:w="1340" w:type="dxa"/>
            <w:tcBorders>
              <w:bottom w:val="single" w:sz="12" w:space="0" w:color="000000"/>
            </w:tcBorders>
            <w:shd w:fill="CCEEFF" w:val="clear"/>
            <w:vAlign w:val="center"/>
          </w:tcPr>
          <w:p>
            <w:pPr>
              <w:pStyle w:val="TableContents"/>
              <w:bidi w:val="0"/>
              <w:spacing w:before="0" w:after="283"/>
              <w:jc w:val="right"/>
              <w:rPr/>
            </w:pPr>
            <w:r>
              <w:rPr/>
              <w:t>166,206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 </w:t>
            </w:r>
          </w:p>
        </w:tc>
        <w:tc>
          <w:tcPr>
            <w:tcW w:w="1277" w:type="dxa"/>
            <w:tcBorders/>
            <w:shd w:fill="CCEEFF" w:val="clear"/>
            <w:tcMar>
              <w:bottom w:w="0" w:type="dxa"/>
            </w:tcMar>
            <w:vAlign w:val="center"/>
          </w:tcPr>
          <w:p>
            <w:pPr>
              <w:pStyle w:val="TableContents"/>
              <w:bidi w:val="0"/>
              <w:spacing w:before="0" w:after="283"/>
              <w:jc w:val="right"/>
              <w:rPr/>
            </w:pPr>
            <w:bookmarkStart w:id="592" w:name="xdx_907_eus-gaap--SharebasedCompensation"/>
            <w:bookmarkEnd w:id="592"/>
            <w:r>
              <w:rPr/>
              <w:t>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 </w:t>
            </w:r>
          </w:p>
        </w:tc>
        <w:tc>
          <w:tcPr>
            <w:tcW w:w="1277" w:type="dxa"/>
            <w:tcBorders/>
            <w:shd w:fill="CCEEFF" w:val="clear"/>
            <w:tcMar>
              <w:bottom w:w="0" w:type="dxa"/>
            </w:tcMar>
            <w:vAlign w:val="center"/>
          </w:tcPr>
          <w:p>
            <w:pPr>
              <w:pStyle w:val="TableContents"/>
              <w:bidi w:val="0"/>
              <w:spacing w:before="0" w:after="283"/>
              <w:jc w:val="right"/>
              <w:rPr/>
            </w:pPr>
            <w:bookmarkStart w:id="593" w:name="xdx_903_eus-gaap--SharebasedCompensation"/>
            <w:bookmarkEnd w:id="593"/>
            <w:r>
              <w:rPr/>
              <w:t>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bottom w:val="single" w:sz="12" w:space="0" w:color="000000"/>
            </w:tcBorders>
            <w:shd w:fill="CCEEFF" w:val="clear"/>
            <w:vAlign w:val="center"/>
          </w:tcPr>
          <w:p>
            <w:pPr>
              <w:pStyle w:val="TableContents"/>
              <w:bidi w:val="0"/>
              <w:spacing w:before="0" w:after="283"/>
              <w:jc w:val="left"/>
              <w:rPr/>
            </w:pPr>
            <w:r>
              <w:rPr/>
              <w:t> </w:t>
            </w:r>
            <w:bookmarkStart w:id="594" w:name="xdx_986_eus-gaap--ShareBasedCompensation"/>
            <w:bookmarkEnd w:id="594"/>
          </w:p>
        </w:tc>
        <w:tc>
          <w:tcPr>
            <w:tcW w:w="1255" w:type="dxa"/>
            <w:tcBorders>
              <w:bottom w:val="single" w:sz="12" w:space="0" w:color="000000"/>
            </w:tcBorders>
            <w:shd w:fill="CCEEFF" w:val="clear"/>
            <w:vAlign w:val="center"/>
          </w:tcPr>
          <w:p>
            <w:pPr>
              <w:pStyle w:val="TableContents"/>
              <w:bidi w:val="0"/>
              <w:spacing w:before="0" w:after="283"/>
              <w:jc w:val="right"/>
              <w:rPr/>
            </w:pPr>
            <w:r>
              <w:rPr/>
              <w:t>152,873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bottom w:val="single" w:sz="12" w:space="0" w:color="000000"/>
            </w:tcBorders>
            <w:shd w:fill="CCEEFF" w:val="clear"/>
            <w:vAlign w:val="center"/>
          </w:tcPr>
          <w:p>
            <w:pPr>
              <w:pStyle w:val="TableContents"/>
              <w:bidi w:val="0"/>
              <w:spacing w:before="0" w:after="283"/>
              <w:jc w:val="left"/>
              <w:rPr/>
            </w:pPr>
            <w:r>
              <w:rPr/>
              <w:t> </w:t>
            </w:r>
            <w:bookmarkStart w:id="595" w:name="xdx_984_eus-gaap--ShareBasedCompensation"/>
            <w:bookmarkEnd w:id="595"/>
          </w:p>
        </w:tc>
        <w:tc>
          <w:tcPr>
            <w:tcW w:w="1240" w:type="dxa"/>
            <w:tcBorders>
              <w:bottom w:val="single" w:sz="12" w:space="0" w:color="000000"/>
            </w:tcBorders>
            <w:shd w:fill="CCEEFF" w:val="clear"/>
            <w:vAlign w:val="center"/>
          </w:tcPr>
          <w:p>
            <w:pPr>
              <w:pStyle w:val="TableContents"/>
              <w:bidi w:val="0"/>
              <w:spacing w:before="0" w:after="283"/>
              <w:jc w:val="right"/>
              <w:rPr/>
            </w:pPr>
            <w:r>
              <w:rPr/>
              <w:t>166,206</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92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bottom w:val="double" w:sz="6" w:space="0" w:color="000000"/>
            </w:tcBorders>
            <w:shd w:fill="FFFFFF" w:val="clear"/>
            <w:vAlign w:val="center"/>
          </w:tcPr>
          <w:p>
            <w:pPr>
              <w:pStyle w:val="TableContents"/>
              <w:bidi w:val="0"/>
              <w:spacing w:before="0" w:after="283"/>
              <w:jc w:val="left"/>
              <w:rPr/>
            </w:pPr>
            <w:r>
              <w:rPr/>
              <w:t> </w:t>
            </w:r>
            <w:bookmarkStart w:id="596" w:name="xdx_98C_eus-gaap--ShareBasedCompensation"/>
            <w:bookmarkEnd w:id="596"/>
          </w:p>
        </w:tc>
        <w:tc>
          <w:tcPr>
            <w:tcW w:w="1340" w:type="dxa"/>
            <w:tcBorders>
              <w:bottom w:val="double" w:sz="6" w:space="0" w:color="000000"/>
            </w:tcBorders>
            <w:shd w:fill="FFFFFF" w:val="clear"/>
            <w:vAlign w:val="center"/>
          </w:tcPr>
          <w:p>
            <w:pPr>
              <w:pStyle w:val="TableContents"/>
              <w:bidi w:val="0"/>
              <w:spacing w:before="0" w:after="283"/>
              <w:jc w:val="right"/>
              <w:rPr/>
            </w:pPr>
            <w:r>
              <w:rPr/>
              <w:t>2,095,362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bottom w:val="double" w:sz="6" w:space="0" w:color="000000"/>
            </w:tcBorders>
            <w:shd w:fill="FFFFFF" w:val="clear"/>
            <w:vAlign w:val="center"/>
          </w:tcPr>
          <w:p>
            <w:pPr>
              <w:pStyle w:val="TableContents"/>
              <w:bidi w:val="0"/>
              <w:spacing w:before="0" w:after="283"/>
              <w:jc w:val="left"/>
              <w:rPr/>
            </w:pPr>
            <w:r>
              <w:rPr/>
              <w:t> </w:t>
            </w:r>
            <w:bookmarkStart w:id="597" w:name="xdx_98A_eus-gaap--ShareBasedCompensation"/>
            <w:bookmarkEnd w:id="597"/>
          </w:p>
        </w:tc>
        <w:tc>
          <w:tcPr>
            <w:tcW w:w="1340" w:type="dxa"/>
            <w:tcBorders>
              <w:bottom w:val="double" w:sz="6" w:space="0" w:color="000000"/>
            </w:tcBorders>
            <w:shd w:fill="FFFFFF" w:val="clear"/>
            <w:vAlign w:val="center"/>
          </w:tcPr>
          <w:p>
            <w:pPr>
              <w:pStyle w:val="TableContents"/>
              <w:bidi w:val="0"/>
              <w:spacing w:before="0" w:after="283"/>
              <w:jc w:val="right"/>
              <w:rPr/>
            </w:pPr>
            <w:r>
              <w:rPr/>
              <w:t>1,507,137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 </w:t>
            </w:r>
          </w:p>
        </w:tc>
        <w:tc>
          <w:tcPr>
            <w:tcW w:w="127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 </w:t>
            </w:r>
          </w:p>
        </w:tc>
        <w:tc>
          <w:tcPr>
            <w:tcW w:w="127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bottom w:val="double" w:sz="6" w:space="0" w:color="000000"/>
            </w:tcBorders>
            <w:shd w:fill="FFFFFF" w:val="clear"/>
            <w:vAlign w:val="center"/>
          </w:tcPr>
          <w:p>
            <w:pPr>
              <w:pStyle w:val="TableContents"/>
              <w:bidi w:val="0"/>
              <w:spacing w:before="0" w:after="283"/>
              <w:jc w:val="left"/>
              <w:rPr/>
            </w:pPr>
            <w:r>
              <w:rPr/>
              <w:t> </w:t>
            </w:r>
            <w:bookmarkStart w:id="598" w:name="xdx_982_eus-gaap--ShareBasedCompensation"/>
            <w:bookmarkEnd w:id="598"/>
          </w:p>
        </w:tc>
        <w:tc>
          <w:tcPr>
            <w:tcW w:w="1255" w:type="dxa"/>
            <w:tcBorders>
              <w:bottom w:val="double" w:sz="6" w:space="0" w:color="000000"/>
            </w:tcBorders>
            <w:shd w:fill="FFFFFF" w:val="clear"/>
            <w:vAlign w:val="center"/>
          </w:tcPr>
          <w:p>
            <w:pPr>
              <w:pStyle w:val="TableContents"/>
              <w:bidi w:val="0"/>
              <w:spacing w:before="0" w:after="283"/>
              <w:jc w:val="right"/>
              <w:rPr/>
            </w:pPr>
            <w:r>
              <w:rPr/>
              <w:t>1,176,118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bottom w:val="double" w:sz="6" w:space="0" w:color="000000"/>
            </w:tcBorders>
            <w:shd w:fill="FFFFFF" w:val="clear"/>
            <w:vAlign w:val="center"/>
          </w:tcPr>
          <w:p>
            <w:pPr>
              <w:pStyle w:val="TableContents"/>
              <w:bidi w:val="0"/>
              <w:spacing w:before="0" w:after="283"/>
              <w:jc w:val="left"/>
              <w:rPr/>
            </w:pPr>
            <w:r>
              <w:rPr/>
              <w:t> </w:t>
            </w:r>
            <w:bookmarkStart w:id="599" w:name="xdx_98C_eus-gaap--ShareBasedCompensation"/>
            <w:bookmarkEnd w:id="599"/>
          </w:p>
        </w:tc>
        <w:tc>
          <w:tcPr>
            <w:tcW w:w="1240" w:type="dxa"/>
            <w:tcBorders>
              <w:bottom w:val="double" w:sz="6" w:space="0" w:color="000000"/>
            </w:tcBorders>
            <w:shd w:fill="FFFFFF" w:val="clear"/>
            <w:vAlign w:val="center"/>
          </w:tcPr>
          <w:p>
            <w:pPr>
              <w:pStyle w:val="TableContents"/>
              <w:bidi w:val="0"/>
              <w:spacing w:before="0" w:after="283"/>
              <w:jc w:val="right"/>
              <w:rPr/>
            </w:pPr>
            <w:r>
              <w:rPr/>
              <w:t>899,609</w:t>
            </w:r>
          </w:p>
        </w:tc>
        <w:tc>
          <w:tcPr>
            <w:tcW w:w="83"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080" w:right="0" w:hanging="0"/>
        <w:jc w:val="both"/>
        <w:rPr>
          <w:caps w:val="false"/>
          <w:smallCaps w:val="false"/>
        </w:rPr>
      </w:pPr>
      <w:bookmarkStart w:id="600" w:name="xdx_8A9_zecx5M2eZAw1"/>
      <w:bookmarkEnd w:id="60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10 - SHARE CAPITAL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Employee stock option grants: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601" w:name="xdx_895_eus-gaap--ScheduleOfShareBasedPa"/>
      <w:bookmarkEnd w:id="601"/>
      <w:r>
        <w:rPr>
          <w:rFonts w:ascii="Times New Roman;Times;Serif" w:hAnsi="Times New Roman;Times;Serif"/>
          <w:b w:val="false"/>
          <w:i w:val="false"/>
          <w:caps w:val="false"/>
          <w:smallCaps w:val="false"/>
          <w:sz w:val="20"/>
        </w:rPr>
        <w:t>The grant date fair values of employee stock options granted in the years ended December 31, 2023 and 2022 were estimated using the Black-Scholes valuation model with the following:</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602" w:name="xdx_8B3_zWPRLU039xbf"/>
      <w:bookmarkEnd w:id="602"/>
      <w:r>
        <w:rPr>
          <w:rFonts w:ascii="Times New Roman;Times;Serif" w:hAnsi="Times New Roman;Times;Serif"/>
          <w:b w:val="false"/>
          <w:i w:val="false"/>
          <w:caps w:val="false"/>
          <w:smallCaps w:val="false"/>
          <w:sz w:val="20"/>
        </w:rPr>
        <w:t>SCHEDULE OF STOCK OPTIONS VALUATION ASSUMPTIONS </w:t>
      </w:r>
    </w:p>
    <w:tbl>
      <w:tblPr>
        <w:tblW w:w="5040" w:type="dxa"/>
        <w:jc w:val="left"/>
        <w:tblInd w:w="0" w:type="dxa"/>
        <w:tblLayout w:type="fixed"/>
        <w:tblCellMar>
          <w:top w:w="0" w:type="dxa"/>
          <w:left w:w="0" w:type="dxa"/>
          <w:bottom w:w="0" w:type="dxa"/>
          <w:right w:w="0" w:type="dxa"/>
        </w:tblCellMar>
      </w:tblPr>
      <w:tblGrid>
        <w:gridCol w:w="2195"/>
        <w:gridCol w:w="60"/>
        <w:gridCol w:w="60"/>
        <w:gridCol w:w="1130"/>
        <w:gridCol w:w="60"/>
        <w:gridCol w:w="60"/>
        <w:gridCol w:w="60"/>
        <w:gridCol w:w="1340"/>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0" w:type="dxa"/>
            <w:gridSpan w:val="6"/>
            <w:tcBorders>
              <w:bottom w:val="single" w:sz="12" w:space="0" w:color="000000"/>
            </w:tcBorders>
            <w:tcMar>
              <w:bottom w:w="28" w:type="dxa"/>
            </w:tcMar>
            <w:vAlign w:val="center"/>
          </w:tcPr>
          <w:p>
            <w:pPr>
              <w:pStyle w:val="TableContents"/>
              <w:bidi w:val="0"/>
              <w:jc w:val="center"/>
              <w:rPr>
                <w:b/>
              </w:rPr>
            </w:pPr>
            <w:r>
              <w:rPr>
                <w:b/>
              </w:rPr>
              <w:t>For the Years Ended</w:t>
            </w:r>
          </w:p>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bookmarkStart w:id="603" w:name="xdx_904_eus-gaap--ShareBasedCompensation"/>
            <w:bookmarkEnd w:id="603"/>
            <w:r>
              <w:rPr>
                <w:rFonts w:ascii="Times New Roman;Times;Serif" w:hAnsi="Times New Roman;Times;Serif"/>
                <w:sz w:val="20"/>
              </w:rPr>
              <w:t>86.5%-</w:t>
            </w:r>
            <w:bookmarkStart w:id="604" w:name="xdx_90A_eus-gaap--ShareBasedCompensation"/>
            <w:bookmarkEnd w:id="604"/>
            <w:r>
              <w:rPr>
                <w:rFonts w:ascii="Times New Roman;Times;Serif" w:hAnsi="Times New Roman;Times;Serif"/>
                <w:sz w:val="20"/>
              </w:rPr>
              <w:t>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rFonts w:ascii="Times New Roman;Times;Serif" w:hAnsi="Times New Roman;Times;Serif"/>
                <w:sz w:val="20"/>
              </w:rPr>
            </w:pPr>
            <w:bookmarkStart w:id="605" w:name="xdx_905_eus-gaap--ShareBasedCompensation"/>
            <w:bookmarkEnd w:id="605"/>
            <w:r>
              <w:rPr>
                <w:rFonts w:ascii="Times New Roman;Times;Serif" w:hAnsi="Times New Roman;Times;Serif"/>
                <w:sz w:val="20"/>
              </w:rPr>
              <w:t>111.2%-</w:t>
            </w:r>
            <w:bookmarkStart w:id="606" w:name="xdx_906_eus-gaap--ShareBasedCompensation"/>
            <w:bookmarkEnd w:id="606"/>
            <w:r>
              <w:rPr>
                <w:rFonts w:ascii="Times New Roman;Times;Serif" w:hAnsi="Times New Roman;Times;Serif"/>
                <w:sz w:val="20"/>
              </w:rPr>
              <w:t>161.7%</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Risk-free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sz w:val="20"/>
              </w:rPr>
            </w:pPr>
            <w:bookmarkStart w:id="607" w:name="xdx_907_eus-gaap--ShareBasedCompensation"/>
            <w:bookmarkEnd w:id="607"/>
            <w:r>
              <w:rPr>
                <w:rFonts w:ascii="Times New Roman;Times;Serif" w:hAnsi="Times New Roman;Times;Serif"/>
                <w:sz w:val="20"/>
              </w:rPr>
              <w:t xml:space="preserve">3.3%- </w:t>
            </w:r>
            <w:bookmarkStart w:id="608" w:name="xdx_905_eus-gaap--ShareBasedCompensation"/>
            <w:bookmarkEnd w:id="608"/>
            <w:r>
              <w:rPr>
                <w:rFonts w:ascii="Times New Roman;Times;Serif" w:hAnsi="Times New Roman;Times;Serif"/>
                <w:sz w:val="20"/>
              </w:rPr>
              <w:t>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 New Roman;Times;Serif" w:hAnsi="Times New Roman;Times;Serif"/>
                <w:sz w:val="20"/>
              </w:rPr>
            </w:pPr>
            <w:bookmarkStart w:id="609" w:name="xdx_90F_eus-gaap--ShareBasedCompensation"/>
            <w:bookmarkEnd w:id="609"/>
            <w:r>
              <w:rPr>
                <w:rFonts w:ascii="Times New Roman;Times;Serif" w:hAnsi="Times New Roman;Times;Serif"/>
                <w:sz w:val="20"/>
              </w:rPr>
              <w:t xml:space="preserve">1.7%- </w:t>
            </w:r>
            <w:bookmarkStart w:id="610" w:name="xdx_90D_eus-gaap--ShareBasedCompensation"/>
            <w:bookmarkEnd w:id="610"/>
            <w:r>
              <w:rPr>
                <w:rFonts w:ascii="Times New Roman;Times;Serif" w:hAnsi="Times New Roman;Times;Serif"/>
                <w:sz w:val="20"/>
              </w:rPr>
              <w:t>3.7%</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Dividend yield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bookmarkStart w:id="611" w:name="xdx_908_eus-gaap--ShareBasedCompensation"/>
            <w:bookmarkEnd w:id="611"/>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rFonts w:ascii="Times New Roman;Times;Serif" w:hAnsi="Times New Roman;Times;Serif"/>
                <w:sz w:val="20"/>
              </w:rPr>
            </w:pPr>
            <w:bookmarkStart w:id="612" w:name="xdx_908_eus-gaap--ShareBasedCompensation"/>
            <w:bookmarkEnd w:id="612"/>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Expected terms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bookmarkStart w:id="613" w:name="xdx_903_eus-gaap--SharebasedCompensation"/>
            <w:bookmarkEnd w:id="613"/>
            <w:r>
              <w:rPr/>
              <w:t>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bookmarkStart w:id="614" w:name="xdx_90E_eus-gaap--SharebasedCompensation"/>
            <w:bookmarkEnd w:id="614"/>
            <w:r>
              <w:rPr/>
              <w:t>6.2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080" w:right="0" w:hanging="0"/>
        <w:jc w:val="both"/>
        <w:rPr>
          <w:caps w:val="false"/>
          <w:smallCaps w:val="false"/>
        </w:rPr>
      </w:pPr>
      <w:bookmarkStart w:id="615" w:name="xdx_8AD_zLsyM82OW8l8"/>
      <w:bookmarkEnd w:id="615"/>
      <w:r>
        <w:rPr>
          <w:caps w:val="false"/>
          <w:smallCaps w:val="false"/>
        </w:rPr>
        <w:t> </w:t>
      </w:r>
    </w:p>
    <w:p>
      <w:pPr>
        <w:pStyle w:val="TextBody"/>
        <w:bidi w:val="0"/>
        <w:spacing w:before="0" w:after="0"/>
        <w:ind w:left="108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Warrants: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616" w:name="xdx_894_eus-gaap--ScheduleOfStockholders"/>
      <w:bookmarkEnd w:id="616"/>
      <w:r>
        <w:rPr>
          <w:rFonts w:ascii="Times New Roman;Times;Serif" w:hAnsi="Times New Roman;Times;Serif"/>
          <w:b w:val="false"/>
          <w:i w:val="false"/>
          <w:caps w:val="false"/>
          <w:smallCaps w:val="false"/>
          <w:sz w:val="20"/>
        </w:rPr>
        <w:t>The remaining outstanding warrants and terms as of December 31, 2023 and 2022 are as follows:</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617" w:name="xdx_8B0_zTXjq10uGx3a"/>
      <w:bookmarkEnd w:id="617"/>
      <w:r>
        <w:rPr>
          <w:rFonts w:ascii="Times New Roman;Times;Serif" w:hAnsi="Times New Roman;Times;Serif"/>
          <w:b w:val="false"/>
          <w:i w:val="false"/>
          <w:caps w:val="false"/>
          <w:smallCaps w:val="false"/>
          <w:sz w:val="20"/>
        </w:rPr>
        <w:t>SCHEDULE OF WARRANTS OUTSTANDING </w:t>
      </w:r>
    </w:p>
    <w:tbl>
      <w:tblPr>
        <w:tblW w:w="10205" w:type="dxa"/>
        <w:jc w:val="left"/>
        <w:tblInd w:w="0" w:type="dxa"/>
        <w:tblLayout w:type="fixed"/>
        <w:tblCellMar>
          <w:top w:w="0" w:type="dxa"/>
          <w:left w:w="0" w:type="dxa"/>
          <w:bottom w:w="28" w:type="dxa"/>
          <w:right w:w="0" w:type="dxa"/>
        </w:tblCellMar>
      </w:tblPr>
      <w:tblGrid>
        <w:gridCol w:w="2040"/>
        <w:gridCol w:w="60"/>
        <w:gridCol w:w="146"/>
        <w:gridCol w:w="2420"/>
        <w:gridCol w:w="60"/>
        <w:gridCol w:w="60"/>
        <w:gridCol w:w="146"/>
        <w:gridCol w:w="2420"/>
        <w:gridCol w:w="60"/>
        <w:gridCol w:w="60"/>
        <w:gridCol w:w="159"/>
        <w:gridCol w:w="982"/>
        <w:gridCol w:w="95"/>
        <w:gridCol w:w="60"/>
        <w:gridCol w:w="1437"/>
      </w:tblGrid>
      <w:tr>
        <w:trPr/>
        <w:tc>
          <w:tcPr>
            <w:tcW w:w="2040" w:type="dxa"/>
            <w:tcBorders>
              <w:bottom w:val="single" w:sz="12" w:space="0" w:color="000000"/>
            </w:tcBorders>
            <w:vAlign w:val="center"/>
          </w:tcPr>
          <w:p>
            <w:pPr>
              <w:pStyle w:val="TableContents"/>
              <w:bidi w:val="0"/>
              <w:spacing w:before="0" w:after="283"/>
              <w:jc w:val="center"/>
              <w:rPr>
                <w:b/>
              </w:rPr>
            </w:pPr>
            <w:r>
              <w:rPr>
                <w:b/>
              </w:rPr>
              <w:t>Issuance date</w:t>
            </w:r>
          </w:p>
        </w:tc>
        <w:tc>
          <w:tcPr>
            <w:tcW w:w="60" w:type="dxa"/>
            <w:tcBorders/>
            <w:tcMar>
              <w:bottom w:w="0" w:type="dxa"/>
            </w:tcMar>
            <w:vAlign w:val="center"/>
          </w:tcPr>
          <w:p>
            <w:pPr>
              <w:pStyle w:val="TableContents"/>
              <w:bidi w:val="0"/>
              <w:spacing w:before="0" w:after="283"/>
              <w:jc w:val="center"/>
              <w:rPr/>
            </w:pPr>
            <w:r>
              <w:rPr/>
              <w:t> </w:t>
            </w:r>
          </w:p>
        </w:tc>
        <w:tc>
          <w:tcPr>
            <w:tcW w:w="2566" w:type="dxa"/>
            <w:gridSpan w:val="2"/>
            <w:tcBorders>
              <w:bottom w:val="single" w:sz="12" w:space="0" w:color="000000"/>
            </w:tcBorders>
            <w:vAlign w:val="center"/>
          </w:tcPr>
          <w:p>
            <w:pPr>
              <w:pStyle w:val="TableContents"/>
              <w:bidi w:val="0"/>
              <w:spacing w:before="0" w:after="283"/>
              <w:jc w:val="center"/>
              <w:rPr>
                <w:b/>
              </w:rPr>
            </w:pPr>
            <w:r>
              <w:rPr>
                <w:b/>
              </w:rPr>
              <w:t>Outstanding and exercisable as of December 31, 2023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566" w:type="dxa"/>
            <w:gridSpan w:val="2"/>
            <w:tcBorders>
              <w:bottom w:val="single" w:sz="12" w:space="0" w:color="000000"/>
            </w:tcBorders>
            <w:vAlign w:val="center"/>
          </w:tcPr>
          <w:p>
            <w:pPr>
              <w:pStyle w:val="TableContents"/>
              <w:bidi w:val="0"/>
              <w:spacing w:before="0" w:after="283"/>
              <w:jc w:val="center"/>
              <w:rPr>
                <w:b/>
              </w:rPr>
            </w:pPr>
            <w:r>
              <w:rPr>
                <w:b/>
              </w:rPr>
              <w:t>Outstanding and exercisable as of December 31, 2022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41" w:type="dxa"/>
            <w:gridSpan w:val="2"/>
            <w:tcBorders>
              <w:bottom w:val="single" w:sz="12" w:space="0" w:color="000000"/>
            </w:tcBorders>
            <w:vAlign w:val="center"/>
          </w:tcPr>
          <w:p>
            <w:pPr>
              <w:pStyle w:val="TableContents"/>
              <w:bidi w:val="0"/>
              <w:spacing w:before="0" w:after="283"/>
              <w:jc w:val="center"/>
              <w:rPr>
                <w:b/>
              </w:rPr>
            </w:pPr>
            <w:r>
              <w:rPr>
                <w:b/>
              </w:rPr>
              <w:t>Exercise Price</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37" w:type="dxa"/>
            <w:tcBorders>
              <w:bottom w:val="single" w:sz="12" w:space="0" w:color="000000"/>
            </w:tcBorders>
            <w:vAlign w:val="center"/>
          </w:tcPr>
          <w:p>
            <w:pPr>
              <w:pStyle w:val="TableContents"/>
              <w:bidi w:val="0"/>
              <w:jc w:val="center"/>
              <w:rPr>
                <w:b/>
              </w:rPr>
            </w:pPr>
            <w:r>
              <w:rPr>
                <w:b/>
              </w:rPr>
              <w:t>Exercisable</w:t>
            </w:r>
          </w:p>
          <w:p>
            <w:pPr>
              <w:pStyle w:val="TableContents"/>
              <w:bidi w:val="0"/>
              <w:spacing w:before="0" w:after="283"/>
              <w:jc w:val="center"/>
              <w:rPr>
                <w:b/>
              </w:rPr>
            </w:pPr>
            <w:r>
              <w:rPr>
                <w:b/>
              </w:rPr>
              <w:t>Through</w:t>
            </w:r>
          </w:p>
        </w:tc>
      </w:tr>
      <w:tr>
        <w:trPr/>
        <w:tc>
          <w:tcPr>
            <w:tcW w:w="2040" w:type="dxa"/>
            <w:tcBorders/>
            <w:shd w:fill="CCEEFF" w:val="clear"/>
            <w:tcMar>
              <w:bottom w:w="0" w:type="dxa"/>
            </w:tcMar>
            <w:vAlign w:val="center"/>
          </w:tcPr>
          <w:p>
            <w:pPr>
              <w:pStyle w:val="TableContents"/>
              <w:bidi w:val="0"/>
              <w:spacing w:before="0" w:after="283"/>
              <w:jc w:val="left"/>
              <w:rPr/>
            </w:pPr>
            <w:r>
              <w:rPr/>
              <w:t>Series A (2013)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bookmarkStart w:id="618" w:name="xdx_983_eus-gaap--ClassOfWarrantOrRightO"/>
            <w:bookmarkEnd w:id="618"/>
          </w:p>
        </w:tc>
        <w:tc>
          <w:tcPr>
            <w:tcW w:w="24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bookmarkStart w:id="619" w:name="xdx_98D_eus-gaap--ClassOfWarrantOrRightO"/>
            <w:bookmarkEnd w:id="619"/>
          </w:p>
        </w:tc>
        <w:tc>
          <w:tcPr>
            <w:tcW w:w="2420" w:type="dxa"/>
            <w:tcBorders/>
            <w:shd w:fill="CCEEFF" w:val="clear"/>
            <w:tcMar>
              <w:bottom w:w="0" w:type="dxa"/>
            </w:tcMar>
            <w:vAlign w:val="center"/>
          </w:tcPr>
          <w:p>
            <w:pPr>
              <w:pStyle w:val="TableContents"/>
              <w:bidi w:val="0"/>
              <w:spacing w:before="0" w:after="283"/>
              <w:jc w:val="right"/>
              <w:rPr/>
            </w:pPr>
            <w:r>
              <w:rPr/>
              <w:t>183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bookmarkStart w:id="620" w:name="xdx_98A_eus-gaap--ClassOfWarrantOrRightE"/>
            <w:bookmarkEnd w:id="620"/>
          </w:p>
        </w:tc>
        <w:tc>
          <w:tcPr>
            <w:tcW w:w="982" w:type="dxa"/>
            <w:tcBorders/>
            <w:shd w:fill="CCEEFF" w:val="clear"/>
            <w:tcMar>
              <w:bottom w:w="0" w:type="dxa"/>
            </w:tcMar>
            <w:vAlign w:val="center"/>
          </w:tcPr>
          <w:p>
            <w:pPr>
              <w:pStyle w:val="TableContents"/>
              <w:bidi w:val="0"/>
              <w:spacing w:before="0" w:after="283"/>
              <w:jc w:val="right"/>
              <w:rPr/>
            </w:pPr>
            <w:r>
              <w:rPr/>
              <w:t>2,754.00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7" w:type="dxa"/>
            <w:tcBorders/>
            <w:shd w:fill="CCEEFF" w:val="clear"/>
            <w:tcMar>
              <w:bottom w:w="0" w:type="dxa"/>
            </w:tcMar>
            <w:vAlign w:val="center"/>
          </w:tcPr>
          <w:p>
            <w:pPr>
              <w:pStyle w:val="TableContents"/>
              <w:bidi w:val="0"/>
              <w:spacing w:before="0" w:after="283"/>
              <w:jc w:val="center"/>
              <w:rPr/>
            </w:pPr>
            <w:bookmarkStart w:id="621" w:name="xdx_902_ecustom--ClassOfWarrantOrRighstM"/>
            <w:bookmarkEnd w:id="621"/>
            <w:r>
              <w:rPr/>
              <w:t>April 9, 2023</w:t>
            </w:r>
          </w:p>
        </w:tc>
      </w:tr>
      <w:tr>
        <w:trPr/>
        <w:tc>
          <w:tcPr>
            <w:tcW w:w="2040" w:type="dxa"/>
            <w:tcBorders/>
            <w:shd w:fill="FFFFFF" w:val="clear"/>
            <w:tcMar>
              <w:bottom w:w="0" w:type="dxa"/>
            </w:tcMar>
            <w:vAlign w:val="center"/>
          </w:tcPr>
          <w:p>
            <w:pPr>
              <w:pStyle w:val="TableContents"/>
              <w:bidi w:val="0"/>
              <w:spacing w:before="0" w:after="283"/>
              <w:jc w:val="left"/>
              <w:rPr/>
            </w:pPr>
            <w:r>
              <w:rPr/>
              <w:t>Warrant to underwriters December 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bookmarkStart w:id="622" w:name="xdx_98E_eus-gaap--ClassOfWarrantOrRightO"/>
            <w:bookmarkEnd w:id="622"/>
          </w:p>
        </w:tc>
        <w:tc>
          <w:tcPr>
            <w:tcW w:w="24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bookmarkStart w:id="623" w:name="xdx_980_eus-gaap--ClassOfWarrantOrRightO"/>
            <w:bookmarkEnd w:id="623"/>
          </w:p>
        </w:tc>
        <w:tc>
          <w:tcPr>
            <w:tcW w:w="2420" w:type="dxa"/>
            <w:tcBorders/>
            <w:shd w:fill="FFFFFF" w:val="clear"/>
            <w:tcMar>
              <w:bottom w:w="0" w:type="dxa"/>
            </w:tcMar>
            <w:vAlign w:val="center"/>
          </w:tcPr>
          <w:p>
            <w:pPr>
              <w:pStyle w:val="TableContents"/>
              <w:bidi w:val="0"/>
              <w:spacing w:before="0" w:after="283"/>
              <w:jc w:val="right"/>
              <w:rPr/>
            </w:pPr>
            <w:r>
              <w:rPr/>
              <w:t>45,643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w:t>
            </w:r>
            <w:bookmarkStart w:id="624" w:name="xdx_98A_eus-gaap--ClassOfWarrantOrRightE"/>
            <w:bookmarkEnd w:id="624"/>
          </w:p>
        </w:tc>
        <w:tc>
          <w:tcPr>
            <w:tcW w:w="982" w:type="dxa"/>
            <w:tcBorders/>
            <w:shd w:fill="FFFFFF" w:val="clear"/>
            <w:tcMar>
              <w:bottom w:w="0" w:type="dxa"/>
            </w:tcMar>
            <w:vAlign w:val="center"/>
          </w:tcPr>
          <w:p>
            <w:pPr>
              <w:pStyle w:val="TableContents"/>
              <w:bidi w:val="0"/>
              <w:spacing w:before="0" w:after="283"/>
              <w:jc w:val="right"/>
              <w:rPr/>
            </w:pPr>
            <w:r>
              <w:rPr/>
              <w:t>13.13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7" w:type="dxa"/>
            <w:tcBorders/>
            <w:shd w:fill="FFFFFF" w:val="clear"/>
            <w:tcMar>
              <w:bottom w:w="0" w:type="dxa"/>
            </w:tcMar>
            <w:vAlign w:val="center"/>
          </w:tcPr>
          <w:p>
            <w:pPr>
              <w:pStyle w:val="TableContents"/>
              <w:bidi w:val="0"/>
              <w:spacing w:before="0" w:after="283"/>
              <w:jc w:val="center"/>
              <w:rPr/>
            </w:pPr>
            <w:bookmarkStart w:id="625" w:name="xdx_907_ecustom--ClassOfWarrantOrRighstM"/>
            <w:bookmarkEnd w:id="625"/>
            <w:r>
              <w:rPr/>
              <w:t>June 25, 2023</w:t>
            </w:r>
          </w:p>
        </w:tc>
      </w:tr>
      <w:tr>
        <w:trPr/>
        <w:tc>
          <w:tcPr>
            <w:tcW w:w="2040" w:type="dxa"/>
            <w:tcBorders/>
            <w:shd w:fill="CCEEFF" w:val="clear"/>
            <w:tcMar>
              <w:bottom w:w="0" w:type="dxa"/>
            </w:tcMar>
            <w:vAlign w:val="center"/>
          </w:tcPr>
          <w:p>
            <w:pPr>
              <w:pStyle w:val="TableContents"/>
              <w:bidi w:val="0"/>
              <w:spacing w:before="0" w:after="283"/>
              <w:jc w:val="left"/>
              <w:rPr/>
            </w:pPr>
            <w:r>
              <w:rPr/>
              <w:t>Warrant to underwriters December 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bookmarkStart w:id="626" w:name="xdx_981_eus-gaap--ClassOfWarrantOrRightO"/>
            <w:bookmarkEnd w:id="626"/>
          </w:p>
        </w:tc>
        <w:tc>
          <w:tcPr>
            <w:tcW w:w="24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bookmarkStart w:id="627" w:name="xdx_982_eus-gaap--ClassOfWarrantOrRightO"/>
            <w:bookmarkEnd w:id="627"/>
          </w:p>
        </w:tc>
        <w:tc>
          <w:tcPr>
            <w:tcW w:w="2420" w:type="dxa"/>
            <w:tcBorders/>
            <w:shd w:fill="CCEEFF" w:val="clear"/>
            <w:tcMar>
              <w:bottom w:w="0" w:type="dxa"/>
            </w:tcMar>
            <w:vAlign w:val="center"/>
          </w:tcPr>
          <w:p>
            <w:pPr>
              <w:pStyle w:val="TableContents"/>
              <w:bidi w:val="0"/>
              <w:spacing w:before="0" w:after="283"/>
              <w:jc w:val="right"/>
              <w:rPr/>
            </w:pPr>
            <w:r>
              <w:rPr/>
              <w:t>47,619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bookmarkStart w:id="628" w:name="xdx_988_eus-gaap--ClassOfWarrantOrRightE"/>
            <w:bookmarkEnd w:id="628"/>
          </w:p>
        </w:tc>
        <w:tc>
          <w:tcPr>
            <w:tcW w:w="982" w:type="dxa"/>
            <w:tcBorders/>
            <w:shd w:fill="CCEEFF" w:val="clear"/>
            <w:tcMar>
              <w:bottom w:w="0" w:type="dxa"/>
            </w:tcMar>
            <w:vAlign w:val="center"/>
          </w:tcPr>
          <w:p>
            <w:pPr>
              <w:pStyle w:val="TableContents"/>
              <w:bidi w:val="0"/>
              <w:spacing w:before="0" w:after="283"/>
              <w:jc w:val="right"/>
              <w:rPr/>
            </w:pPr>
            <w:r>
              <w:rPr/>
              <w:t>13.13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7" w:type="dxa"/>
            <w:tcBorders/>
            <w:shd w:fill="CCEEFF" w:val="clear"/>
            <w:tcMar>
              <w:bottom w:w="0" w:type="dxa"/>
            </w:tcMar>
            <w:vAlign w:val="center"/>
          </w:tcPr>
          <w:p>
            <w:pPr>
              <w:pStyle w:val="TableContents"/>
              <w:bidi w:val="0"/>
              <w:spacing w:before="0" w:after="283"/>
              <w:jc w:val="center"/>
              <w:rPr/>
            </w:pPr>
            <w:bookmarkStart w:id="629" w:name="xdx_902_ecustom--ClassOfWarrantOrRighstM"/>
            <w:bookmarkEnd w:id="629"/>
            <w:r>
              <w:rPr/>
              <w:t>June 27, 2023</w:t>
            </w:r>
          </w:p>
        </w:tc>
      </w:tr>
      <w:tr>
        <w:trPr/>
        <w:tc>
          <w:tcPr>
            <w:tcW w:w="2040" w:type="dxa"/>
            <w:tcBorders/>
            <w:shd w:fill="FFFFFF" w:val="clear"/>
            <w:tcMar>
              <w:bottom w:w="0" w:type="dxa"/>
            </w:tcMar>
            <w:vAlign w:val="center"/>
          </w:tcPr>
          <w:p>
            <w:pPr>
              <w:pStyle w:val="TableContents"/>
              <w:bidi w:val="0"/>
              <w:spacing w:before="0" w:after="283"/>
              <w:jc w:val="left"/>
              <w:rPr/>
            </w:pPr>
            <w:r>
              <w:rPr/>
              <w:t>Warrant to underwriters December 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bookmarkStart w:id="630" w:name="xdx_984_eus-gaap--ClassOfWarrantOrRightO"/>
            <w:bookmarkEnd w:id="630"/>
          </w:p>
        </w:tc>
        <w:tc>
          <w:tcPr>
            <w:tcW w:w="24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bookmarkStart w:id="631" w:name="xdx_984_eus-gaap--ClassOfWarrantOrRightO"/>
            <w:bookmarkEnd w:id="631"/>
          </w:p>
        </w:tc>
        <w:tc>
          <w:tcPr>
            <w:tcW w:w="2420" w:type="dxa"/>
            <w:tcBorders/>
            <w:shd w:fill="FFFFFF" w:val="clear"/>
            <w:tcMar>
              <w:bottom w:w="0" w:type="dxa"/>
            </w:tcMar>
            <w:vAlign w:val="center"/>
          </w:tcPr>
          <w:p>
            <w:pPr>
              <w:pStyle w:val="TableContents"/>
              <w:bidi w:val="0"/>
              <w:spacing w:before="0" w:after="283"/>
              <w:jc w:val="right"/>
              <w:rPr/>
            </w:pPr>
            <w:r>
              <w:rPr/>
              <w:t>45,045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w:t>
            </w:r>
            <w:bookmarkStart w:id="632" w:name="xdx_98A_eus-gaap--ClassOfWarrantOrRightE"/>
            <w:bookmarkEnd w:id="632"/>
          </w:p>
        </w:tc>
        <w:tc>
          <w:tcPr>
            <w:tcW w:w="982" w:type="dxa"/>
            <w:tcBorders/>
            <w:shd w:fill="FFFFFF" w:val="clear"/>
            <w:tcMar>
              <w:bottom w:w="0" w:type="dxa"/>
            </w:tcMar>
            <w:vAlign w:val="center"/>
          </w:tcPr>
          <w:p>
            <w:pPr>
              <w:pStyle w:val="TableContents"/>
              <w:bidi w:val="0"/>
              <w:spacing w:before="0" w:after="283"/>
              <w:jc w:val="right"/>
              <w:rPr/>
            </w:pPr>
            <w:r>
              <w:rPr/>
              <w:t>13.88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7" w:type="dxa"/>
            <w:tcBorders/>
            <w:shd w:fill="FFFFFF" w:val="clear"/>
            <w:tcMar>
              <w:bottom w:w="0" w:type="dxa"/>
            </w:tcMar>
            <w:vAlign w:val="center"/>
          </w:tcPr>
          <w:p>
            <w:pPr>
              <w:pStyle w:val="TableContents"/>
              <w:bidi w:val="0"/>
              <w:spacing w:before="0" w:after="283"/>
              <w:jc w:val="center"/>
              <w:rPr/>
            </w:pPr>
            <w:bookmarkStart w:id="633" w:name="xdx_90A_ecustom--ClassOfWarrantOrRighstM"/>
            <w:bookmarkEnd w:id="633"/>
            <w:r>
              <w:rPr/>
              <w:t>June 30, 2023</w:t>
            </w:r>
          </w:p>
        </w:tc>
      </w:tr>
      <w:tr>
        <w:trPr/>
        <w:tc>
          <w:tcPr>
            <w:tcW w:w="2040" w:type="dxa"/>
            <w:tcBorders/>
            <w:shd w:fill="CCEEFF" w:val="clear"/>
            <w:tcMar>
              <w:bottom w:w="0" w:type="dxa"/>
            </w:tcMar>
            <w:vAlign w:val="center"/>
          </w:tcPr>
          <w:p>
            <w:pPr>
              <w:pStyle w:val="TableContents"/>
              <w:bidi w:val="0"/>
              <w:spacing w:before="0" w:after="283"/>
              <w:jc w:val="left"/>
              <w:rPr/>
            </w:pPr>
            <w:r>
              <w:rPr/>
              <w:t>Series A October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bookmarkStart w:id="634" w:name="xdx_984_eus-gaap--ClassOfWarrantOrRightO"/>
            <w:bookmarkEnd w:id="634"/>
          </w:p>
        </w:tc>
        <w:tc>
          <w:tcPr>
            <w:tcW w:w="2420" w:type="dxa"/>
            <w:tcBorders/>
            <w:shd w:fill="CCEEFF" w:val="clear"/>
            <w:tcMar>
              <w:bottom w:w="0" w:type="dxa"/>
            </w:tcMar>
            <w:vAlign w:val="center"/>
          </w:tcPr>
          <w:p>
            <w:pPr>
              <w:pStyle w:val="TableContents"/>
              <w:bidi w:val="0"/>
              <w:spacing w:before="0" w:after="283"/>
              <w:jc w:val="right"/>
              <w:rPr/>
            </w:pPr>
            <w:r>
              <w:rPr/>
              <w:t>1,022,495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bookmarkStart w:id="635" w:name="xdx_98F_eus-gaap--ClassOfWarrantOrRightO"/>
            <w:bookmarkEnd w:id="635"/>
          </w:p>
        </w:tc>
        <w:tc>
          <w:tcPr>
            <w:tcW w:w="2420" w:type="dxa"/>
            <w:tcBorders/>
            <w:shd w:fill="CCEEFF" w:val="clear"/>
            <w:tcMar>
              <w:bottom w:w="0" w:type="dxa"/>
            </w:tcMar>
            <w:vAlign w:val="center"/>
          </w:tcPr>
          <w:p>
            <w:pPr>
              <w:pStyle w:val="TableContents"/>
              <w:bidi w:val="0"/>
              <w:spacing w:before="0" w:after="283"/>
              <w:jc w:val="right"/>
              <w:rPr/>
            </w:pPr>
            <w:r>
              <w:rPr/>
              <w:t>1,022,495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bookmarkStart w:id="636" w:name="xdx_980_eus-gaap--ClassOfWarrantOrRightE"/>
            <w:bookmarkEnd w:id="636"/>
          </w:p>
        </w:tc>
        <w:tc>
          <w:tcPr>
            <w:tcW w:w="982" w:type="dxa"/>
            <w:tcBorders/>
            <w:shd w:fill="CCEEFF" w:val="clear"/>
            <w:tcMar>
              <w:bottom w:w="0" w:type="dxa"/>
            </w:tcMar>
            <w:vAlign w:val="center"/>
          </w:tcPr>
          <w:p>
            <w:pPr>
              <w:pStyle w:val="TableContents"/>
              <w:bidi w:val="0"/>
              <w:spacing w:before="0" w:after="283"/>
              <w:jc w:val="right"/>
              <w:rPr/>
            </w:pPr>
            <w:r>
              <w:rPr/>
              <w:t>2.20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7" w:type="dxa"/>
            <w:tcBorders/>
            <w:shd w:fill="CCEEFF" w:val="clear"/>
            <w:tcMar>
              <w:bottom w:w="0" w:type="dxa"/>
            </w:tcMar>
            <w:vAlign w:val="center"/>
          </w:tcPr>
          <w:p>
            <w:pPr>
              <w:pStyle w:val="TableContents"/>
              <w:bidi w:val="0"/>
              <w:spacing w:before="0" w:after="283"/>
              <w:jc w:val="center"/>
              <w:rPr/>
            </w:pPr>
            <w:bookmarkStart w:id="637" w:name="xdx_90F_ecustom--ClassOfWarrantOrRighstM"/>
            <w:bookmarkEnd w:id="637"/>
            <w:r>
              <w:rPr/>
              <w:t>October 25, 2027</w:t>
            </w:r>
          </w:p>
        </w:tc>
      </w:tr>
      <w:tr>
        <w:trPr/>
        <w:tc>
          <w:tcPr>
            <w:tcW w:w="2040" w:type="dxa"/>
            <w:tcBorders/>
            <w:shd w:fill="FFFFFF" w:val="clear"/>
            <w:tcMar>
              <w:bottom w:w="0" w:type="dxa"/>
            </w:tcMar>
            <w:vAlign w:val="center"/>
          </w:tcPr>
          <w:p>
            <w:pPr>
              <w:pStyle w:val="TableContents"/>
              <w:bidi w:val="0"/>
              <w:spacing w:before="0" w:after="283"/>
              <w:jc w:val="left"/>
              <w:rPr/>
            </w:pPr>
            <w:r>
              <w:rPr/>
              <w:t>Series B October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bookmarkStart w:id="638" w:name="xdx_980_eus-gaap--ClassOfWarrantOrRightO"/>
            <w:bookmarkEnd w:id="638"/>
          </w:p>
        </w:tc>
        <w:tc>
          <w:tcPr>
            <w:tcW w:w="24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bookmarkStart w:id="639" w:name="xdx_98B_eus-gaap--ClassOfWarrantOrRightO"/>
            <w:bookmarkEnd w:id="639"/>
          </w:p>
        </w:tc>
        <w:tc>
          <w:tcPr>
            <w:tcW w:w="2420" w:type="dxa"/>
            <w:tcBorders/>
            <w:shd w:fill="FFFFFF" w:val="clear"/>
            <w:tcMar>
              <w:bottom w:w="0" w:type="dxa"/>
            </w:tcMar>
            <w:vAlign w:val="center"/>
          </w:tcPr>
          <w:p>
            <w:pPr>
              <w:pStyle w:val="TableContents"/>
              <w:bidi w:val="0"/>
              <w:spacing w:before="0" w:after="283"/>
              <w:jc w:val="right"/>
              <w:rPr/>
            </w:pPr>
            <w:r>
              <w:rPr/>
              <w:t>1,022,495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w:t>
            </w:r>
            <w:bookmarkStart w:id="640" w:name="xdx_989_eus-gaap--ClassOfWarrantOrRightE"/>
            <w:bookmarkEnd w:id="640"/>
          </w:p>
        </w:tc>
        <w:tc>
          <w:tcPr>
            <w:tcW w:w="982" w:type="dxa"/>
            <w:tcBorders/>
            <w:shd w:fill="FFFFFF" w:val="clear"/>
            <w:tcMar>
              <w:bottom w:w="0" w:type="dxa"/>
            </w:tcMar>
            <w:vAlign w:val="center"/>
          </w:tcPr>
          <w:p>
            <w:pPr>
              <w:pStyle w:val="TableContents"/>
              <w:bidi w:val="0"/>
              <w:spacing w:before="0" w:after="283"/>
              <w:jc w:val="right"/>
              <w:rPr/>
            </w:pPr>
            <w:r>
              <w:rPr/>
              <w:t>2.20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7" w:type="dxa"/>
            <w:tcBorders/>
            <w:shd w:fill="FFFFFF" w:val="clear"/>
            <w:tcMar>
              <w:bottom w:w="0" w:type="dxa"/>
            </w:tcMar>
            <w:vAlign w:val="center"/>
          </w:tcPr>
          <w:p>
            <w:pPr>
              <w:pStyle w:val="TableContents"/>
              <w:bidi w:val="0"/>
              <w:spacing w:before="0" w:after="283"/>
              <w:jc w:val="center"/>
              <w:rPr/>
            </w:pPr>
            <w:bookmarkStart w:id="641" w:name="xdx_90D_ecustom--ClassOfWarrantOrRighstM"/>
            <w:bookmarkEnd w:id="641"/>
            <w:r>
              <w:rPr/>
              <w:t>October 25, 2027</w:t>
            </w:r>
          </w:p>
        </w:tc>
      </w:tr>
      <w:tr>
        <w:trPr/>
        <w:tc>
          <w:tcPr>
            <w:tcW w:w="2040" w:type="dxa"/>
            <w:tcBorders/>
            <w:shd w:fill="CCEEFF" w:val="clear"/>
            <w:tcMar>
              <w:bottom w:w="0" w:type="dxa"/>
            </w:tcMar>
            <w:vAlign w:val="center"/>
          </w:tcPr>
          <w:p>
            <w:pPr>
              <w:pStyle w:val="TableContents"/>
              <w:bidi w:val="0"/>
              <w:spacing w:before="0" w:after="283"/>
              <w:jc w:val="left"/>
              <w:rPr/>
            </w:pPr>
            <w:r>
              <w:rPr/>
              <w:t>Prefunded warrants October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bookmarkStart w:id="642" w:name="xdx_985_eus-gaap--ClassOfWarrantOrRightO"/>
            <w:bookmarkEnd w:id="642"/>
          </w:p>
        </w:tc>
        <w:tc>
          <w:tcPr>
            <w:tcW w:w="24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bookmarkStart w:id="643" w:name="xdx_989_eus-gaap--ClassOfWarrantOrRightO"/>
            <w:bookmarkEnd w:id="643"/>
          </w:p>
        </w:tc>
        <w:tc>
          <w:tcPr>
            <w:tcW w:w="2420" w:type="dxa"/>
            <w:tcBorders/>
            <w:shd w:fill="CCEEFF" w:val="clear"/>
            <w:tcMar>
              <w:bottom w:w="0" w:type="dxa"/>
            </w:tcMar>
            <w:vAlign w:val="center"/>
          </w:tcPr>
          <w:p>
            <w:pPr>
              <w:pStyle w:val="TableContents"/>
              <w:bidi w:val="0"/>
              <w:spacing w:before="0" w:after="283"/>
              <w:jc w:val="right"/>
              <w:rPr/>
            </w:pPr>
            <w:r>
              <w:rPr/>
              <w:t>240,000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bookmarkStart w:id="644" w:name="xdx_989_eus-gaap--ClassOfWarrantOrRightE"/>
            <w:bookmarkEnd w:id="644"/>
          </w:p>
        </w:tc>
        <w:tc>
          <w:tcPr>
            <w:tcW w:w="982" w:type="dxa"/>
            <w:tcBorders/>
            <w:shd w:fill="CCEEFF" w:val="clear"/>
            <w:tcMar>
              <w:bottom w:w="0" w:type="dxa"/>
            </w:tcMar>
            <w:vAlign w:val="center"/>
          </w:tcPr>
          <w:p>
            <w:pPr>
              <w:pStyle w:val="TableContents"/>
              <w:bidi w:val="0"/>
              <w:spacing w:before="0" w:after="283"/>
              <w:jc w:val="right"/>
              <w:rPr/>
            </w:pPr>
            <w:bookmarkStart w:id="645" w:name="xdx_F2A_zI5y2ds1R2nh"/>
            <w:bookmarkEnd w:id="645"/>
            <w:r>
              <w:rPr/>
              <w:t>(*</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7" w:type="dxa"/>
            <w:tcBorders/>
            <w:shd w:fill="CCEEFF" w:val="clear"/>
            <w:tcMar>
              <w:bottom w:w="0" w:type="dxa"/>
            </w:tcMar>
            <w:vAlign w:val="center"/>
          </w:tcPr>
          <w:p>
            <w:pPr>
              <w:pStyle w:val="TableContents"/>
              <w:bidi w:val="0"/>
              <w:spacing w:before="0" w:after="283"/>
              <w:jc w:val="center"/>
              <w:rPr/>
            </w:pPr>
            <w:bookmarkStart w:id="646" w:name="xdx_907_ecustom--ClassOfWarrantOrRighstM"/>
            <w:bookmarkEnd w:id="646"/>
            <w:r>
              <w:rPr/>
              <w:t>No limit</w:t>
            </w:r>
          </w:p>
        </w:tc>
      </w:tr>
      <w:tr>
        <w:trPr/>
        <w:tc>
          <w:tcPr>
            <w:tcW w:w="2040" w:type="dxa"/>
            <w:tcBorders/>
            <w:shd w:fill="FFFFFF" w:val="clear"/>
            <w:tcMar>
              <w:bottom w:w="0" w:type="dxa"/>
            </w:tcMar>
            <w:vAlign w:val="center"/>
          </w:tcPr>
          <w:p>
            <w:pPr>
              <w:pStyle w:val="TableContents"/>
              <w:bidi w:val="0"/>
              <w:spacing w:before="0" w:after="283"/>
              <w:jc w:val="left"/>
              <w:rPr/>
            </w:pPr>
            <w:r>
              <w:rPr/>
              <w:t>Warrant to underwriters October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bookmarkStart w:id="647" w:name="xdx_980_eus-gaap--ClassOfWarrantOrRightO"/>
            <w:bookmarkEnd w:id="647"/>
          </w:p>
        </w:tc>
        <w:tc>
          <w:tcPr>
            <w:tcW w:w="2420" w:type="dxa"/>
            <w:tcBorders/>
            <w:shd w:fill="FFFFFF" w:val="clear"/>
            <w:tcMar>
              <w:bottom w:w="0" w:type="dxa"/>
            </w:tcMar>
            <w:vAlign w:val="center"/>
          </w:tcPr>
          <w:p>
            <w:pPr>
              <w:pStyle w:val="TableContents"/>
              <w:bidi w:val="0"/>
              <w:spacing w:before="0" w:after="283"/>
              <w:jc w:val="right"/>
              <w:rPr/>
            </w:pPr>
            <w:r>
              <w:rPr/>
              <w:t>51,125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bookmarkStart w:id="648" w:name="xdx_98B_eus-gaap--ClassOfWarrantOrRightO"/>
            <w:bookmarkEnd w:id="648"/>
          </w:p>
        </w:tc>
        <w:tc>
          <w:tcPr>
            <w:tcW w:w="2420" w:type="dxa"/>
            <w:tcBorders/>
            <w:shd w:fill="FFFFFF" w:val="clear"/>
            <w:tcMar>
              <w:bottom w:w="0" w:type="dxa"/>
            </w:tcMar>
            <w:vAlign w:val="center"/>
          </w:tcPr>
          <w:p>
            <w:pPr>
              <w:pStyle w:val="TableContents"/>
              <w:bidi w:val="0"/>
              <w:spacing w:before="0" w:after="283"/>
              <w:jc w:val="right"/>
              <w:rPr/>
            </w:pPr>
            <w:r>
              <w:rPr/>
              <w:t>51,125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w:t>
            </w:r>
            <w:bookmarkStart w:id="649" w:name="xdx_98F_eus-gaap--ClassOfWarrantOrRightE"/>
            <w:bookmarkEnd w:id="649"/>
          </w:p>
        </w:tc>
        <w:tc>
          <w:tcPr>
            <w:tcW w:w="982" w:type="dxa"/>
            <w:tcBorders/>
            <w:shd w:fill="FFFFFF" w:val="clear"/>
            <w:tcMar>
              <w:bottom w:w="0" w:type="dxa"/>
            </w:tcMar>
            <w:vAlign w:val="center"/>
          </w:tcPr>
          <w:p>
            <w:pPr>
              <w:pStyle w:val="TableContents"/>
              <w:bidi w:val="0"/>
              <w:spacing w:before="0" w:after="283"/>
              <w:jc w:val="right"/>
              <w:rPr/>
            </w:pPr>
            <w:r>
              <w:rPr/>
              <w:t>6.11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7" w:type="dxa"/>
            <w:tcBorders/>
            <w:shd w:fill="FFFFFF" w:val="clear"/>
            <w:tcMar>
              <w:bottom w:w="0" w:type="dxa"/>
            </w:tcMar>
            <w:vAlign w:val="center"/>
          </w:tcPr>
          <w:p>
            <w:pPr>
              <w:pStyle w:val="TableContents"/>
              <w:bidi w:val="0"/>
              <w:spacing w:before="0" w:after="283"/>
              <w:jc w:val="center"/>
              <w:rPr/>
            </w:pPr>
            <w:bookmarkStart w:id="650" w:name="xdx_903_ecustom--ClassOfWarrantOrRighstM"/>
            <w:bookmarkEnd w:id="650"/>
            <w:r>
              <w:rPr/>
              <w:t>October 21, 2027</w:t>
            </w:r>
          </w:p>
        </w:tc>
      </w:tr>
      <w:tr>
        <w:trPr/>
        <w:tc>
          <w:tcPr>
            <w:tcW w:w="2040" w:type="dxa"/>
            <w:tcBorders/>
            <w:shd w:fill="CCEEFF" w:val="clear"/>
            <w:tcMar>
              <w:bottom w:w="0" w:type="dxa"/>
            </w:tcMar>
            <w:vAlign w:val="center"/>
          </w:tcPr>
          <w:p>
            <w:pPr>
              <w:pStyle w:val="TableContents"/>
              <w:bidi w:val="0"/>
              <w:spacing w:before="0" w:after="283"/>
              <w:jc w:val="left"/>
              <w:rPr/>
            </w:pPr>
            <w:r>
              <w:rPr/>
              <w:t>Warrant to underwriters May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bookmarkStart w:id="651" w:name="xdx_987_eus-gaap--ClassOfWarrantOrRightO"/>
            <w:bookmarkEnd w:id="651"/>
          </w:p>
        </w:tc>
        <w:tc>
          <w:tcPr>
            <w:tcW w:w="2420" w:type="dxa"/>
            <w:tcBorders/>
            <w:shd w:fill="CCEEFF" w:val="clear"/>
            <w:tcMar>
              <w:bottom w:w="0" w:type="dxa"/>
            </w:tcMar>
            <w:vAlign w:val="center"/>
          </w:tcPr>
          <w:p>
            <w:pPr>
              <w:pStyle w:val="TableContents"/>
              <w:bidi w:val="0"/>
              <w:spacing w:before="0" w:after="283"/>
              <w:jc w:val="right"/>
              <w:rPr/>
            </w:pPr>
            <w:r>
              <w:rPr/>
              <w:t>32,778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bookmarkStart w:id="652" w:name="xdx_986_eus-gaap--ClassOfWarrantOrRightO"/>
            <w:bookmarkEnd w:id="652"/>
          </w:p>
        </w:tc>
        <w:tc>
          <w:tcPr>
            <w:tcW w:w="24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bookmarkStart w:id="653" w:name="xdx_98C_eus-gaap--ClassOfWarrantOrRightE"/>
            <w:bookmarkEnd w:id="653"/>
          </w:p>
        </w:tc>
        <w:tc>
          <w:tcPr>
            <w:tcW w:w="982" w:type="dxa"/>
            <w:tcBorders/>
            <w:shd w:fill="CCEEFF" w:val="clear"/>
            <w:tcMar>
              <w:bottom w:w="0" w:type="dxa"/>
            </w:tcMar>
            <w:vAlign w:val="center"/>
          </w:tcPr>
          <w:p>
            <w:pPr>
              <w:pStyle w:val="TableContents"/>
              <w:bidi w:val="0"/>
              <w:spacing w:before="0" w:after="283"/>
              <w:jc w:val="right"/>
              <w:rPr/>
            </w:pPr>
            <w:r>
              <w:rPr/>
              <w:t>2.75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7" w:type="dxa"/>
            <w:tcBorders/>
            <w:shd w:fill="CCEEFF" w:val="clear"/>
            <w:tcMar>
              <w:bottom w:w="0" w:type="dxa"/>
            </w:tcMar>
            <w:vAlign w:val="center"/>
          </w:tcPr>
          <w:p>
            <w:pPr>
              <w:pStyle w:val="TableContents"/>
              <w:bidi w:val="0"/>
              <w:spacing w:before="0" w:after="283"/>
              <w:jc w:val="center"/>
              <w:rPr/>
            </w:pPr>
            <w:bookmarkStart w:id="654" w:name="xdx_908_ecustom--ClassOfWarrantOrRighstM"/>
            <w:bookmarkEnd w:id="654"/>
            <w:r>
              <w:rPr/>
              <w:t>November 23, 2026</w:t>
            </w:r>
          </w:p>
        </w:tc>
      </w:tr>
      <w:tr>
        <w:trPr/>
        <w:tc>
          <w:tcPr>
            <w:tcW w:w="2040" w:type="dxa"/>
            <w:tcBorders/>
            <w:shd w:fill="FFFFFF" w:val="clear"/>
            <w:tcMar>
              <w:bottom w:w="0" w:type="dxa"/>
            </w:tcMar>
            <w:vAlign w:val="center"/>
          </w:tcPr>
          <w:p>
            <w:pPr>
              <w:pStyle w:val="TableContents"/>
              <w:bidi w:val="0"/>
              <w:spacing w:before="0" w:after="283"/>
              <w:jc w:val="left"/>
              <w:rPr/>
            </w:pPr>
            <w:r>
              <w:rPr/>
              <w:t>Warrant to underwriters May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bookmarkStart w:id="655" w:name="xdx_982_eus-gaap--ClassOfWarrantOrRightO"/>
            <w:bookmarkEnd w:id="655"/>
          </w:p>
        </w:tc>
        <w:tc>
          <w:tcPr>
            <w:tcW w:w="2420" w:type="dxa"/>
            <w:tcBorders/>
            <w:shd w:fill="FFFFFF" w:val="clear"/>
            <w:tcMar>
              <w:bottom w:w="0" w:type="dxa"/>
            </w:tcMar>
            <w:vAlign w:val="center"/>
          </w:tcPr>
          <w:p>
            <w:pPr>
              <w:pStyle w:val="TableContents"/>
              <w:bidi w:val="0"/>
              <w:spacing w:before="0" w:after="283"/>
              <w:jc w:val="right"/>
              <w:rPr/>
            </w:pPr>
            <w:r>
              <w:rPr/>
              <w:t>60,476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bookmarkStart w:id="656" w:name="xdx_989_eus-gaap--ClassOfWarrantOrRightO"/>
            <w:bookmarkEnd w:id="656"/>
          </w:p>
        </w:tc>
        <w:tc>
          <w:tcPr>
            <w:tcW w:w="24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w:t>
            </w:r>
            <w:bookmarkStart w:id="657" w:name="xdx_98C_eus-gaap--ClassOfWarrantOrRightE"/>
            <w:bookmarkEnd w:id="657"/>
          </w:p>
        </w:tc>
        <w:tc>
          <w:tcPr>
            <w:tcW w:w="982" w:type="dxa"/>
            <w:tcBorders/>
            <w:shd w:fill="FFFFFF" w:val="clear"/>
            <w:tcMar>
              <w:bottom w:w="0" w:type="dxa"/>
            </w:tcMar>
            <w:vAlign w:val="center"/>
          </w:tcPr>
          <w:p>
            <w:pPr>
              <w:pStyle w:val="TableContents"/>
              <w:bidi w:val="0"/>
              <w:spacing w:before="0" w:after="283"/>
              <w:jc w:val="right"/>
              <w:rPr/>
            </w:pPr>
            <w:r>
              <w:rPr/>
              <w:t>2.75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7" w:type="dxa"/>
            <w:tcBorders/>
            <w:shd w:fill="FFFFFF" w:val="clear"/>
            <w:tcMar>
              <w:bottom w:w="0" w:type="dxa"/>
            </w:tcMar>
            <w:vAlign w:val="center"/>
          </w:tcPr>
          <w:p>
            <w:pPr>
              <w:pStyle w:val="TableContents"/>
              <w:bidi w:val="0"/>
              <w:spacing w:before="0" w:after="283"/>
              <w:jc w:val="center"/>
              <w:rPr/>
            </w:pPr>
            <w:bookmarkStart w:id="658" w:name="xdx_903_ecustom--ClassOfWarrantOrRighstM"/>
            <w:bookmarkEnd w:id="658"/>
            <w:r>
              <w:rPr/>
              <w:t>November 24, 2026</w:t>
            </w:r>
          </w:p>
        </w:tc>
      </w:tr>
      <w:tr>
        <w:trPr/>
        <w:tc>
          <w:tcPr>
            <w:tcW w:w="2040" w:type="dxa"/>
            <w:tcBorders/>
            <w:shd w:fill="CCEEFF" w:val="clear"/>
            <w:tcMar>
              <w:bottom w:w="0" w:type="dxa"/>
            </w:tcMar>
            <w:vAlign w:val="center"/>
          </w:tcPr>
          <w:p>
            <w:pPr>
              <w:pStyle w:val="TableContents"/>
              <w:bidi w:val="0"/>
              <w:spacing w:before="0" w:after="283"/>
              <w:jc w:val="left"/>
              <w:rPr/>
            </w:pPr>
            <w:r>
              <w:rPr/>
              <w:t>Warrant to underwriters June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bookmarkStart w:id="659" w:name="xdx_988_eus-gaap--ClassOfWarrantOrRightO"/>
            <w:bookmarkEnd w:id="659"/>
          </w:p>
        </w:tc>
        <w:tc>
          <w:tcPr>
            <w:tcW w:w="2420" w:type="dxa"/>
            <w:tcBorders/>
            <w:shd w:fill="CCEEFF" w:val="clear"/>
            <w:tcMar>
              <w:bottom w:w="0" w:type="dxa"/>
            </w:tcMar>
            <w:vAlign w:val="center"/>
          </w:tcPr>
          <w:p>
            <w:pPr>
              <w:pStyle w:val="TableContents"/>
              <w:bidi w:val="0"/>
              <w:spacing w:before="0" w:after="283"/>
              <w:jc w:val="right"/>
              <w:rPr/>
            </w:pPr>
            <w:r>
              <w:rPr/>
              <w:t>35,088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bookmarkStart w:id="660" w:name="xdx_985_eus-gaap--ClassOfWarrantOrRightO"/>
            <w:bookmarkEnd w:id="660"/>
          </w:p>
        </w:tc>
        <w:tc>
          <w:tcPr>
            <w:tcW w:w="24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bookmarkStart w:id="661" w:name="xdx_985_eus-gaap--ClassOfWarrantOrRightE"/>
            <w:bookmarkEnd w:id="661"/>
          </w:p>
        </w:tc>
        <w:tc>
          <w:tcPr>
            <w:tcW w:w="982" w:type="dxa"/>
            <w:tcBorders/>
            <w:shd w:fill="CCEEFF" w:val="clear"/>
            <w:tcMar>
              <w:bottom w:w="0" w:type="dxa"/>
            </w:tcMar>
            <w:vAlign w:val="center"/>
          </w:tcPr>
          <w:p>
            <w:pPr>
              <w:pStyle w:val="TableContents"/>
              <w:bidi w:val="0"/>
              <w:spacing w:before="0" w:after="283"/>
              <w:jc w:val="right"/>
              <w:rPr/>
            </w:pPr>
            <w:r>
              <w:rPr/>
              <w:t>2.67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7" w:type="dxa"/>
            <w:tcBorders/>
            <w:shd w:fill="CCEEFF" w:val="clear"/>
            <w:tcMar>
              <w:bottom w:w="0" w:type="dxa"/>
            </w:tcMar>
            <w:vAlign w:val="center"/>
          </w:tcPr>
          <w:p>
            <w:pPr>
              <w:pStyle w:val="TableContents"/>
              <w:bidi w:val="0"/>
              <w:spacing w:before="0" w:after="283"/>
              <w:jc w:val="center"/>
              <w:rPr/>
            </w:pPr>
            <w:bookmarkStart w:id="662" w:name="xdx_909_ecustom--ClassOfWarrantOrRighstM"/>
            <w:bookmarkEnd w:id="662"/>
            <w:r>
              <w:rPr/>
              <w:t>June 2, 2028</w:t>
            </w:r>
          </w:p>
        </w:tc>
      </w:tr>
      <w:tr>
        <w:trPr/>
        <w:tc>
          <w:tcPr>
            <w:tcW w:w="2040" w:type="dxa"/>
            <w:tcBorders/>
            <w:shd w:fill="FFFFFF" w:val="clear"/>
            <w:tcMar>
              <w:bottom w:w="0" w:type="dxa"/>
            </w:tcMar>
            <w:vAlign w:val="center"/>
          </w:tcPr>
          <w:p>
            <w:pPr>
              <w:pStyle w:val="TableContents"/>
              <w:bidi w:val="0"/>
              <w:spacing w:before="0" w:after="283"/>
              <w:jc w:val="left"/>
              <w:rPr/>
            </w:pPr>
            <w:r>
              <w:rPr/>
              <w:t>Warrant series C June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bookmarkStart w:id="663" w:name="xdx_980_eus-gaap--ClassOfWarrantOrRightO"/>
            <w:bookmarkEnd w:id="663"/>
          </w:p>
        </w:tc>
        <w:tc>
          <w:tcPr>
            <w:tcW w:w="2420" w:type="dxa"/>
            <w:tcBorders/>
            <w:shd w:fill="FFFFFF" w:val="clear"/>
            <w:tcMar>
              <w:bottom w:w="0" w:type="dxa"/>
            </w:tcMar>
            <w:vAlign w:val="center"/>
          </w:tcPr>
          <w:p>
            <w:pPr>
              <w:pStyle w:val="TableContents"/>
              <w:bidi w:val="0"/>
              <w:spacing w:before="0" w:after="283"/>
              <w:jc w:val="right"/>
              <w:rPr/>
            </w:pPr>
            <w:r>
              <w:rPr/>
              <w:t>350,878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bookmarkStart w:id="664" w:name="xdx_988_eus-gaap--ClassOfWarrantOrRightO"/>
            <w:bookmarkEnd w:id="664"/>
          </w:p>
        </w:tc>
        <w:tc>
          <w:tcPr>
            <w:tcW w:w="24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w:t>
            </w:r>
            <w:bookmarkStart w:id="665" w:name="xdx_980_eus-gaap--ClassOfWarrantOrRightE"/>
            <w:bookmarkEnd w:id="665"/>
          </w:p>
        </w:tc>
        <w:tc>
          <w:tcPr>
            <w:tcW w:w="982" w:type="dxa"/>
            <w:tcBorders/>
            <w:shd w:fill="FFFFFF" w:val="clear"/>
            <w:tcMar>
              <w:bottom w:w="0" w:type="dxa"/>
            </w:tcMar>
            <w:vAlign w:val="center"/>
          </w:tcPr>
          <w:p>
            <w:pPr>
              <w:pStyle w:val="TableContents"/>
              <w:bidi w:val="0"/>
              <w:spacing w:before="0" w:after="283"/>
              <w:jc w:val="right"/>
              <w:rPr/>
            </w:pPr>
            <w:r>
              <w:rPr/>
              <w:t>2.08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7" w:type="dxa"/>
            <w:tcBorders/>
            <w:shd w:fill="FFFFFF" w:val="clear"/>
            <w:tcMar>
              <w:bottom w:w="0" w:type="dxa"/>
            </w:tcMar>
            <w:vAlign w:val="center"/>
          </w:tcPr>
          <w:p>
            <w:pPr>
              <w:pStyle w:val="TableContents"/>
              <w:bidi w:val="0"/>
              <w:spacing w:before="0" w:after="283"/>
              <w:jc w:val="center"/>
              <w:rPr/>
            </w:pPr>
            <w:bookmarkStart w:id="666" w:name="xdx_90E_ecustom--ClassOfWarrantOrRighstM"/>
            <w:bookmarkEnd w:id="666"/>
            <w:r>
              <w:rPr/>
              <w:t>December 6, 2028</w:t>
            </w:r>
          </w:p>
        </w:tc>
      </w:tr>
      <w:tr>
        <w:trPr/>
        <w:tc>
          <w:tcPr>
            <w:tcW w:w="2040" w:type="dxa"/>
            <w:tcBorders/>
            <w:shd w:fill="CCEEFF" w:val="clear"/>
            <w:tcMar>
              <w:bottom w:w="0" w:type="dxa"/>
            </w:tcMar>
            <w:vAlign w:val="center"/>
          </w:tcPr>
          <w:p>
            <w:pPr>
              <w:pStyle w:val="TableContents"/>
              <w:bidi w:val="0"/>
              <w:spacing w:before="0" w:after="283"/>
              <w:jc w:val="left"/>
              <w:rPr/>
            </w:pPr>
            <w:r>
              <w:rPr/>
              <w:t>Warrant to underwriters June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bookmarkStart w:id="667" w:name="xdx_98C_eus-gaap--ClassOfWarrantOrRightO"/>
            <w:bookmarkEnd w:id="667"/>
          </w:p>
        </w:tc>
        <w:tc>
          <w:tcPr>
            <w:tcW w:w="2420" w:type="dxa"/>
            <w:tcBorders/>
            <w:shd w:fill="CCEEFF" w:val="clear"/>
            <w:tcMar>
              <w:bottom w:w="0" w:type="dxa"/>
            </w:tcMar>
            <w:vAlign w:val="center"/>
          </w:tcPr>
          <w:p>
            <w:pPr>
              <w:pStyle w:val="TableContents"/>
              <w:bidi w:val="0"/>
              <w:spacing w:before="0" w:after="283"/>
              <w:jc w:val="right"/>
              <w:rPr/>
            </w:pPr>
            <w:r>
              <w:rPr/>
              <w:t>31,231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bookmarkStart w:id="668" w:name="xdx_986_eus-gaap--ClassOfWarrantOrRightO"/>
            <w:bookmarkEnd w:id="668"/>
          </w:p>
        </w:tc>
        <w:tc>
          <w:tcPr>
            <w:tcW w:w="24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bookmarkStart w:id="669" w:name="xdx_98B_eus-gaap--ClassOfWarrantOrRightE"/>
            <w:bookmarkEnd w:id="669"/>
          </w:p>
        </w:tc>
        <w:tc>
          <w:tcPr>
            <w:tcW w:w="982" w:type="dxa"/>
            <w:tcBorders/>
            <w:shd w:fill="CCEEFF" w:val="clear"/>
            <w:tcMar>
              <w:bottom w:w="0" w:type="dxa"/>
            </w:tcMar>
            <w:vAlign w:val="center"/>
          </w:tcPr>
          <w:p>
            <w:pPr>
              <w:pStyle w:val="TableContents"/>
              <w:bidi w:val="0"/>
              <w:spacing w:before="0" w:after="283"/>
              <w:jc w:val="right"/>
              <w:rPr/>
            </w:pPr>
            <w:r>
              <w:rPr/>
              <w:t>4.06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7" w:type="dxa"/>
            <w:tcBorders/>
            <w:shd w:fill="CCEEFF" w:val="clear"/>
            <w:tcMar>
              <w:bottom w:w="0" w:type="dxa"/>
            </w:tcMar>
            <w:vAlign w:val="center"/>
          </w:tcPr>
          <w:p>
            <w:pPr>
              <w:pStyle w:val="TableContents"/>
              <w:bidi w:val="0"/>
              <w:spacing w:before="0" w:after="283"/>
              <w:jc w:val="center"/>
              <w:rPr/>
            </w:pPr>
            <w:bookmarkStart w:id="670" w:name="xdx_902_ecustom--ClassOfWarrantOrRighstM"/>
            <w:bookmarkEnd w:id="670"/>
            <w:r>
              <w:rPr/>
              <w:t>June 28, 2028</w:t>
            </w:r>
          </w:p>
        </w:tc>
      </w:tr>
      <w:tr>
        <w:trPr/>
        <w:tc>
          <w:tcPr>
            <w:tcW w:w="2040" w:type="dxa"/>
            <w:tcBorders/>
            <w:shd w:fill="FFFFFF" w:val="clear"/>
            <w:tcMar>
              <w:bottom w:w="0" w:type="dxa"/>
            </w:tcMar>
            <w:vAlign w:val="center"/>
          </w:tcPr>
          <w:p>
            <w:pPr>
              <w:pStyle w:val="TableContents"/>
              <w:bidi w:val="0"/>
              <w:spacing w:before="0" w:after="283"/>
              <w:jc w:val="left"/>
              <w:rPr/>
            </w:pPr>
            <w:r>
              <w:rPr/>
              <w:t>Warrant series D June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bookmarkStart w:id="671" w:name="xdx_98B_eus-gaap--ClassOfWarrantOrRightO"/>
            <w:bookmarkEnd w:id="671"/>
          </w:p>
        </w:tc>
        <w:tc>
          <w:tcPr>
            <w:tcW w:w="2420" w:type="dxa"/>
            <w:tcBorders/>
            <w:shd w:fill="FFFFFF" w:val="clear"/>
            <w:tcMar>
              <w:bottom w:w="0" w:type="dxa"/>
            </w:tcMar>
            <w:vAlign w:val="center"/>
          </w:tcPr>
          <w:p>
            <w:pPr>
              <w:pStyle w:val="TableContents"/>
              <w:bidi w:val="0"/>
              <w:spacing w:before="0" w:after="283"/>
              <w:jc w:val="right"/>
              <w:rPr/>
            </w:pPr>
            <w:r>
              <w:rPr/>
              <w:t>312,309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bookmarkStart w:id="672" w:name="xdx_98F_eus-gaap--ClassOfWarrantOrRightO"/>
            <w:bookmarkEnd w:id="672"/>
          </w:p>
        </w:tc>
        <w:tc>
          <w:tcPr>
            <w:tcW w:w="24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w:t>
            </w:r>
            <w:bookmarkStart w:id="673" w:name="xdx_980_eus-gaap--ClassOfWarrantOrRightE"/>
            <w:bookmarkEnd w:id="673"/>
          </w:p>
        </w:tc>
        <w:tc>
          <w:tcPr>
            <w:tcW w:w="982" w:type="dxa"/>
            <w:tcBorders/>
            <w:shd w:fill="FFFFFF" w:val="clear"/>
            <w:tcMar>
              <w:bottom w:w="0" w:type="dxa"/>
            </w:tcMar>
            <w:vAlign w:val="center"/>
          </w:tcPr>
          <w:p>
            <w:pPr>
              <w:pStyle w:val="TableContents"/>
              <w:bidi w:val="0"/>
              <w:spacing w:before="0" w:after="283"/>
              <w:jc w:val="right"/>
              <w:rPr/>
            </w:pPr>
            <w:r>
              <w:rPr/>
              <w:t>3.19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7" w:type="dxa"/>
            <w:tcBorders/>
            <w:shd w:fill="FFFFFF" w:val="clear"/>
            <w:tcMar>
              <w:bottom w:w="0" w:type="dxa"/>
            </w:tcMar>
            <w:vAlign w:val="center"/>
          </w:tcPr>
          <w:p>
            <w:pPr>
              <w:pStyle w:val="TableContents"/>
              <w:bidi w:val="0"/>
              <w:spacing w:before="0" w:after="283"/>
              <w:jc w:val="center"/>
              <w:rPr/>
            </w:pPr>
            <w:bookmarkStart w:id="674" w:name="xdx_901_ecustom--ClassOfWarrantOrRighstM"/>
            <w:bookmarkEnd w:id="674"/>
            <w:r>
              <w:rPr/>
              <w:t>December 28, 2028</w:t>
            </w:r>
          </w:p>
        </w:tc>
      </w:tr>
    </w:tbl>
    <w:p>
      <w:pPr>
        <w:pStyle w:val="TextBody"/>
        <w:bidi w:val="0"/>
        <w:spacing w:before="0" w:after="0"/>
        <w:ind w:left="0" w:right="0" w:hanging="0"/>
        <w:jc w:val="both"/>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260"/>
        <w:gridCol w:w="23"/>
        <w:gridCol w:w="1355"/>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675" w:name="xdx_F0B_zPU3EHnozlc4"/>
            <w:bookmarkEnd w:id="675"/>
            <w:r>
              <w:rPr>
                <w:rFonts w:ascii="Times New Roman;Times;Serif" w:hAnsi="Times New Roman;Times;Serif"/>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both"/>
              <w:rPr>
                <w:rFonts w:ascii="Times New Roman;Times;Serif" w:hAnsi="Times New Roman;Times;Serif"/>
                <w:sz w:val="20"/>
              </w:rPr>
            </w:pPr>
            <w:bookmarkStart w:id="676" w:name="xdx_F12_zyt9uHB9QG3j"/>
            <w:bookmarkEnd w:id="676"/>
            <w:r>
              <w:rPr>
                <w:rFonts w:ascii="Times New Roman;Times;Serif" w:hAnsi="Times New Roman;Times;Serif"/>
                <w:sz w:val="20"/>
              </w:rPr>
              <w:t>Less than $0.01.</w:t>
            </w:r>
          </w:p>
        </w:tc>
      </w:tr>
    </w:tbl>
    <w:p>
      <w:pPr>
        <w:pStyle w:val="TextBody"/>
        <w:bidi w:val="0"/>
        <w:spacing w:before="0" w:after="0"/>
        <w:ind w:left="0" w:right="0" w:hanging="0"/>
        <w:jc w:val="both"/>
        <w:rPr>
          <w:caps w:val="false"/>
          <w:smallCaps w:val="false"/>
        </w:rPr>
      </w:pPr>
      <w:bookmarkStart w:id="677" w:name="xdx_8A0_zLw5Yuzjbxmf"/>
      <w:bookmarkEnd w:id="67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8" w:name="xdx_808_eus-gaap--EarningsPerShareTextBl"/>
      <w:bookmarkEnd w:id="678"/>
      <w:r>
        <w:rPr>
          <w:rFonts w:ascii="Times New Roman;Times;Serif" w:hAnsi="Times New Roman;Times;Serif"/>
          <w:b/>
          <w:i w:val="false"/>
          <w:caps w:val="false"/>
          <w:smallCaps w:val="false"/>
          <w:sz w:val="20"/>
        </w:rPr>
        <w:t xml:space="preserve">NOTE 11 - </w:t>
      </w:r>
      <w:bookmarkStart w:id="679" w:name="xdx_824_znxqLxYxVYWi"/>
      <w:bookmarkEnd w:id="679"/>
      <w:r>
        <w:rPr>
          <w:rFonts w:ascii="Times New Roman;Times;Serif" w:hAnsi="Times New Roman;Times;Serif"/>
          <w:b/>
          <w:i w:val="false"/>
          <w:caps w:val="false"/>
          <w:smallCaps w:val="false"/>
          <w:sz w:val="20"/>
        </w:rPr>
        <w:t>BASIC AND DILUTED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basic and diluted net loss per share and weighted average number of shares of common stock used in the calculation of basic and diluted net loss per share were presented in the consolidated statements of comprehensive loss for the years ended December 31, 2023 and 2022.</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calculation of the basic and diluted net loss, the Company included warrants that would be exercised for no or little consideration and are exercisable with no contingencies.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net loss to common shareholders in each of the periods presented above, diluted loss per share was computed without consideration to potentially dilutive instruments as their inclusion would have been anti-dilutive. As of December 31, 2023 and 2022, potentially dilutive securities excluded from the diluted loss per share calculation are as follows:</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680" w:name="xdx_8B6_zxjyCRCthro7"/>
      <w:bookmarkStart w:id="681" w:name="xdx_897_eus-gaap--ScheduleOfAntidilutive"/>
      <w:bookmarkEnd w:id="680"/>
      <w:bookmarkEnd w:id="681"/>
      <w:r>
        <w:rPr>
          <w:rFonts w:ascii="Times New Roman;Times;Serif" w:hAnsi="Times New Roman;Times;Serif"/>
          <w:b w:val="false"/>
          <w:i w:val="false"/>
          <w:caps w:val="false"/>
          <w:smallCaps w:val="false"/>
          <w:sz w:val="20"/>
        </w:rPr>
        <w:t>SCHEDULE OF POTENTIALLY DILUTIVE SECURITIES EXCLUDED FROM DILUTED LOSS PER SHARE </w:t>
      </w:r>
    </w:p>
    <w:tbl>
      <w:tblPr>
        <w:tblW w:w="8535" w:type="dxa"/>
        <w:jc w:val="left"/>
        <w:tblInd w:w="0" w:type="dxa"/>
        <w:tblLayout w:type="fixed"/>
        <w:tblCellMar>
          <w:top w:w="0" w:type="dxa"/>
          <w:left w:w="0" w:type="dxa"/>
          <w:bottom w:w="0" w:type="dxa"/>
          <w:right w:w="0" w:type="dxa"/>
        </w:tblCellMar>
      </w:tblPr>
      <w:tblGrid>
        <w:gridCol w:w="6200"/>
        <w:gridCol w:w="60"/>
        <w:gridCol w:w="60"/>
        <w:gridCol w:w="980"/>
        <w:gridCol w:w="60"/>
        <w:gridCol w:w="60"/>
        <w:gridCol w:w="60"/>
        <w:gridCol w:w="980"/>
        <w:gridCol w:w="75"/>
      </w:tblGrid>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82" w:name="xdx_494_20230101__20231231_zQsg2n7MyEC2"/>
            <w:bookmarkEnd w:id="682"/>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83" w:name="xdx_49A_20220101__20221231_zXGI1l6x2kq9"/>
            <w:bookmarkEnd w:id="683"/>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jc w:val="center"/>
              <w:rPr>
                <w:b/>
              </w:rPr>
            </w:pPr>
            <w:r>
              <w:rPr>
                <w:b/>
              </w:rPr>
              <w:t>For the Years Ended</w:t>
            </w:r>
          </w:p>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684" w:name="xdx_40B_eus-gaap--AntidilutiveSecurities"/>
            <w:bookmarkEnd w:id="684"/>
          </w:p>
        </w:tc>
      </w:tr>
      <w:tr>
        <w:trPr/>
        <w:tc>
          <w:tcPr>
            <w:tcW w:w="6200" w:type="dxa"/>
            <w:tcBorders/>
            <w:shd w:fill="CCEEFF" w:val="clear"/>
            <w:vAlign w:val="center"/>
          </w:tcPr>
          <w:p>
            <w:pPr>
              <w:pStyle w:val="TableContents"/>
              <w:bidi w:val="0"/>
              <w:spacing w:before="0" w:after="283"/>
              <w:jc w:val="left"/>
              <w:rPr/>
            </w:pPr>
            <w:r>
              <w:rPr/>
              <w:t>Series A 2013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183</w:t>
            </w:r>
          </w:p>
        </w:tc>
        <w:tc>
          <w:tcPr>
            <w:tcW w:w="75" w:type="dxa"/>
            <w:tcBorders/>
            <w:shd w:fill="CCEEFF" w:val="clear"/>
            <w:vAlign w:val="center"/>
          </w:tcPr>
          <w:p>
            <w:pPr>
              <w:pStyle w:val="TableContents"/>
              <w:bidi w:val="0"/>
              <w:spacing w:before="0" w:after="283"/>
              <w:jc w:val="left"/>
              <w:rPr/>
            </w:pPr>
            <w:r>
              <w:rPr/>
              <w:t> </w:t>
            </w:r>
            <w:bookmarkStart w:id="685" w:name="xdx_40B_eus-gaap--AntidilutiveSecurities"/>
            <w:bookmarkEnd w:id="685"/>
          </w:p>
        </w:tc>
      </w:tr>
      <w:tr>
        <w:trPr/>
        <w:tc>
          <w:tcPr>
            <w:tcW w:w="6200" w:type="dxa"/>
            <w:tcBorders/>
            <w:shd w:fill="FFFFFF" w:val="clear"/>
            <w:vAlign w:val="center"/>
          </w:tcPr>
          <w:p>
            <w:pPr>
              <w:pStyle w:val="TableContents"/>
              <w:bidi w:val="0"/>
              <w:spacing w:before="0" w:after="283"/>
              <w:jc w:val="left"/>
              <w:rPr/>
            </w:pPr>
            <w:r>
              <w:rPr/>
              <w:t>Warrant to underwriters December 2019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45,643</w:t>
            </w:r>
          </w:p>
        </w:tc>
        <w:tc>
          <w:tcPr>
            <w:tcW w:w="75" w:type="dxa"/>
            <w:tcBorders/>
            <w:shd w:fill="FFFFFF" w:val="clear"/>
            <w:vAlign w:val="center"/>
          </w:tcPr>
          <w:p>
            <w:pPr>
              <w:pStyle w:val="TableContents"/>
              <w:bidi w:val="0"/>
              <w:spacing w:before="0" w:after="283"/>
              <w:jc w:val="left"/>
              <w:rPr/>
            </w:pPr>
            <w:r>
              <w:rPr/>
              <w:t> </w:t>
            </w:r>
            <w:bookmarkStart w:id="686" w:name="xdx_400_eus-gaap--AntidilutiveSecurities"/>
            <w:bookmarkEnd w:id="686"/>
          </w:p>
        </w:tc>
      </w:tr>
      <w:tr>
        <w:trPr/>
        <w:tc>
          <w:tcPr>
            <w:tcW w:w="6200" w:type="dxa"/>
            <w:tcBorders/>
            <w:shd w:fill="CCEEFF" w:val="clear"/>
            <w:vAlign w:val="center"/>
          </w:tcPr>
          <w:p>
            <w:pPr>
              <w:pStyle w:val="TableContents"/>
              <w:bidi w:val="0"/>
              <w:spacing w:before="0" w:after="283"/>
              <w:jc w:val="left"/>
              <w:rPr/>
            </w:pPr>
            <w:r>
              <w:rPr/>
              <w:t>Warrant to underwriters December 2019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47,619</w:t>
            </w:r>
          </w:p>
        </w:tc>
        <w:tc>
          <w:tcPr>
            <w:tcW w:w="75" w:type="dxa"/>
            <w:tcBorders/>
            <w:shd w:fill="CCEEFF" w:val="clear"/>
            <w:vAlign w:val="center"/>
          </w:tcPr>
          <w:p>
            <w:pPr>
              <w:pStyle w:val="TableContents"/>
              <w:bidi w:val="0"/>
              <w:spacing w:before="0" w:after="283"/>
              <w:jc w:val="left"/>
              <w:rPr/>
            </w:pPr>
            <w:r>
              <w:rPr/>
              <w:t> </w:t>
            </w:r>
            <w:bookmarkStart w:id="687" w:name="xdx_40F_eus-gaap--AntidilutiveSecurities"/>
            <w:bookmarkEnd w:id="687"/>
          </w:p>
        </w:tc>
      </w:tr>
      <w:tr>
        <w:trPr/>
        <w:tc>
          <w:tcPr>
            <w:tcW w:w="6200" w:type="dxa"/>
            <w:tcBorders/>
            <w:shd w:fill="FFFFFF" w:val="clear"/>
            <w:vAlign w:val="center"/>
          </w:tcPr>
          <w:p>
            <w:pPr>
              <w:pStyle w:val="TableContents"/>
              <w:bidi w:val="0"/>
              <w:spacing w:before="0" w:after="283"/>
              <w:jc w:val="left"/>
              <w:rPr/>
            </w:pPr>
            <w:r>
              <w:rPr/>
              <w:t>Warrant to underwriters December 2019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45,045</w:t>
            </w:r>
          </w:p>
        </w:tc>
        <w:tc>
          <w:tcPr>
            <w:tcW w:w="75" w:type="dxa"/>
            <w:tcBorders/>
            <w:shd w:fill="FFFFFF" w:val="clear"/>
            <w:vAlign w:val="center"/>
          </w:tcPr>
          <w:p>
            <w:pPr>
              <w:pStyle w:val="TableContents"/>
              <w:bidi w:val="0"/>
              <w:spacing w:before="0" w:after="283"/>
              <w:jc w:val="left"/>
              <w:rPr/>
            </w:pPr>
            <w:r>
              <w:rPr/>
              <w:t> </w:t>
            </w:r>
            <w:bookmarkStart w:id="688" w:name="xdx_400_eus-gaap--AntidilutiveSecurities"/>
            <w:bookmarkEnd w:id="688"/>
          </w:p>
        </w:tc>
      </w:tr>
      <w:tr>
        <w:trPr/>
        <w:tc>
          <w:tcPr>
            <w:tcW w:w="6200" w:type="dxa"/>
            <w:tcBorders/>
            <w:shd w:fill="CCEEFF" w:val="clear"/>
            <w:vAlign w:val="center"/>
          </w:tcPr>
          <w:p>
            <w:pPr>
              <w:pStyle w:val="TableContents"/>
              <w:bidi w:val="0"/>
              <w:spacing w:before="0" w:after="283"/>
              <w:jc w:val="left"/>
              <w:rPr/>
            </w:pPr>
            <w:r>
              <w:rPr/>
              <w:t>Series A and B warrants October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1,022,495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2,044,990</w:t>
            </w:r>
          </w:p>
        </w:tc>
        <w:tc>
          <w:tcPr>
            <w:tcW w:w="75" w:type="dxa"/>
            <w:tcBorders/>
            <w:shd w:fill="CCEEFF" w:val="clear"/>
            <w:vAlign w:val="center"/>
          </w:tcPr>
          <w:p>
            <w:pPr>
              <w:pStyle w:val="TableContents"/>
              <w:bidi w:val="0"/>
              <w:spacing w:before="0" w:after="283"/>
              <w:jc w:val="left"/>
              <w:rPr/>
            </w:pPr>
            <w:r>
              <w:rPr/>
              <w:t> </w:t>
            </w:r>
            <w:bookmarkStart w:id="689" w:name="xdx_40E_eus-gaap--AntidilutiveSecurities"/>
            <w:bookmarkEnd w:id="689"/>
          </w:p>
        </w:tc>
      </w:tr>
      <w:tr>
        <w:trPr/>
        <w:tc>
          <w:tcPr>
            <w:tcW w:w="6200" w:type="dxa"/>
            <w:tcBorders/>
            <w:shd w:fill="FFFFFF" w:val="clear"/>
            <w:vAlign w:val="center"/>
          </w:tcPr>
          <w:p>
            <w:pPr>
              <w:pStyle w:val="TableContents"/>
              <w:bidi w:val="0"/>
              <w:spacing w:before="0" w:after="283"/>
              <w:jc w:val="left"/>
              <w:rPr/>
            </w:pPr>
            <w:r>
              <w:rPr/>
              <w:t>Warrant to underwriters October 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51,125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51,125</w:t>
            </w:r>
          </w:p>
        </w:tc>
        <w:tc>
          <w:tcPr>
            <w:tcW w:w="75" w:type="dxa"/>
            <w:tcBorders/>
            <w:shd w:fill="FFFFFF" w:val="clear"/>
            <w:vAlign w:val="center"/>
          </w:tcPr>
          <w:p>
            <w:pPr>
              <w:pStyle w:val="TableContents"/>
              <w:bidi w:val="0"/>
              <w:spacing w:before="0" w:after="283"/>
              <w:jc w:val="left"/>
              <w:rPr/>
            </w:pPr>
            <w:r>
              <w:rPr/>
              <w:t> </w:t>
            </w:r>
            <w:bookmarkStart w:id="690" w:name="xdx_405_eus-gaap--AntidilutiveSecurities"/>
            <w:bookmarkEnd w:id="690"/>
          </w:p>
        </w:tc>
      </w:tr>
      <w:tr>
        <w:trPr/>
        <w:tc>
          <w:tcPr>
            <w:tcW w:w="6200" w:type="dxa"/>
            <w:tcBorders/>
            <w:shd w:fill="CCEEFF" w:val="clear"/>
            <w:vAlign w:val="center"/>
          </w:tcPr>
          <w:p>
            <w:pPr>
              <w:pStyle w:val="TableContents"/>
              <w:bidi w:val="0"/>
              <w:spacing w:before="0" w:after="283"/>
              <w:jc w:val="left"/>
              <w:rPr/>
            </w:pPr>
            <w:r>
              <w:rPr/>
              <w:t>Warrant to underwriters May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691" w:name="xdx_40A_eus-gaap--AntidilutiveSecurities"/>
            <w:bookmarkEnd w:id="691"/>
          </w:p>
        </w:tc>
      </w:tr>
      <w:tr>
        <w:trPr/>
        <w:tc>
          <w:tcPr>
            <w:tcW w:w="6200" w:type="dxa"/>
            <w:tcBorders/>
            <w:shd w:fill="FFFFFF" w:val="clear"/>
            <w:vAlign w:val="center"/>
          </w:tcPr>
          <w:p>
            <w:pPr>
              <w:pStyle w:val="TableContents"/>
              <w:bidi w:val="0"/>
              <w:spacing w:before="0" w:after="283"/>
              <w:jc w:val="left"/>
              <w:rPr/>
            </w:pPr>
            <w:r>
              <w:rPr/>
              <w:t>Warrant to underwriters May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60,476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692" w:name="xdx_40C_eus-gaap--AntidilutiveSecurities"/>
            <w:bookmarkEnd w:id="692"/>
          </w:p>
        </w:tc>
      </w:tr>
      <w:tr>
        <w:trPr/>
        <w:tc>
          <w:tcPr>
            <w:tcW w:w="6200" w:type="dxa"/>
            <w:tcBorders/>
            <w:shd w:fill="CCEEFF" w:val="clear"/>
            <w:vAlign w:val="center"/>
          </w:tcPr>
          <w:p>
            <w:pPr>
              <w:pStyle w:val="TableContents"/>
              <w:bidi w:val="0"/>
              <w:spacing w:before="0" w:after="283"/>
              <w:jc w:val="left"/>
              <w:rPr/>
            </w:pPr>
            <w:r>
              <w:rPr/>
              <w:t>Warrant to underwriters June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35,088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693" w:name="xdx_40F_eus-gaap--AntidilutiveSecurities"/>
            <w:bookmarkEnd w:id="693"/>
          </w:p>
        </w:tc>
      </w:tr>
      <w:tr>
        <w:trPr/>
        <w:tc>
          <w:tcPr>
            <w:tcW w:w="6200" w:type="dxa"/>
            <w:tcBorders/>
            <w:shd w:fill="FFFFFF" w:val="clear"/>
            <w:vAlign w:val="center"/>
          </w:tcPr>
          <w:p>
            <w:pPr>
              <w:pStyle w:val="TableContents"/>
              <w:bidi w:val="0"/>
              <w:spacing w:before="0" w:after="283"/>
              <w:jc w:val="left"/>
              <w:rPr/>
            </w:pPr>
            <w:r>
              <w:rPr/>
              <w:t>Warrant series C June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350,878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694" w:name="xdx_40A_eus-gaap--AntidilutiveSecurities"/>
            <w:bookmarkEnd w:id="694"/>
          </w:p>
        </w:tc>
      </w:tr>
      <w:tr>
        <w:trPr/>
        <w:tc>
          <w:tcPr>
            <w:tcW w:w="6200" w:type="dxa"/>
            <w:tcBorders/>
            <w:shd w:fill="CCEEFF" w:val="clear"/>
            <w:vAlign w:val="center"/>
          </w:tcPr>
          <w:p>
            <w:pPr>
              <w:pStyle w:val="TableContents"/>
              <w:bidi w:val="0"/>
              <w:spacing w:before="0" w:after="283"/>
              <w:jc w:val="left"/>
              <w:rPr/>
            </w:pPr>
            <w:r>
              <w:rPr/>
              <w:t>Warrant to underwriters June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31,231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695" w:name="xdx_403_eus-gaap--AntidilutiveSecurities"/>
            <w:bookmarkEnd w:id="695"/>
          </w:p>
        </w:tc>
      </w:tr>
      <w:tr>
        <w:trPr/>
        <w:tc>
          <w:tcPr>
            <w:tcW w:w="6200" w:type="dxa"/>
            <w:tcBorders/>
            <w:shd w:fill="FFFFFF" w:val="clear"/>
            <w:vAlign w:val="center"/>
          </w:tcPr>
          <w:p>
            <w:pPr>
              <w:pStyle w:val="TableContents"/>
              <w:bidi w:val="0"/>
              <w:spacing w:before="0" w:after="283"/>
              <w:jc w:val="left"/>
              <w:rPr/>
            </w:pPr>
            <w:r>
              <w:rPr/>
              <w:t>Warrant series D June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312,309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696" w:name="xdx_40B_eus-gaap--AntidilutiveSecurities"/>
            <w:bookmarkEnd w:id="696"/>
          </w:p>
        </w:tc>
      </w:tr>
      <w:tr>
        <w:trPr/>
        <w:tc>
          <w:tcPr>
            <w:tcW w:w="6200" w:type="dxa"/>
            <w:tcBorders/>
            <w:shd w:fill="CCEEFF" w:val="clear"/>
            <w:vAlign w:val="center"/>
          </w:tcPr>
          <w:p>
            <w:pPr>
              <w:pStyle w:val="TableContents"/>
              <w:bidi w:val="0"/>
              <w:spacing w:before="0" w:after="283"/>
              <w:jc w:val="left"/>
              <w:rPr/>
            </w:pPr>
            <w:r>
              <w:rPr/>
              <w:t>Outstanding employee stock options to purchase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2,095,362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1,507,137</w:t>
            </w:r>
          </w:p>
        </w:tc>
        <w:tc>
          <w:tcPr>
            <w:tcW w:w="75" w:type="dxa"/>
            <w:tcBorders/>
            <w:shd w:fill="CCEEFF" w:val="clear"/>
            <w:vAlign w:val="center"/>
          </w:tcPr>
          <w:p>
            <w:pPr>
              <w:pStyle w:val="TableContents"/>
              <w:bidi w:val="0"/>
              <w:spacing w:before="0" w:after="283"/>
              <w:jc w:val="left"/>
              <w:rPr/>
            </w:pPr>
            <w:r>
              <w:rPr/>
              <w:t> </w:t>
            </w:r>
            <w:bookmarkStart w:id="697" w:name="xdx_409_eus-gaap--AntidilutiveSecurities"/>
            <w:bookmarkEnd w:id="697"/>
          </w:p>
        </w:tc>
      </w:tr>
      <w:tr>
        <w:trPr/>
        <w:tc>
          <w:tcPr>
            <w:tcW w:w="6200" w:type="dxa"/>
            <w:tcBorders/>
            <w:shd w:fill="CCEEFF" w:val="clear"/>
            <w:vAlign w:val="center"/>
          </w:tcPr>
          <w:p>
            <w:pPr>
              <w:pStyle w:val="TableContents"/>
              <w:bidi w:val="0"/>
              <w:spacing w:before="0" w:after="283"/>
              <w:jc w:val="left"/>
              <w:rPr/>
            </w:pPr>
            <w:r>
              <w:rPr/>
              <w:t>Potentially dilutive securities excluded from diluted loss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2,095,362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1,507,137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698" w:name="xdx_8A4_zWddtcLM7jNd"/>
      <w:bookmarkEnd w:id="69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99" w:name="xdx_806_eus-gaap--ResearchDevelopmentAnd"/>
      <w:bookmarkEnd w:id="699"/>
      <w:r>
        <w:rPr>
          <w:rFonts w:ascii="Times New Roman;Times;Serif" w:hAnsi="Times New Roman;Times;Serif"/>
          <w:b/>
          <w:i w:val="false"/>
          <w:caps w:val="false"/>
          <w:smallCaps w:val="false"/>
          <w:sz w:val="20"/>
        </w:rPr>
        <w:t xml:space="preserve">NOTE 12 - </w:t>
      </w:r>
      <w:bookmarkStart w:id="700" w:name="xdx_82A_zguca9xPwK99"/>
      <w:bookmarkEnd w:id="700"/>
      <w:r>
        <w:rPr>
          <w:rFonts w:ascii="Times New Roman;Times;Serif" w:hAnsi="Times New Roman;Times;Serif"/>
          <w:b/>
          <w:i w:val="false"/>
          <w:caps w:val="false"/>
          <w:smallCaps w:val="false"/>
          <w:sz w:val="20"/>
        </w:rPr>
        <w:t>RESEARCH AND DEVELOPMENT EXPENSES, NET</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701" w:name="xdx_8B9_zrQQfn6uM0Z1"/>
      <w:bookmarkStart w:id="702" w:name="xdx_896_eus-gaap--ScheduleOfResearchAndD"/>
      <w:bookmarkEnd w:id="701"/>
      <w:bookmarkEnd w:id="702"/>
      <w:r>
        <w:rPr>
          <w:rFonts w:ascii="Times New Roman;Times;Serif" w:hAnsi="Times New Roman;Times;Serif"/>
          <w:b w:val="false"/>
          <w:i w:val="false"/>
          <w:caps w:val="false"/>
          <w:smallCaps w:val="false"/>
          <w:sz w:val="20"/>
        </w:rPr>
        <w:t>SCHEDULE OF RESEARCH AND DEVELOPMENT EXPENSES </w:t>
      </w:r>
    </w:p>
    <w:tbl>
      <w:tblPr>
        <w:tblW w:w="5496" w:type="dxa"/>
        <w:jc w:val="left"/>
        <w:tblInd w:w="0" w:type="dxa"/>
        <w:tblLayout w:type="fixed"/>
        <w:tblCellMar>
          <w:top w:w="0" w:type="dxa"/>
          <w:left w:w="0" w:type="dxa"/>
          <w:bottom w:w="0" w:type="dxa"/>
          <w:right w:w="0" w:type="dxa"/>
        </w:tblCellMar>
      </w:tblPr>
      <w:tblGrid>
        <w:gridCol w:w="3200"/>
        <w:gridCol w:w="60"/>
        <w:gridCol w:w="194"/>
        <w:gridCol w:w="779"/>
        <w:gridCol w:w="132"/>
        <w:gridCol w:w="83"/>
        <w:gridCol w:w="194"/>
        <w:gridCol w:w="779"/>
        <w:gridCol w:w="75"/>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03" w:name="xdx_49D_20230101__20231231__us-gaap--Inc"/>
            <w:bookmarkEnd w:id="703"/>
          </w:p>
        </w:tc>
        <w:tc>
          <w:tcPr>
            <w:tcW w:w="9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bookmarkStart w:id="704" w:name="xdx_49A_20220101__20221231__us-gaap--Inc"/>
            <w:bookmarkEnd w:id="704"/>
          </w:p>
        </w:tc>
        <w:tc>
          <w:tcPr>
            <w:tcW w:w="9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1" w:type="dxa"/>
            <w:gridSpan w:val="6"/>
            <w:tcBorders>
              <w:bottom w:val="single" w:sz="12" w:space="0" w:color="000000"/>
            </w:tcBorders>
            <w:tcMar>
              <w:bottom w:w="28" w:type="dxa"/>
            </w:tcMar>
            <w:vAlign w:val="center"/>
          </w:tcPr>
          <w:p>
            <w:pPr>
              <w:pStyle w:val="TableContents"/>
              <w:bidi w:val="0"/>
              <w:jc w:val="center"/>
              <w:rPr>
                <w:b/>
              </w:rPr>
            </w:pPr>
            <w:r>
              <w:rPr>
                <w:b/>
              </w:rPr>
              <w:t>For the Years Ended</w:t>
            </w:r>
          </w:p>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bookmarkStart w:id="705" w:name="xdx_409_eus-gaap--LaborAndRelatedExpense"/>
            <w:bookmarkEnd w:id="705"/>
          </w:p>
        </w:tc>
      </w:tr>
      <w:tr>
        <w:trPr/>
        <w:tc>
          <w:tcPr>
            <w:tcW w:w="3200" w:type="dxa"/>
            <w:tcBorders/>
            <w:shd w:fill="CCEEFF" w:val="clear"/>
            <w:vAlign w:val="center"/>
          </w:tcPr>
          <w:p>
            <w:pPr>
              <w:pStyle w:val="TableContents"/>
              <w:bidi w:val="0"/>
              <w:spacing w:before="0" w:after="283"/>
              <w:jc w:val="left"/>
              <w:rPr/>
            </w:pPr>
            <w:r>
              <w:rPr/>
              <w:t>Payroll and related expenses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779" w:type="dxa"/>
            <w:tcBorders/>
            <w:shd w:fill="CCEEFF" w:val="clear"/>
            <w:vAlign w:val="center"/>
          </w:tcPr>
          <w:p>
            <w:pPr>
              <w:pStyle w:val="TableContents"/>
              <w:bidi w:val="0"/>
              <w:spacing w:before="0" w:after="283"/>
              <w:jc w:val="right"/>
              <w:rPr/>
            </w:pPr>
            <w:r>
              <w:rPr/>
              <w:t>2,455</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779" w:type="dxa"/>
            <w:tcBorders/>
            <w:shd w:fill="CCEEFF" w:val="clear"/>
            <w:vAlign w:val="center"/>
          </w:tcPr>
          <w:p>
            <w:pPr>
              <w:pStyle w:val="TableContents"/>
              <w:bidi w:val="0"/>
              <w:spacing w:before="0" w:after="283"/>
              <w:jc w:val="right"/>
              <w:rPr/>
            </w:pPr>
            <w:r>
              <w:rPr/>
              <w:t>3,558</w:t>
            </w:r>
          </w:p>
        </w:tc>
        <w:tc>
          <w:tcPr>
            <w:tcW w:w="75" w:type="dxa"/>
            <w:tcBorders/>
            <w:shd w:fill="CCEEFF" w:val="clear"/>
            <w:vAlign w:val="center"/>
          </w:tcPr>
          <w:p>
            <w:pPr>
              <w:pStyle w:val="TableContents"/>
              <w:bidi w:val="0"/>
              <w:spacing w:before="0" w:after="283"/>
              <w:jc w:val="left"/>
              <w:rPr/>
            </w:pPr>
            <w:r>
              <w:rPr/>
              <w:t> </w:t>
            </w:r>
            <w:bookmarkStart w:id="706" w:name="xdx_402_eus-gaap--ShareBasedCompensation"/>
            <w:bookmarkEnd w:id="706"/>
          </w:p>
        </w:tc>
      </w:tr>
      <w:tr>
        <w:trPr/>
        <w:tc>
          <w:tcPr>
            <w:tcW w:w="3200"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407</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387</w:t>
            </w:r>
          </w:p>
        </w:tc>
        <w:tc>
          <w:tcPr>
            <w:tcW w:w="75" w:type="dxa"/>
            <w:tcBorders/>
            <w:shd w:fill="FFFFFF" w:val="clear"/>
            <w:vAlign w:val="center"/>
          </w:tcPr>
          <w:p>
            <w:pPr>
              <w:pStyle w:val="TableContents"/>
              <w:bidi w:val="0"/>
              <w:spacing w:before="0" w:after="283"/>
              <w:jc w:val="left"/>
              <w:rPr/>
            </w:pPr>
            <w:r>
              <w:rPr/>
              <w:t> </w:t>
            </w:r>
            <w:bookmarkStart w:id="707" w:name="xdx_40B_eus-gaap--ProfessionalFees_maRAD"/>
            <w:bookmarkEnd w:id="707"/>
          </w:p>
        </w:tc>
      </w:tr>
      <w:tr>
        <w:trPr/>
        <w:tc>
          <w:tcPr>
            <w:tcW w:w="3200" w:type="dxa"/>
            <w:tcBorders/>
            <w:shd w:fill="CCEEFF" w:val="clear"/>
            <w:vAlign w:val="center"/>
          </w:tcPr>
          <w:p>
            <w:pPr>
              <w:pStyle w:val="TableContents"/>
              <w:bidi w:val="0"/>
              <w:spacing w:before="0" w:after="283"/>
              <w:jc w:val="left"/>
              <w:rPr/>
            </w:pPr>
            <w:r>
              <w:rPr/>
              <w:t>Professional services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1,842</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2,097</w:t>
            </w:r>
          </w:p>
        </w:tc>
        <w:tc>
          <w:tcPr>
            <w:tcW w:w="75" w:type="dxa"/>
            <w:tcBorders/>
            <w:shd w:fill="CCEEFF" w:val="clear"/>
            <w:vAlign w:val="center"/>
          </w:tcPr>
          <w:p>
            <w:pPr>
              <w:pStyle w:val="TableContents"/>
              <w:bidi w:val="0"/>
              <w:spacing w:before="0" w:after="283"/>
              <w:jc w:val="left"/>
              <w:rPr/>
            </w:pPr>
            <w:r>
              <w:rPr/>
              <w:t> </w:t>
            </w:r>
            <w:bookmarkStart w:id="708" w:name="xdx_402_eus-gaap--CostDirectMaterial_maR"/>
            <w:bookmarkEnd w:id="708"/>
          </w:p>
        </w:tc>
      </w:tr>
      <w:tr>
        <w:trPr/>
        <w:tc>
          <w:tcPr>
            <w:tcW w:w="3200" w:type="dxa"/>
            <w:tcBorders/>
            <w:shd w:fill="FFFFFF" w:val="clear"/>
            <w:vAlign w:val="center"/>
          </w:tcPr>
          <w:p>
            <w:pPr>
              <w:pStyle w:val="TableContents"/>
              <w:bidi w:val="0"/>
              <w:spacing w:before="0" w:after="283"/>
              <w:jc w:val="left"/>
              <w:rPr/>
            </w:pPr>
            <w:r>
              <w:rPr/>
              <w:t>Materials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520</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559</w:t>
            </w:r>
          </w:p>
        </w:tc>
        <w:tc>
          <w:tcPr>
            <w:tcW w:w="75" w:type="dxa"/>
            <w:tcBorders/>
            <w:shd w:fill="FFFFFF" w:val="clear"/>
            <w:vAlign w:val="center"/>
          </w:tcPr>
          <w:p>
            <w:pPr>
              <w:pStyle w:val="TableContents"/>
              <w:bidi w:val="0"/>
              <w:spacing w:before="0" w:after="283"/>
              <w:jc w:val="left"/>
              <w:rPr/>
            </w:pPr>
            <w:r>
              <w:rPr/>
              <w:t> </w:t>
            </w:r>
            <w:bookmarkStart w:id="709" w:name="xdx_400_eus-gaap--RoyaltyExpense_maRADEz"/>
            <w:bookmarkEnd w:id="709"/>
          </w:p>
        </w:tc>
      </w:tr>
      <w:tr>
        <w:trPr/>
        <w:tc>
          <w:tcPr>
            <w:tcW w:w="3200"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157</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341</w:t>
            </w:r>
          </w:p>
        </w:tc>
        <w:tc>
          <w:tcPr>
            <w:tcW w:w="75" w:type="dxa"/>
            <w:tcBorders/>
            <w:shd w:fill="CCEEFF" w:val="clear"/>
            <w:vAlign w:val="center"/>
          </w:tcPr>
          <w:p>
            <w:pPr>
              <w:pStyle w:val="TableContents"/>
              <w:bidi w:val="0"/>
              <w:spacing w:before="0" w:after="283"/>
              <w:jc w:val="left"/>
              <w:rPr/>
            </w:pPr>
            <w:r>
              <w:rPr/>
              <w:t> </w:t>
            </w:r>
            <w:bookmarkStart w:id="710" w:name="xdx_407_eus-gaap--OtherResearchAndDevelo"/>
            <w:bookmarkEnd w:id="710"/>
          </w:p>
        </w:tc>
      </w:tr>
      <w:tr>
        <w:trPr/>
        <w:tc>
          <w:tcPr>
            <w:tcW w:w="3200" w:type="dxa"/>
            <w:tcBorders/>
            <w:shd w:fill="FFFFFF" w:val="clear"/>
            <w:vAlign w:val="center"/>
          </w:tcPr>
          <w:p>
            <w:pPr>
              <w:pStyle w:val="TableContents"/>
              <w:bidi w:val="0"/>
              <w:spacing w:before="0" w:after="283"/>
              <w:jc w:val="left"/>
              <w:rPr/>
            </w:pPr>
            <w:r>
              <w:rPr/>
              <w:t>Rent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213</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224</w:t>
            </w:r>
          </w:p>
        </w:tc>
        <w:tc>
          <w:tcPr>
            <w:tcW w:w="75" w:type="dxa"/>
            <w:tcBorders/>
            <w:shd w:fill="FFFFFF" w:val="clear"/>
            <w:vAlign w:val="center"/>
          </w:tcPr>
          <w:p>
            <w:pPr>
              <w:pStyle w:val="TableContents"/>
              <w:bidi w:val="0"/>
              <w:spacing w:before="0" w:after="283"/>
              <w:jc w:val="left"/>
              <w:rPr/>
            </w:pPr>
            <w:r>
              <w:rPr/>
              <w:t> </w:t>
            </w:r>
            <w:bookmarkStart w:id="711" w:name="xdx_403_ecustom--OfficeAndMaintenanceExp"/>
            <w:bookmarkEnd w:id="711"/>
          </w:p>
        </w:tc>
      </w:tr>
      <w:tr>
        <w:trPr/>
        <w:tc>
          <w:tcPr>
            <w:tcW w:w="3200" w:type="dxa"/>
            <w:tcBorders/>
            <w:shd w:fill="CCEEFF" w:val="clear"/>
            <w:vAlign w:val="center"/>
          </w:tcPr>
          <w:p>
            <w:pPr>
              <w:pStyle w:val="TableContents"/>
              <w:bidi w:val="0"/>
              <w:spacing w:before="0" w:after="283"/>
              <w:jc w:val="left"/>
              <w:rPr/>
            </w:pPr>
            <w:r>
              <w:rPr/>
              <w:t>Office and maintenance expenses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55</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100</w:t>
            </w:r>
          </w:p>
        </w:tc>
        <w:tc>
          <w:tcPr>
            <w:tcW w:w="75" w:type="dxa"/>
            <w:tcBorders/>
            <w:shd w:fill="CCEEFF" w:val="clear"/>
            <w:vAlign w:val="center"/>
          </w:tcPr>
          <w:p>
            <w:pPr>
              <w:pStyle w:val="TableContents"/>
              <w:bidi w:val="0"/>
              <w:spacing w:before="0" w:after="283"/>
              <w:jc w:val="left"/>
              <w:rPr/>
            </w:pPr>
            <w:r>
              <w:rPr/>
              <w:t> </w:t>
            </w:r>
            <w:bookmarkStart w:id="712" w:name="xdx_40D_eus-gaap--Depreciation_maRADEzGX"/>
            <w:bookmarkEnd w:id="712"/>
          </w:p>
        </w:tc>
      </w:tr>
      <w:tr>
        <w:trPr/>
        <w:tc>
          <w:tcPr>
            <w:tcW w:w="320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106</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102</w:t>
            </w:r>
          </w:p>
        </w:tc>
        <w:tc>
          <w:tcPr>
            <w:tcW w:w="75" w:type="dxa"/>
            <w:tcBorders/>
            <w:shd w:fill="FFFFFF" w:val="clear"/>
            <w:vAlign w:val="center"/>
          </w:tcPr>
          <w:p>
            <w:pPr>
              <w:pStyle w:val="TableContents"/>
              <w:bidi w:val="0"/>
              <w:spacing w:before="0" w:after="283"/>
              <w:jc w:val="left"/>
              <w:rPr/>
            </w:pPr>
            <w:r>
              <w:rPr/>
              <w:t> </w:t>
            </w:r>
            <w:bookmarkStart w:id="713" w:name="xdx_409_eus-gaap--OtherExpenses_maRADEzG"/>
            <w:bookmarkEnd w:id="713"/>
          </w:p>
        </w:tc>
      </w:tr>
      <w:tr>
        <w:trPr/>
        <w:tc>
          <w:tcPr>
            <w:tcW w:w="320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248</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368</w:t>
            </w:r>
          </w:p>
        </w:tc>
        <w:tc>
          <w:tcPr>
            <w:tcW w:w="75" w:type="dxa"/>
            <w:tcBorders/>
            <w:shd w:fill="CCEEFF" w:val="clear"/>
            <w:vAlign w:val="center"/>
          </w:tcPr>
          <w:p>
            <w:pPr>
              <w:pStyle w:val="TableContents"/>
              <w:bidi w:val="0"/>
              <w:spacing w:before="0" w:after="283"/>
              <w:jc w:val="left"/>
              <w:rPr/>
            </w:pPr>
            <w:r>
              <w:rPr/>
              <w:t> </w:t>
            </w:r>
            <w:bookmarkStart w:id="714" w:name="xdx_404_ecustom--Grants_iN_di_msRADEzGXN"/>
            <w:bookmarkEnd w:id="714"/>
          </w:p>
        </w:tc>
      </w:tr>
      <w:tr>
        <w:trPr/>
        <w:tc>
          <w:tcPr>
            <w:tcW w:w="3200" w:type="dxa"/>
            <w:tcBorders/>
            <w:shd w:fill="FFFFFF" w:val="clear"/>
            <w:vAlign w:val="center"/>
          </w:tcPr>
          <w:p>
            <w:pPr>
              <w:pStyle w:val="TableContents"/>
              <w:bidi w:val="0"/>
              <w:spacing w:before="0" w:after="283"/>
              <w:jc w:val="left"/>
              <w:rPr/>
            </w:pPr>
            <w:r>
              <w:rPr/>
              <w:t>Less - grants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9" w:type="dxa"/>
            <w:tcBorders>
              <w:bottom w:val="single" w:sz="12" w:space="0" w:color="000000"/>
            </w:tcBorders>
            <w:shd w:fill="FFFFFF" w:val="clear"/>
            <w:tcMar>
              <w:bottom w:w="28" w:type="dxa"/>
            </w:tcMar>
            <w:vAlign w:val="center"/>
          </w:tcPr>
          <w:p>
            <w:pPr>
              <w:pStyle w:val="TableContents"/>
              <w:bidi w:val="0"/>
              <w:spacing w:before="0" w:after="283"/>
              <w:jc w:val="right"/>
              <w:rPr/>
            </w:pPr>
            <w:r>
              <w:rPr/>
              <w:t>(279</w:t>
            </w:r>
          </w:p>
        </w:tc>
        <w:tc>
          <w:tcPr>
            <w:tcW w:w="132"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715" w:name="xdx_401_eus-gaap--ResearchAndDevelopment"/>
            <w:bookmarkEnd w:id="715"/>
          </w:p>
        </w:tc>
      </w:tr>
      <w:tr>
        <w:trPr/>
        <w:tc>
          <w:tcPr>
            <w:tcW w:w="3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 expense</w:t>
            </w:r>
          </w:p>
        </w:tc>
        <w:tc>
          <w:tcPr>
            <w:tcW w:w="60"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9" w:type="dxa"/>
            <w:tcBorders>
              <w:bottom w:val="double" w:sz="6" w:space="0" w:color="000000"/>
            </w:tcBorders>
            <w:shd w:fill="CCEEFF" w:val="clear"/>
            <w:tcMar>
              <w:bottom w:w="28" w:type="dxa"/>
            </w:tcMar>
            <w:vAlign w:val="center"/>
          </w:tcPr>
          <w:p>
            <w:pPr>
              <w:pStyle w:val="TableContents"/>
              <w:bidi w:val="0"/>
              <w:spacing w:before="0" w:after="283"/>
              <w:jc w:val="right"/>
              <w:rPr/>
            </w:pPr>
            <w:r>
              <w:rPr/>
              <w:t>5,724</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9" w:type="dxa"/>
            <w:tcBorders>
              <w:bottom w:val="double" w:sz="6" w:space="0" w:color="000000"/>
            </w:tcBorders>
            <w:shd w:fill="CCEEFF" w:val="clear"/>
            <w:tcMar>
              <w:bottom w:w="28" w:type="dxa"/>
            </w:tcMar>
            <w:vAlign w:val="center"/>
          </w:tcPr>
          <w:p>
            <w:pPr>
              <w:pStyle w:val="TableContents"/>
              <w:bidi w:val="0"/>
              <w:spacing w:before="0" w:after="283"/>
              <w:jc w:val="right"/>
              <w:rPr/>
            </w:pPr>
            <w:r>
              <w:rPr/>
              <w:t>7,736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716" w:name="xdx_8AF_zDqm4khVThh7"/>
      <w:bookmarkEnd w:id="71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7" w:name="xdx_80D_ecustom--GeneralAndAdministrativ"/>
      <w:bookmarkEnd w:id="717"/>
      <w:r>
        <w:rPr>
          <w:rFonts w:ascii="Times New Roman;Times;Serif" w:hAnsi="Times New Roman;Times;Serif"/>
          <w:b/>
          <w:i w:val="false"/>
          <w:caps w:val="false"/>
          <w:smallCaps w:val="false"/>
          <w:sz w:val="20"/>
        </w:rPr>
        <w:t xml:space="preserve">NOTE 13 - </w:t>
      </w:r>
      <w:bookmarkStart w:id="718" w:name="xdx_828_zA57BXSMan6b"/>
      <w:bookmarkEnd w:id="718"/>
      <w:r>
        <w:rPr>
          <w:rFonts w:ascii="Times New Roman;Times;Serif" w:hAnsi="Times New Roman;Times;Serif"/>
          <w:b/>
          <w:i w:val="false"/>
          <w:caps w:val="false"/>
          <w:smallCaps w:val="false"/>
          <w:sz w:val="20"/>
        </w:rPr>
        <w:t>GENERAL AND ADMINISTRATIVE EXPENSES, NET</w:t>
      </w:r>
    </w:p>
    <w:p>
      <w:pPr>
        <w:pStyle w:val="TextBody"/>
        <w:bidi w:val="0"/>
        <w:spacing w:before="0" w:after="0"/>
        <w:ind w:left="993" w:right="0" w:hanging="993"/>
        <w:jc w:val="both"/>
        <w:rPr>
          <w:rFonts w:ascii="Times New Roman;Times;Serif" w:hAnsi="Times New Roman;Times;Serif"/>
          <w:b w:val="false"/>
          <w:i w:val="false"/>
          <w:caps w:val="false"/>
          <w:smallCaps w:val="false"/>
          <w:sz w:val="20"/>
        </w:rPr>
      </w:pPr>
      <w:bookmarkStart w:id="719" w:name="xdx_8BD_z8vAKnypEHz2"/>
      <w:bookmarkStart w:id="720" w:name="xdx_890_ecustom--ScheduleofGeneralandAdm"/>
      <w:bookmarkEnd w:id="719"/>
      <w:bookmarkEnd w:id="720"/>
      <w:r>
        <w:rPr>
          <w:rFonts w:ascii="Times New Roman;Times;Serif" w:hAnsi="Times New Roman;Times;Serif"/>
          <w:b w:val="false"/>
          <w:i w:val="false"/>
          <w:caps w:val="false"/>
          <w:smallCaps w:val="false"/>
          <w:sz w:val="20"/>
        </w:rPr>
        <w:t>SCHEDULE OF GENERAL AND ADMINISTRATIVE EXPENSES </w:t>
      </w:r>
    </w:p>
    <w:tbl>
      <w:tblPr>
        <w:tblW w:w="6986" w:type="dxa"/>
        <w:jc w:val="left"/>
        <w:tblInd w:w="0" w:type="dxa"/>
        <w:tblLayout w:type="fixed"/>
        <w:tblCellMar>
          <w:top w:w="0" w:type="dxa"/>
          <w:left w:w="0" w:type="dxa"/>
          <w:bottom w:w="0" w:type="dxa"/>
          <w:right w:w="0" w:type="dxa"/>
        </w:tblCellMar>
      </w:tblPr>
      <w:tblGrid>
        <w:gridCol w:w="3200"/>
        <w:gridCol w:w="60"/>
        <w:gridCol w:w="325"/>
        <w:gridCol w:w="1303"/>
        <w:gridCol w:w="221"/>
        <w:gridCol w:w="139"/>
        <w:gridCol w:w="325"/>
        <w:gridCol w:w="1303"/>
        <w:gridCol w:w="11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21" w:name="xdx_490_20230101__20231231__us-gaap--Inc"/>
            <w:bookmarkEnd w:id="721"/>
          </w:p>
        </w:tc>
        <w:tc>
          <w:tcPr>
            <w:tcW w:w="16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21"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bookmarkStart w:id="722" w:name="xdx_49A_20220101__20221231__us-gaap--Inc"/>
            <w:bookmarkEnd w:id="722"/>
          </w:p>
        </w:tc>
        <w:tc>
          <w:tcPr>
            <w:tcW w:w="16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21"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6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bookmarkStart w:id="723" w:name="xdx_40A_eus-gaap--LaborAndRelatedExpense"/>
            <w:bookmarkEnd w:id="723"/>
          </w:p>
        </w:tc>
      </w:tr>
      <w:tr>
        <w:trPr/>
        <w:tc>
          <w:tcPr>
            <w:tcW w:w="3200" w:type="dxa"/>
            <w:tcBorders/>
            <w:shd w:fill="CCEEFF" w:val="clear"/>
            <w:vAlign w:val="center"/>
          </w:tcPr>
          <w:p>
            <w:pPr>
              <w:pStyle w:val="TableContents"/>
              <w:bidi w:val="0"/>
              <w:spacing w:before="0" w:after="283"/>
              <w:jc w:val="left"/>
              <w:rPr/>
            </w:pPr>
            <w:r>
              <w:rPr/>
              <w:t>Payroll and related expenses</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w:t>
            </w:r>
          </w:p>
        </w:tc>
        <w:tc>
          <w:tcPr>
            <w:tcW w:w="1303" w:type="dxa"/>
            <w:tcBorders/>
            <w:shd w:fill="CCEEFF" w:val="clear"/>
            <w:vAlign w:val="center"/>
          </w:tcPr>
          <w:p>
            <w:pPr>
              <w:pStyle w:val="TableContents"/>
              <w:bidi w:val="0"/>
              <w:spacing w:before="0" w:after="283"/>
              <w:jc w:val="right"/>
              <w:rPr/>
            </w:pPr>
            <w:r>
              <w:rPr/>
              <w:t>1,223</w:t>
            </w:r>
          </w:p>
        </w:tc>
        <w:tc>
          <w:tcPr>
            <w:tcW w:w="221"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w:t>
            </w:r>
          </w:p>
        </w:tc>
        <w:tc>
          <w:tcPr>
            <w:tcW w:w="1303" w:type="dxa"/>
            <w:tcBorders/>
            <w:shd w:fill="CCEEFF" w:val="clear"/>
            <w:vAlign w:val="center"/>
          </w:tcPr>
          <w:p>
            <w:pPr>
              <w:pStyle w:val="TableContents"/>
              <w:bidi w:val="0"/>
              <w:spacing w:before="0" w:after="283"/>
              <w:jc w:val="right"/>
              <w:rPr/>
            </w:pPr>
            <w:r>
              <w:rPr/>
              <w:t>1,813</w:t>
            </w:r>
          </w:p>
        </w:tc>
        <w:tc>
          <w:tcPr>
            <w:tcW w:w="110" w:type="dxa"/>
            <w:tcBorders/>
            <w:shd w:fill="CCEEFF" w:val="clear"/>
            <w:vAlign w:val="center"/>
          </w:tcPr>
          <w:p>
            <w:pPr>
              <w:pStyle w:val="TableContents"/>
              <w:bidi w:val="0"/>
              <w:spacing w:before="0" w:after="283"/>
              <w:jc w:val="left"/>
              <w:rPr/>
            </w:pPr>
            <w:r>
              <w:rPr/>
              <w:t> </w:t>
            </w:r>
            <w:bookmarkStart w:id="724" w:name="xdx_40B_ecustom--GovernmentalFees_maGAAE"/>
            <w:bookmarkEnd w:id="724"/>
          </w:p>
        </w:tc>
      </w:tr>
      <w:tr>
        <w:trPr/>
        <w:tc>
          <w:tcPr>
            <w:tcW w:w="3200" w:type="dxa"/>
            <w:tcBorders/>
            <w:shd w:fill="FFFFFF" w:val="clear"/>
            <w:vAlign w:val="center"/>
          </w:tcPr>
          <w:p>
            <w:pPr>
              <w:pStyle w:val="TableContents"/>
              <w:bidi w:val="0"/>
              <w:spacing w:before="0" w:after="283"/>
              <w:jc w:val="left"/>
              <w:rPr/>
            </w:pPr>
            <w:r>
              <w:rPr/>
              <w:t>Government fees</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58</w:t>
            </w:r>
          </w:p>
        </w:tc>
        <w:tc>
          <w:tcPr>
            <w:tcW w:w="221"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35</w:t>
            </w:r>
          </w:p>
        </w:tc>
        <w:tc>
          <w:tcPr>
            <w:tcW w:w="110" w:type="dxa"/>
            <w:tcBorders/>
            <w:shd w:fill="FFFFFF" w:val="clear"/>
            <w:vAlign w:val="center"/>
          </w:tcPr>
          <w:p>
            <w:pPr>
              <w:pStyle w:val="TableContents"/>
              <w:bidi w:val="0"/>
              <w:spacing w:before="0" w:after="283"/>
              <w:jc w:val="left"/>
              <w:rPr/>
            </w:pPr>
            <w:r>
              <w:rPr/>
              <w:t> </w:t>
            </w:r>
            <w:bookmarkStart w:id="725" w:name="xdx_40A_eus-gaap--ShareBasedCompensation"/>
            <w:bookmarkEnd w:id="725"/>
          </w:p>
        </w:tc>
      </w:tr>
      <w:tr>
        <w:trPr/>
        <w:tc>
          <w:tcPr>
            <w:tcW w:w="3200"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988</w:t>
            </w:r>
          </w:p>
        </w:tc>
        <w:tc>
          <w:tcPr>
            <w:tcW w:w="221"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1,365</w:t>
            </w:r>
          </w:p>
        </w:tc>
        <w:tc>
          <w:tcPr>
            <w:tcW w:w="110" w:type="dxa"/>
            <w:tcBorders/>
            <w:shd w:fill="CCEEFF" w:val="clear"/>
            <w:vAlign w:val="center"/>
          </w:tcPr>
          <w:p>
            <w:pPr>
              <w:pStyle w:val="TableContents"/>
              <w:bidi w:val="0"/>
              <w:spacing w:before="0" w:after="283"/>
              <w:jc w:val="left"/>
              <w:rPr/>
            </w:pPr>
            <w:r>
              <w:rPr/>
              <w:t> </w:t>
            </w:r>
            <w:bookmarkStart w:id="726" w:name="xdx_40E_eus-gaap--ProfessionalFees_maGAA"/>
            <w:bookmarkEnd w:id="726"/>
          </w:p>
        </w:tc>
      </w:tr>
      <w:tr>
        <w:trPr/>
        <w:tc>
          <w:tcPr>
            <w:tcW w:w="3200" w:type="dxa"/>
            <w:tcBorders/>
            <w:shd w:fill="FFFFFF" w:val="clear"/>
            <w:vAlign w:val="center"/>
          </w:tcPr>
          <w:p>
            <w:pPr>
              <w:pStyle w:val="TableContents"/>
              <w:bidi w:val="0"/>
              <w:spacing w:before="0" w:after="283"/>
              <w:jc w:val="left"/>
              <w:rPr/>
            </w:pPr>
            <w:r>
              <w:rPr/>
              <w:t>Professional services</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1,204</w:t>
            </w:r>
          </w:p>
        </w:tc>
        <w:tc>
          <w:tcPr>
            <w:tcW w:w="221"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1,154</w:t>
            </w:r>
          </w:p>
        </w:tc>
        <w:tc>
          <w:tcPr>
            <w:tcW w:w="110" w:type="dxa"/>
            <w:tcBorders/>
            <w:shd w:fill="FFFFFF" w:val="clear"/>
            <w:vAlign w:val="center"/>
          </w:tcPr>
          <w:p>
            <w:pPr>
              <w:pStyle w:val="TableContents"/>
              <w:bidi w:val="0"/>
              <w:spacing w:before="0" w:after="283"/>
              <w:jc w:val="left"/>
              <w:rPr/>
            </w:pPr>
            <w:r>
              <w:rPr/>
              <w:t> </w:t>
            </w:r>
            <w:bookmarkStart w:id="727" w:name="xdx_401_eus-gaap--GeneralInsuranceExpens"/>
            <w:bookmarkEnd w:id="727"/>
          </w:p>
        </w:tc>
      </w:tr>
      <w:tr>
        <w:trPr/>
        <w:tc>
          <w:tcPr>
            <w:tcW w:w="3200" w:type="dxa"/>
            <w:tcBorders/>
            <w:shd w:fill="CCEEFF" w:val="clear"/>
            <w:vAlign w:val="center"/>
          </w:tcPr>
          <w:p>
            <w:pPr>
              <w:pStyle w:val="TableContents"/>
              <w:bidi w:val="0"/>
              <w:spacing w:before="0" w:after="283"/>
              <w:jc w:val="left"/>
              <w:rPr/>
            </w:pPr>
            <w:r>
              <w:rPr/>
              <w:t>Insurance</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442</w:t>
            </w:r>
          </w:p>
        </w:tc>
        <w:tc>
          <w:tcPr>
            <w:tcW w:w="221"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733</w:t>
            </w:r>
          </w:p>
        </w:tc>
        <w:tc>
          <w:tcPr>
            <w:tcW w:w="110" w:type="dxa"/>
            <w:tcBorders/>
            <w:shd w:fill="CCEEFF" w:val="clear"/>
            <w:vAlign w:val="center"/>
          </w:tcPr>
          <w:p>
            <w:pPr>
              <w:pStyle w:val="TableContents"/>
              <w:bidi w:val="0"/>
              <w:spacing w:before="0" w:after="283"/>
              <w:jc w:val="left"/>
              <w:rPr/>
            </w:pPr>
            <w:r>
              <w:rPr/>
              <w:t> </w:t>
            </w:r>
            <w:bookmarkStart w:id="728" w:name="xdx_400_ecustom--PublicAndInvestorRelati"/>
            <w:bookmarkEnd w:id="728"/>
          </w:p>
        </w:tc>
      </w:tr>
      <w:tr>
        <w:trPr/>
        <w:tc>
          <w:tcPr>
            <w:tcW w:w="3200" w:type="dxa"/>
            <w:tcBorders/>
            <w:shd w:fill="FFFFFF" w:val="clear"/>
            <w:vAlign w:val="center"/>
          </w:tcPr>
          <w:p>
            <w:pPr>
              <w:pStyle w:val="TableContents"/>
              <w:bidi w:val="0"/>
              <w:spacing w:before="0" w:after="283"/>
              <w:jc w:val="left"/>
              <w:rPr/>
            </w:pPr>
            <w:r>
              <w:rPr/>
              <w:t>Public and investor relations</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148</w:t>
            </w:r>
          </w:p>
        </w:tc>
        <w:tc>
          <w:tcPr>
            <w:tcW w:w="221"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220</w:t>
            </w:r>
          </w:p>
        </w:tc>
        <w:tc>
          <w:tcPr>
            <w:tcW w:w="110" w:type="dxa"/>
            <w:tcBorders/>
            <w:shd w:fill="FFFFFF" w:val="clear"/>
            <w:vAlign w:val="center"/>
          </w:tcPr>
          <w:p>
            <w:pPr>
              <w:pStyle w:val="TableContents"/>
              <w:bidi w:val="0"/>
              <w:spacing w:before="0" w:after="283"/>
              <w:jc w:val="left"/>
              <w:rPr/>
            </w:pPr>
            <w:r>
              <w:rPr/>
              <w:t> </w:t>
            </w:r>
            <w:bookmarkStart w:id="729" w:name="xdx_40D_ecustom--OfficeAndMaintenanceExp"/>
            <w:bookmarkEnd w:id="729"/>
          </w:p>
        </w:tc>
      </w:tr>
      <w:tr>
        <w:trPr/>
        <w:tc>
          <w:tcPr>
            <w:tcW w:w="3200" w:type="dxa"/>
            <w:tcBorders/>
            <w:shd w:fill="CCEEFF" w:val="clear"/>
            <w:vAlign w:val="center"/>
          </w:tcPr>
          <w:p>
            <w:pPr>
              <w:pStyle w:val="TableContents"/>
              <w:bidi w:val="0"/>
              <w:spacing w:before="0" w:after="283"/>
              <w:jc w:val="left"/>
              <w:rPr/>
            </w:pPr>
            <w:r>
              <w:rPr/>
              <w:t>Office and maintenance expenses</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95</w:t>
            </w:r>
          </w:p>
        </w:tc>
        <w:tc>
          <w:tcPr>
            <w:tcW w:w="221"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120</w:t>
            </w:r>
          </w:p>
        </w:tc>
        <w:tc>
          <w:tcPr>
            <w:tcW w:w="110" w:type="dxa"/>
            <w:tcBorders/>
            <w:shd w:fill="CCEEFF" w:val="clear"/>
            <w:vAlign w:val="center"/>
          </w:tcPr>
          <w:p>
            <w:pPr>
              <w:pStyle w:val="TableContents"/>
              <w:bidi w:val="0"/>
              <w:spacing w:before="0" w:after="283"/>
              <w:jc w:val="left"/>
              <w:rPr/>
            </w:pPr>
            <w:r>
              <w:rPr/>
              <w:t> </w:t>
            </w:r>
            <w:bookmarkStart w:id="730" w:name="xdx_40A_eus-gaap--TravelAndEntertainment"/>
            <w:bookmarkEnd w:id="730"/>
          </w:p>
        </w:tc>
      </w:tr>
      <w:tr>
        <w:trPr/>
        <w:tc>
          <w:tcPr>
            <w:tcW w:w="3200" w:type="dxa"/>
            <w:tcBorders/>
            <w:shd w:fill="FFFFFF" w:val="clear"/>
            <w:vAlign w:val="center"/>
          </w:tcPr>
          <w:p>
            <w:pPr>
              <w:pStyle w:val="TableContents"/>
              <w:bidi w:val="0"/>
              <w:spacing w:before="0" w:after="283"/>
              <w:jc w:val="left"/>
              <w:rPr/>
            </w:pPr>
            <w:r>
              <w:rPr/>
              <w:t>Travel</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160</w:t>
            </w:r>
          </w:p>
        </w:tc>
        <w:tc>
          <w:tcPr>
            <w:tcW w:w="221"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180</w:t>
            </w:r>
          </w:p>
        </w:tc>
        <w:tc>
          <w:tcPr>
            <w:tcW w:w="110" w:type="dxa"/>
            <w:tcBorders/>
            <w:shd w:fill="FFFFFF" w:val="clear"/>
            <w:vAlign w:val="center"/>
          </w:tcPr>
          <w:p>
            <w:pPr>
              <w:pStyle w:val="TableContents"/>
              <w:bidi w:val="0"/>
              <w:spacing w:before="0" w:after="283"/>
              <w:jc w:val="left"/>
              <w:rPr/>
            </w:pPr>
            <w:r>
              <w:rPr/>
              <w:t> </w:t>
            </w:r>
            <w:bookmarkStart w:id="731" w:name="xdx_407_eus-gaap--OtherGeneralAndAdminis"/>
            <w:bookmarkEnd w:id="731"/>
          </w:p>
        </w:tc>
      </w:tr>
      <w:tr>
        <w:trPr/>
        <w:tc>
          <w:tcPr>
            <w:tcW w:w="320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94</w:t>
            </w:r>
          </w:p>
        </w:tc>
        <w:tc>
          <w:tcPr>
            <w:tcW w:w="221"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81</w:t>
            </w:r>
          </w:p>
        </w:tc>
        <w:tc>
          <w:tcPr>
            <w:tcW w:w="110" w:type="dxa"/>
            <w:tcBorders/>
            <w:shd w:fill="CCEEFF" w:val="clear"/>
            <w:vAlign w:val="center"/>
          </w:tcPr>
          <w:p>
            <w:pPr>
              <w:pStyle w:val="TableContents"/>
              <w:bidi w:val="0"/>
              <w:spacing w:before="0" w:after="283"/>
              <w:jc w:val="left"/>
              <w:rPr/>
            </w:pPr>
            <w:r>
              <w:rPr/>
              <w:t> </w:t>
            </w:r>
            <w:bookmarkStart w:id="732" w:name="xdx_405_eus-gaap--InsuranceRecoveries_iN"/>
            <w:bookmarkEnd w:id="732"/>
          </w:p>
        </w:tc>
      </w:tr>
      <w:tr>
        <w:trPr/>
        <w:tc>
          <w:tcPr>
            <w:tcW w:w="3200" w:type="dxa"/>
            <w:tcBorders/>
            <w:shd w:fill="FFFFFF" w:val="clear"/>
            <w:vAlign w:val="center"/>
          </w:tcPr>
          <w:p>
            <w:pPr>
              <w:pStyle w:val="TableContents"/>
              <w:bidi w:val="0"/>
              <w:spacing w:before="0" w:after="283"/>
              <w:jc w:val="left"/>
              <w:rPr/>
            </w:pPr>
            <w:r>
              <w:rPr/>
              <w:t>Less – insurance loss recoveries</w:t>
            </w:r>
          </w:p>
        </w:tc>
        <w:tc>
          <w:tcPr>
            <w:tcW w:w="60" w:type="dxa"/>
            <w:tcBorders/>
            <w:shd w:fill="FFFFFF" w:val="clear"/>
            <w:vAlign w:val="center"/>
          </w:tcPr>
          <w:p>
            <w:pPr>
              <w:pStyle w:val="TableContents"/>
              <w:bidi w:val="0"/>
              <w:spacing w:before="0" w:after="283"/>
              <w:jc w:val="left"/>
              <w:rPr/>
            </w:pPr>
            <w:r>
              <w:rPr/>
              <w:t> </w:t>
            </w:r>
          </w:p>
        </w:tc>
        <w:tc>
          <w:tcPr>
            <w:tcW w:w="3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FFFFFF" w:val="clear"/>
            <w:tcMar>
              <w:bottom w:w="28" w:type="dxa"/>
            </w:tcMar>
            <w:vAlign w:val="center"/>
          </w:tcPr>
          <w:p>
            <w:pPr>
              <w:pStyle w:val="TableContents"/>
              <w:bidi w:val="0"/>
              <w:spacing w:before="0" w:after="283"/>
              <w:jc w:val="right"/>
              <w:rPr/>
            </w:pPr>
            <w:r>
              <w:rPr/>
              <w:t>(281</w:t>
            </w:r>
          </w:p>
        </w:tc>
        <w:tc>
          <w:tcPr>
            <w:tcW w:w="221" w:type="dxa"/>
            <w:tcBorders/>
            <w:shd w:fill="FFFFFF" w:val="clear"/>
            <w:vAlign w:val="center"/>
          </w:tcPr>
          <w:p>
            <w:pPr>
              <w:pStyle w:val="TableContents"/>
              <w:bidi w:val="0"/>
              <w:spacing w:before="0" w:after="283"/>
              <w:jc w:val="left"/>
              <w:rPr/>
            </w:pPr>
            <w:r>
              <w:rPr/>
              <w:t>)</w:t>
            </w:r>
          </w:p>
        </w:tc>
        <w:tc>
          <w:tcPr>
            <w:tcW w:w="139" w:type="dxa"/>
            <w:tcBorders/>
            <w:shd w:fill="FFFFFF" w:val="clear"/>
            <w:vAlign w:val="center"/>
          </w:tcPr>
          <w:p>
            <w:pPr>
              <w:pStyle w:val="TableContents"/>
              <w:bidi w:val="0"/>
              <w:spacing w:before="0" w:after="283"/>
              <w:jc w:val="left"/>
              <w:rPr/>
            </w:pPr>
            <w:r>
              <w:rPr/>
              <w:t> </w:t>
            </w:r>
          </w:p>
        </w:tc>
        <w:tc>
          <w:tcPr>
            <w:tcW w:w="3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FFFFFF" w:val="clear"/>
            <w:tcMar>
              <w:bottom w:w="28" w:type="dxa"/>
            </w:tcMar>
            <w:vAlign w:val="center"/>
          </w:tcPr>
          <w:p>
            <w:pPr>
              <w:pStyle w:val="TableContents"/>
              <w:bidi w:val="0"/>
              <w:spacing w:before="0" w:after="283"/>
              <w:jc w:val="right"/>
              <w:rPr/>
            </w:pPr>
            <w:r>
              <w:rPr/>
              <w:t>(156</w:t>
            </w:r>
          </w:p>
        </w:tc>
        <w:tc>
          <w:tcPr>
            <w:tcW w:w="110" w:type="dxa"/>
            <w:tcBorders/>
            <w:shd w:fill="FFFFFF" w:val="clear"/>
            <w:vAlign w:val="center"/>
          </w:tcPr>
          <w:p>
            <w:pPr>
              <w:pStyle w:val="TableContents"/>
              <w:bidi w:val="0"/>
              <w:spacing w:before="0" w:after="283"/>
              <w:jc w:val="left"/>
              <w:rPr/>
            </w:pPr>
            <w:r>
              <w:rPr/>
              <w:t>)</w:t>
            </w:r>
            <w:bookmarkStart w:id="733" w:name="xdx_409_eus-gaap--GeneralAndAdministrati"/>
            <w:bookmarkEnd w:id="733"/>
          </w:p>
        </w:tc>
      </w:tr>
      <w:tr>
        <w:trPr/>
        <w:tc>
          <w:tcPr>
            <w:tcW w:w="3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3" w:type="dxa"/>
            <w:tcBorders>
              <w:bottom w:val="double" w:sz="6" w:space="0" w:color="000000"/>
            </w:tcBorders>
            <w:shd w:fill="CCEEFF" w:val="clear"/>
            <w:tcMar>
              <w:bottom w:w="28" w:type="dxa"/>
            </w:tcMar>
            <w:vAlign w:val="center"/>
          </w:tcPr>
          <w:p>
            <w:pPr>
              <w:pStyle w:val="TableContents"/>
              <w:bidi w:val="0"/>
              <w:spacing w:before="0" w:after="283"/>
              <w:jc w:val="right"/>
              <w:rPr/>
            </w:pPr>
            <w:r>
              <w:rPr/>
              <w:t>4,131</w:t>
            </w:r>
          </w:p>
        </w:tc>
        <w:tc>
          <w:tcPr>
            <w:tcW w:w="221"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3" w:type="dxa"/>
            <w:tcBorders>
              <w:bottom w:val="double" w:sz="6" w:space="0" w:color="000000"/>
            </w:tcBorders>
            <w:shd w:fill="CCEEFF" w:val="clear"/>
            <w:tcMar>
              <w:bottom w:w="28" w:type="dxa"/>
            </w:tcMar>
            <w:vAlign w:val="center"/>
          </w:tcPr>
          <w:p>
            <w:pPr>
              <w:pStyle w:val="TableContents"/>
              <w:bidi w:val="0"/>
              <w:spacing w:before="0" w:after="283"/>
              <w:jc w:val="right"/>
              <w:rPr/>
            </w:pPr>
            <w:r>
              <w:rPr/>
              <w:t>5,545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34" w:name="xdx_8A8_zmnAee69ow9c"/>
      <w:bookmarkEnd w:id="734"/>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35" w:name="xdx_806_eus-gaap--RelatedPartyTransactio"/>
      <w:bookmarkEnd w:id="735"/>
      <w:r>
        <w:rPr>
          <w:rFonts w:ascii="Times New Roman;Times;Serif" w:hAnsi="Times New Roman;Times;Serif"/>
          <w:b/>
          <w:i w:val="false"/>
          <w:caps w:val="false"/>
          <w:smallCaps w:val="false"/>
          <w:sz w:val="20"/>
        </w:rPr>
        <w:t xml:space="preserve">NOTE 14 - </w:t>
      </w:r>
      <w:bookmarkStart w:id="736" w:name="xdx_829_zeK0SKT0CDkj"/>
      <w:bookmarkEnd w:id="736"/>
      <w:r>
        <w:rPr>
          <w:rFonts w:ascii="Times New Roman;Times;Serif" w:hAnsi="Times New Roman;Times;Serif"/>
          <w:b/>
          <w:i w:val="false"/>
          <w:caps w:val="false"/>
          <w:smallCaps w:val="false"/>
          <w:sz w:val="20"/>
        </w:rPr>
        <w:t>RELATED PARTIES</w:t>
      </w:r>
    </w:p>
    <w:p>
      <w:pPr>
        <w:pStyle w:val="TextBody"/>
        <w:bidi w:val="0"/>
        <w:spacing w:before="0" w:after="0"/>
        <w:ind w:left="993" w:right="0" w:hanging="993"/>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material related party transactions in each of the years ended December 31, 2023 and 2022 that were outside of the Company’s normal course of business.</w:t>
      </w:r>
    </w:p>
    <w:p>
      <w:pPr>
        <w:pStyle w:val="TextBody"/>
        <w:bidi w:val="0"/>
        <w:spacing w:before="0" w:after="0"/>
        <w:ind w:left="993" w:right="0" w:hanging="99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37" w:name="xdx_80F_eus-gaap--IncomeTaxDisclosureTex"/>
      <w:bookmarkEnd w:id="737"/>
      <w:r>
        <w:rPr>
          <w:rFonts w:ascii="Times New Roman;Times;Serif" w:hAnsi="Times New Roman;Times;Serif"/>
          <w:b/>
          <w:i w:val="false"/>
          <w:caps w:val="false"/>
          <w:smallCaps w:val="false"/>
          <w:sz w:val="20"/>
        </w:rPr>
        <w:t xml:space="preserve">NOTE 15 - </w:t>
      </w:r>
      <w:bookmarkStart w:id="738" w:name="xdx_824_zLYVUnXz8nJb"/>
      <w:bookmarkEnd w:id="738"/>
      <w:r>
        <w:rPr>
          <w:rFonts w:ascii="Times New Roman;Times;Serif" w:hAnsi="Times New Roman;Times;Serif"/>
          <w:b/>
          <w:i w:val="false"/>
          <w:caps w:val="false"/>
          <w:smallCaps w:val="false"/>
          <w:sz w:val="20"/>
        </w:rPr>
        <w:t>TAXES ON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subject to U.S. federal tax rate of </w:t>
      </w:r>
      <w:bookmarkStart w:id="739" w:name="xdx_909_eus-gaap--EffectiveIncomeTaxRate"/>
      <w:bookmarkStart w:id="740" w:name="xdx_90B_eus-gaap--EffectiveIncomeTaxRate"/>
      <w:bookmarkEnd w:id="739"/>
      <w:bookmarkEnd w:id="740"/>
      <w:r>
        <w:rPr>
          <w:rFonts w:ascii="Times New Roman;Times;Serif" w:hAnsi="Times New Roman;Times;Serif"/>
          <w:b w:val="false"/>
          <w:i w:val="false"/>
          <w:caps w:val="false"/>
          <w:smallCaps w:val="false"/>
          <w:sz w:val="20"/>
        </w:rPr>
        <w:t>21% for the years ended December 31, 2023 and 2022.</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been audited by the Internal Revenue Service since its incorporation.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and 2022, the Company has generated accumulated net operating losses in the U.S. of approximately $</w:t>
      </w:r>
      <w:bookmarkStart w:id="741" w:name="xdx_902_eus-gaap--OperatingLossCarryforw"/>
      <w:bookmarkEnd w:id="741"/>
      <w:r>
        <w:rPr>
          <w:rFonts w:ascii="Times New Roman;Times;Serif" w:hAnsi="Times New Roman;Times;Serif"/>
          <w:b w:val="false"/>
          <w:i w:val="false"/>
          <w:caps w:val="false"/>
          <w:smallCaps w:val="false"/>
          <w:sz w:val="20"/>
        </w:rPr>
        <w:t>506,317 and $</w:t>
      </w:r>
      <w:bookmarkStart w:id="742" w:name="xdx_90A_eus-gaap--OperatingLossCarryforw"/>
      <w:bookmarkEnd w:id="742"/>
      <w:r>
        <w:rPr>
          <w:rFonts w:ascii="Times New Roman;Times;Serif" w:hAnsi="Times New Roman;Times;Serif"/>
          <w:b w:val="false"/>
          <w:i w:val="false"/>
          <w:caps w:val="false"/>
          <w:smallCaps w:val="false"/>
          <w:sz w:val="20"/>
        </w:rPr>
        <w:t>502,053, respectively. Net operating losses in the United States are available through 2035.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Microbot Israel is subject to Israeli corporate tax rate of </w:t>
      </w:r>
      <w:bookmarkStart w:id="743" w:name="xdx_903_eus-gaap--EffectiveIncomeTaxRate"/>
      <w:bookmarkStart w:id="744" w:name="xdx_90D_eus-gaap--EffectiveIncomeTaxRate"/>
      <w:bookmarkEnd w:id="743"/>
      <w:bookmarkEnd w:id="744"/>
      <w:r>
        <w:rPr>
          <w:rFonts w:ascii="Times New Roman;Times;Serif" w:hAnsi="Times New Roman;Times;Serif"/>
          <w:b w:val="false"/>
          <w:i w:val="false"/>
          <w:caps w:val="false"/>
          <w:smallCaps w:val="false"/>
          <w:sz w:val="20"/>
        </w:rPr>
        <w:t>23% for the years ended 2023 and 2022. Microbot Israel has not received a final tax assessment since 2018.</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and 2022, Microbot Israel has generated accumulated net operating losses in Israel of approximately $</w:t>
      </w:r>
      <w:bookmarkStart w:id="745" w:name="xdx_902_eus-gaap--OperatingLossCarryforw"/>
      <w:bookmarkEnd w:id="745"/>
      <w:r>
        <w:rPr>
          <w:rFonts w:ascii="Times New Roman;Times;Serif" w:hAnsi="Times New Roman;Times;Serif"/>
          <w:b w:val="false"/>
          <w:i w:val="false"/>
          <w:caps w:val="false"/>
          <w:smallCaps w:val="false"/>
          <w:sz w:val="20"/>
        </w:rPr>
        <w:t>41,164 and $</w:t>
      </w:r>
      <w:bookmarkStart w:id="746" w:name="xdx_905_eus-gaap--OperatingLossCarryforw"/>
      <w:bookmarkEnd w:id="746"/>
      <w:r>
        <w:rPr>
          <w:rFonts w:ascii="Times New Roman;Times;Serif" w:hAnsi="Times New Roman;Times;Serif"/>
          <w:b w:val="false"/>
          <w:i w:val="false"/>
          <w:caps w:val="false"/>
          <w:smallCaps w:val="false"/>
          <w:sz w:val="20"/>
        </w:rPr>
        <w:t>34,688, respectively, which may be carried forward and offset against taxable income in the future for an indefinite period.</w:t>
      </w:r>
    </w:p>
    <w:p>
      <w:pPr>
        <w:pStyle w:val="TextBody"/>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15 - TAXES ON INCOME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747" w:name="xdx_8BF_zutTQB2RkTo5"/>
      <w:bookmarkStart w:id="748" w:name="xdx_890_eus-gaap--ScheduleOfDeferredTaxA"/>
      <w:bookmarkEnd w:id="747"/>
      <w:bookmarkEnd w:id="748"/>
      <w:r>
        <w:rPr>
          <w:rFonts w:ascii="Times New Roman;Times;Serif" w:hAnsi="Times New Roman;Times;Serif"/>
          <w:b w:val="false"/>
          <w:i w:val="false"/>
          <w:caps w:val="false"/>
          <w:smallCaps w:val="false"/>
          <w:sz w:val="20"/>
        </w:rPr>
        <w:t>SCHEDULE OF DEFERRED TAX ASSETS AND LIABILITIES  </w:t>
      </w:r>
    </w:p>
    <w:tbl>
      <w:tblPr>
        <w:tblW w:w="5885" w:type="dxa"/>
        <w:jc w:val="left"/>
        <w:tblInd w:w="0" w:type="dxa"/>
        <w:tblLayout w:type="fixed"/>
        <w:tblCellMar>
          <w:top w:w="0" w:type="dxa"/>
          <w:left w:w="0" w:type="dxa"/>
          <w:bottom w:w="0" w:type="dxa"/>
          <w:right w:w="0" w:type="dxa"/>
        </w:tblCellMar>
      </w:tblPr>
      <w:tblGrid>
        <w:gridCol w:w="3530"/>
        <w:gridCol w:w="60"/>
        <w:gridCol w:w="140"/>
        <w:gridCol w:w="875"/>
        <w:gridCol w:w="95"/>
        <w:gridCol w:w="60"/>
        <w:gridCol w:w="140"/>
        <w:gridCol w:w="875"/>
        <w:gridCol w:w="110"/>
      </w:tblGrid>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49" w:name="xdx_49D_20231231_zhtgI7J1aYm1"/>
            <w:bookmarkEnd w:id="749"/>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50" w:name="xdx_493_20221231_z6ycMK08JE5i"/>
            <w:bookmarkEnd w:id="750"/>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1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751" w:name="xdx_407_eus-gaap--DeferredTaxAssetsOpera"/>
            <w:bookmarkEnd w:id="751"/>
          </w:p>
        </w:tc>
      </w:tr>
      <w:tr>
        <w:trPr/>
        <w:tc>
          <w:tcPr>
            <w:tcW w:w="3530" w:type="dxa"/>
            <w:tcBorders/>
            <w:shd w:fill="CCEEFF" w:val="clear"/>
            <w:vAlign w:val="center"/>
          </w:tcPr>
          <w:p>
            <w:pPr>
              <w:pStyle w:val="TableContents"/>
              <w:bidi w:val="0"/>
              <w:spacing w:before="0" w:after="283"/>
              <w:jc w:val="left"/>
              <w:rPr/>
            </w:pPr>
            <w:r>
              <w:rPr/>
              <w:t>Net operating loss carryforwards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115,778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113,393</w:t>
            </w:r>
          </w:p>
        </w:tc>
        <w:tc>
          <w:tcPr>
            <w:tcW w:w="110" w:type="dxa"/>
            <w:tcBorders/>
            <w:shd w:fill="CCEEFF" w:val="clear"/>
            <w:vAlign w:val="center"/>
          </w:tcPr>
          <w:p>
            <w:pPr>
              <w:pStyle w:val="TableContents"/>
              <w:bidi w:val="0"/>
              <w:spacing w:before="0" w:after="283"/>
              <w:jc w:val="left"/>
              <w:rPr/>
            </w:pPr>
            <w:r>
              <w:rPr/>
              <w:t> </w:t>
            </w:r>
            <w:bookmarkStart w:id="752" w:name="xdx_408_ecustom--DeferredTaxAssetsOperat"/>
            <w:bookmarkEnd w:id="752"/>
          </w:p>
        </w:tc>
      </w:tr>
      <w:tr>
        <w:trPr/>
        <w:tc>
          <w:tcPr>
            <w:tcW w:w="3530"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105</w:t>
            </w:r>
          </w:p>
        </w:tc>
        <w:tc>
          <w:tcPr>
            <w:tcW w:w="110" w:type="dxa"/>
            <w:tcBorders/>
            <w:shd w:fill="FFFFFF" w:val="clear"/>
            <w:vAlign w:val="center"/>
          </w:tcPr>
          <w:p>
            <w:pPr>
              <w:pStyle w:val="TableContents"/>
              <w:bidi w:val="0"/>
              <w:spacing w:before="0" w:after="283"/>
              <w:jc w:val="left"/>
              <w:rPr/>
            </w:pPr>
            <w:r>
              <w:rPr/>
              <w:t> </w:t>
            </w:r>
            <w:bookmarkStart w:id="753" w:name="xdx_404_ecustom--DeferredTaxAssetsAccrue"/>
            <w:bookmarkEnd w:id="753"/>
          </w:p>
        </w:tc>
      </w:tr>
      <w:tr>
        <w:trPr/>
        <w:tc>
          <w:tcPr>
            <w:tcW w:w="3530" w:type="dxa"/>
            <w:tcBorders/>
            <w:shd w:fill="CCEEFF" w:val="clear"/>
            <w:vAlign w:val="center"/>
          </w:tcPr>
          <w:p>
            <w:pPr>
              <w:pStyle w:val="TableContents"/>
              <w:bidi w:val="0"/>
              <w:spacing w:before="0" w:after="283"/>
              <w:jc w:val="left"/>
              <w:rPr/>
            </w:pPr>
            <w:r>
              <w:rPr/>
              <w:t>Accrued vacation pay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71</w:t>
            </w:r>
          </w:p>
        </w:tc>
        <w:tc>
          <w:tcPr>
            <w:tcW w:w="110" w:type="dxa"/>
            <w:tcBorders/>
            <w:shd w:fill="CCEEFF" w:val="clear"/>
            <w:vAlign w:val="center"/>
          </w:tcPr>
          <w:p>
            <w:pPr>
              <w:pStyle w:val="TableContents"/>
              <w:bidi w:val="0"/>
              <w:spacing w:before="0" w:after="283"/>
              <w:jc w:val="left"/>
              <w:rPr/>
            </w:pPr>
            <w:r>
              <w:rPr/>
              <w:t> </w:t>
            </w:r>
            <w:bookmarkStart w:id="754" w:name="xdx_400_ecustom--DeferredTaxAssetsLegalS"/>
            <w:bookmarkEnd w:id="754"/>
          </w:p>
        </w:tc>
      </w:tr>
      <w:tr>
        <w:trPr/>
        <w:tc>
          <w:tcPr>
            <w:tcW w:w="3530" w:type="dxa"/>
            <w:tcBorders/>
            <w:shd w:fill="FFFFFF" w:val="clear"/>
            <w:vAlign w:val="center"/>
          </w:tcPr>
          <w:p>
            <w:pPr>
              <w:pStyle w:val="TableContents"/>
              <w:bidi w:val="0"/>
              <w:spacing w:before="0" w:after="283"/>
              <w:jc w:val="left"/>
              <w:rPr/>
            </w:pPr>
            <w:r>
              <w:rPr/>
              <w:t>Legal settlement accrual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755" w:name="xdx_405_ecustom--DeferredTaxAssetsAdvanc"/>
            <w:bookmarkEnd w:id="755"/>
          </w:p>
        </w:tc>
      </w:tr>
      <w:tr>
        <w:trPr/>
        <w:tc>
          <w:tcPr>
            <w:tcW w:w="3530" w:type="dxa"/>
            <w:tcBorders/>
            <w:shd w:fill="CCEEFF" w:val="clear"/>
            <w:vAlign w:val="center"/>
          </w:tcPr>
          <w:p>
            <w:pPr>
              <w:pStyle w:val="TableContents"/>
              <w:bidi w:val="0"/>
              <w:spacing w:before="0" w:after="283"/>
              <w:jc w:val="left"/>
              <w:rPr/>
            </w:pPr>
            <w:r>
              <w:rPr/>
              <w:t>Advance payment from IIA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756" w:name="xdx_401_eus-gaap--DeferredTaxAssetsGross"/>
            <w:bookmarkEnd w:id="756"/>
          </w:p>
        </w:tc>
      </w:tr>
      <w:tr>
        <w:trPr/>
        <w:tc>
          <w:tcPr>
            <w:tcW w:w="3530" w:type="dxa"/>
            <w:tcBorders/>
            <w:shd w:fill="FFFFFF" w:val="clear"/>
            <w:vAlign w:val="center"/>
          </w:tcPr>
          <w:p>
            <w:pPr>
              <w:pStyle w:val="TableContents"/>
              <w:bidi w:val="0"/>
              <w:spacing w:before="0" w:after="283"/>
              <w:jc w:val="left"/>
              <w:rPr/>
            </w:pPr>
            <w:r>
              <w:rPr/>
              <w:t>Total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116,371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113,569</w:t>
            </w:r>
          </w:p>
        </w:tc>
        <w:tc>
          <w:tcPr>
            <w:tcW w:w="110" w:type="dxa"/>
            <w:tcBorders/>
            <w:shd w:fill="FFFFFF" w:val="clear"/>
            <w:vAlign w:val="center"/>
          </w:tcPr>
          <w:p>
            <w:pPr>
              <w:pStyle w:val="TableContents"/>
              <w:bidi w:val="0"/>
              <w:spacing w:before="0" w:after="283"/>
              <w:jc w:val="left"/>
              <w:rPr/>
            </w:pPr>
            <w:r>
              <w:rPr/>
              <w:t> </w:t>
            </w:r>
            <w:bookmarkStart w:id="757" w:name="xdx_405_eus-gaap--DeferredTaxAssetsValua"/>
            <w:bookmarkEnd w:id="757"/>
          </w:p>
        </w:tc>
      </w:tr>
      <w:tr>
        <w:trPr/>
        <w:tc>
          <w:tcPr>
            <w:tcW w:w="3530" w:type="dxa"/>
            <w:tcBorders/>
            <w:shd w:fill="CCEEFF" w:val="clear"/>
            <w:vAlign w:val="center"/>
          </w:tcPr>
          <w:p>
            <w:pPr>
              <w:pStyle w:val="TableContents"/>
              <w:bidi w:val="0"/>
              <w:spacing w:before="0" w:after="283"/>
              <w:jc w:val="left"/>
              <w:rPr/>
            </w:pPr>
            <w:r>
              <w:rPr/>
              <w:t>Less: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(116,014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(113,455</w:t>
            </w:r>
          </w:p>
        </w:tc>
        <w:tc>
          <w:tcPr>
            <w:tcW w:w="110" w:type="dxa"/>
            <w:tcBorders/>
            <w:shd w:fill="CCEEFF" w:val="clear"/>
            <w:vAlign w:val="center"/>
          </w:tcPr>
          <w:p>
            <w:pPr>
              <w:pStyle w:val="TableContents"/>
              <w:bidi w:val="0"/>
              <w:spacing w:before="0" w:after="283"/>
              <w:jc w:val="left"/>
              <w:rPr/>
            </w:pPr>
            <w:r>
              <w:rPr/>
              <w:t>)</w:t>
            </w:r>
            <w:bookmarkStart w:id="758" w:name="xdx_40F_eus-gaap--DeferredTaxAssetsNet_i"/>
            <w:bookmarkEnd w:id="758"/>
          </w:p>
        </w:tc>
      </w:tr>
      <w:tr>
        <w:trPr/>
        <w:tc>
          <w:tcPr>
            <w:tcW w:w="3530" w:type="dxa"/>
            <w:tcBorders/>
            <w:shd w:fill="FFFFFF" w:val="clear"/>
            <w:vAlign w:val="center"/>
          </w:tcPr>
          <w:p>
            <w:pPr>
              <w:pStyle w:val="TableContents"/>
              <w:bidi w:val="0"/>
              <w:spacing w:before="0" w:after="283"/>
              <w:jc w:val="left"/>
              <w:rPr/>
            </w:pPr>
            <w:r>
              <w:rPr/>
              <w:t>Net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114</w:t>
            </w:r>
          </w:p>
        </w:tc>
        <w:tc>
          <w:tcPr>
            <w:tcW w:w="11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759" w:name="xdx_404_ecustom--DeferredTaxLiabilitiesO"/>
            <w:bookmarkEnd w:id="759"/>
          </w:p>
        </w:tc>
      </w:tr>
      <w:tr>
        <w:trPr/>
        <w:tc>
          <w:tcPr>
            <w:tcW w:w="3530" w:type="dxa"/>
            <w:tcBorders/>
            <w:shd w:fill="FFFFFF" w:val="clear"/>
            <w:vAlign w:val="center"/>
          </w:tcPr>
          <w:p>
            <w:pPr>
              <w:pStyle w:val="TableContents"/>
              <w:bidi w:val="0"/>
              <w:spacing w:before="0" w:after="283"/>
              <w:jc w:val="left"/>
              <w:rPr/>
            </w:pPr>
            <w:r>
              <w:rPr/>
              <w:t>Operating leases,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(114</w:t>
            </w:r>
          </w:p>
        </w:tc>
        <w:tc>
          <w:tcPr>
            <w:tcW w:w="110" w:type="dxa"/>
            <w:tcBorders/>
            <w:shd w:fill="FFFFFF" w:val="clear"/>
            <w:vAlign w:val="center"/>
          </w:tcPr>
          <w:p>
            <w:pPr>
              <w:pStyle w:val="TableContents"/>
              <w:bidi w:val="0"/>
              <w:spacing w:before="0" w:after="283"/>
              <w:jc w:val="left"/>
              <w:rPr/>
            </w:pPr>
            <w:r>
              <w:rPr/>
              <w:t>)</w:t>
            </w:r>
            <w:bookmarkStart w:id="760" w:name="xdx_40D_ecustom--DeferredTaxLiabilitiesG"/>
            <w:bookmarkEnd w:id="760"/>
          </w:p>
        </w:tc>
      </w:tr>
      <w:tr>
        <w:trPr/>
        <w:tc>
          <w:tcPr>
            <w:tcW w:w="3530" w:type="dxa"/>
            <w:tcBorders/>
            <w:shd w:fill="CCEEFF" w:val="clear"/>
            <w:vAlign w:val="center"/>
          </w:tcPr>
          <w:p>
            <w:pPr>
              <w:pStyle w:val="TableContents"/>
              <w:bidi w:val="0"/>
              <w:spacing w:before="0" w:after="283"/>
              <w:jc w:val="left"/>
              <w:rPr/>
            </w:pPr>
            <w:r>
              <w:rPr/>
              <w:t>Grant receivable (</w:t>
            </w:r>
            <w:r>
              <w:rPr>
                <w:rFonts w:ascii="Times New Roman;Times;Serif" w:hAnsi="Times New Roman;Times;Serif"/>
                <w:sz w:val="20"/>
              </w:rPr>
              <w:t>Ministry of Economy)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761" w:name="xdx_40F_ecustom--DeferredTaxLiabilitiesI"/>
            <w:bookmarkEnd w:id="761"/>
          </w:p>
        </w:tc>
      </w:tr>
      <w:tr>
        <w:trPr/>
        <w:tc>
          <w:tcPr>
            <w:tcW w:w="3530" w:type="dxa"/>
            <w:tcBorders/>
            <w:shd w:fill="FFFFFF" w:val="clear"/>
            <w:vAlign w:val="center"/>
          </w:tcPr>
          <w:p>
            <w:pPr>
              <w:pStyle w:val="TableContents"/>
              <w:bidi w:val="0"/>
              <w:spacing w:before="0" w:after="283"/>
              <w:jc w:val="left"/>
              <w:rPr/>
            </w:pPr>
            <w:r>
              <w:rPr/>
              <w:t>Insurance recovery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762" w:name="xdx_401_ecustom--DeferredTaxLiabilitiesM"/>
            <w:bookmarkEnd w:id="762"/>
          </w:p>
        </w:tc>
      </w:tr>
      <w:tr>
        <w:trPr/>
        <w:tc>
          <w:tcPr>
            <w:tcW w:w="3530" w:type="dxa"/>
            <w:tcBorders/>
            <w:shd w:fill="CCEEFF" w:val="clear"/>
            <w:vAlign w:val="center"/>
          </w:tcPr>
          <w:p>
            <w:pPr>
              <w:pStyle w:val="TableContents"/>
              <w:bidi w:val="0"/>
              <w:spacing w:before="0" w:after="283"/>
              <w:jc w:val="left"/>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763" w:name="xdx_40E_eus-gaap--DeferredTaxLiabilities"/>
            <w:bookmarkEnd w:id="763"/>
          </w:p>
        </w:tc>
      </w:tr>
      <w:tr>
        <w:trPr/>
        <w:tc>
          <w:tcPr>
            <w:tcW w:w="3530" w:type="dxa"/>
            <w:tcBorders/>
            <w:shd w:fill="FFFFFF" w:val="clear"/>
            <w:vAlign w:val="center"/>
          </w:tcPr>
          <w:p>
            <w:pPr>
              <w:pStyle w:val="TableContents"/>
              <w:bidi w:val="0"/>
              <w:spacing w:before="0" w:after="283"/>
              <w:jc w:val="left"/>
              <w:rPr/>
            </w:pPr>
            <w:r>
              <w:rPr/>
              <w:t>Total 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(114</w:t>
            </w:r>
          </w:p>
        </w:tc>
        <w:tc>
          <w:tcPr>
            <w:tcW w:w="110" w:type="dxa"/>
            <w:tcBorders/>
            <w:shd w:fill="FFFFFF" w:val="clear"/>
            <w:vAlign w:val="center"/>
          </w:tcPr>
          <w:p>
            <w:pPr>
              <w:pStyle w:val="TableContents"/>
              <w:bidi w:val="0"/>
              <w:spacing w:before="0" w:after="283"/>
              <w:jc w:val="left"/>
              <w:rPr/>
            </w:pPr>
            <w:r>
              <w:rPr/>
              <w:t>)</w:t>
            </w:r>
            <w:bookmarkStart w:id="764" w:name="xdx_405_eus-gaap--DeferredTaxAssetsLiabi"/>
            <w:bookmarkEnd w:id="764"/>
          </w:p>
        </w:tc>
      </w:tr>
      <w:tr>
        <w:trPr/>
        <w:tc>
          <w:tcPr>
            <w:tcW w:w="3530" w:type="dxa"/>
            <w:tcBorders/>
            <w:shd w:fill="CCEEFF" w:val="clear"/>
            <w:vAlign w:val="center"/>
          </w:tcPr>
          <w:p>
            <w:pPr>
              <w:pStyle w:val="TableContents"/>
              <w:bidi w:val="0"/>
              <w:spacing w:before="0" w:after="283"/>
              <w:jc w:val="left"/>
              <w:rPr/>
            </w:pPr>
            <w:r>
              <w:rPr/>
              <w:t>Total net 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80" w:right="0" w:hanging="0"/>
        <w:jc w:val="both"/>
        <w:rPr>
          <w:caps w:val="false"/>
          <w:smallCaps w:val="false"/>
        </w:rPr>
      </w:pPr>
      <w:bookmarkStart w:id="765" w:name="xdx_8A2_z8kHuE16ab4d"/>
      <w:bookmarkEnd w:id="765"/>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Income Taxes: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reconciling item between the statutory tax rate of the Company and the effective tax rate is the recognition of valuation allowance in respect of deferred taxes relating to accumulated net operating losses carried forward due to the uncertainty of the realization of such deferred taxes.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66" w:name="xdx_800_eus-gaap--SubsequentEventsTextBl"/>
      <w:bookmarkEnd w:id="766"/>
      <w:r>
        <w:rPr>
          <w:rFonts w:ascii="Times New Roman;Times;Serif" w:hAnsi="Times New Roman;Times;Serif"/>
          <w:b/>
          <w:i w:val="false"/>
          <w:caps w:val="false"/>
          <w:smallCaps w:val="false"/>
          <w:sz w:val="20"/>
        </w:rPr>
        <w:t xml:space="preserve">NOTE 16 – </w:t>
      </w:r>
      <w:bookmarkStart w:id="767" w:name="xdx_824_zIDQbYcxI19h"/>
      <w:bookmarkEnd w:id="767"/>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Preferred investment options inducement: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29, 2023, the Company entered into a preferred investment option exercise inducement offer letter with certain holders of existing (i) Series A preferred investment options to purchase </w:t>
      </w:r>
      <w:bookmarkStart w:id="768" w:name="xdx_90F_eus-gaap--StockIssuedDuringPerio"/>
      <w:bookmarkEnd w:id="768"/>
      <w:r>
        <w:rPr>
          <w:rFonts w:ascii="Times New Roman;Times;Serif" w:hAnsi="Times New Roman;Times;Serif"/>
          <w:b w:val="false"/>
          <w:i w:val="false"/>
          <w:caps w:val="false"/>
          <w:smallCaps w:val="false"/>
          <w:sz w:val="20"/>
        </w:rPr>
        <w:t>1,022,495 shares of the Company’s common stock at an exercise price of $</w:t>
      </w:r>
      <w:bookmarkStart w:id="769" w:name="xdx_90B_eus-gaap--ShareBasedCompensation"/>
      <w:bookmarkEnd w:id="769"/>
      <w:r>
        <w:rPr>
          <w:rFonts w:ascii="Times New Roman;Times;Serif" w:hAnsi="Times New Roman;Times;Serif"/>
          <w:b w:val="false"/>
          <w:i w:val="false"/>
          <w:caps w:val="false"/>
          <w:smallCaps w:val="false"/>
          <w:sz w:val="20"/>
        </w:rPr>
        <w:t xml:space="preserve">2.20 per share, issued on October 25, 2022, as amended on May 24, 2023, (ii) Series C preferred investment options to purchase </w:t>
      </w:r>
      <w:bookmarkStart w:id="770" w:name="xdx_906_eus-gaap--StockIssuedDuringPerio"/>
      <w:bookmarkEnd w:id="770"/>
      <w:r>
        <w:rPr>
          <w:rFonts w:ascii="Times New Roman;Times;Serif" w:hAnsi="Times New Roman;Times;Serif"/>
          <w:b w:val="false"/>
          <w:i w:val="false"/>
          <w:caps w:val="false"/>
          <w:smallCaps w:val="false"/>
          <w:sz w:val="20"/>
        </w:rPr>
        <w:t>350,878 shares of the Company’s common stock at an exercise price of $</w:t>
      </w:r>
      <w:bookmarkStart w:id="771" w:name="xdx_90B_eus-gaap--SharesIssuedPricePerSh"/>
      <w:bookmarkEnd w:id="771"/>
      <w:r>
        <w:rPr>
          <w:rFonts w:ascii="Times New Roman;Times;Serif" w:hAnsi="Times New Roman;Times;Serif"/>
          <w:b w:val="false"/>
          <w:i w:val="false"/>
          <w:caps w:val="false"/>
          <w:smallCaps w:val="false"/>
          <w:sz w:val="20"/>
        </w:rPr>
        <w:t>2.075 per share, issued on June 6, 2023, and (iii) Series D preferred investment options to purchase 312,309 shares of the Company’s common stock at an exercise price of $</w:t>
      </w:r>
      <w:bookmarkStart w:id="772" w:name="xdx_902_eus-gaap--SharesIssuedPricePerSh"/>
      <w:bookmarkEnd w:id="772"/>
      <w:r>
        <w:rPr>
          <w:rFonts w:ascii="Times New Roman;Times;Serif" w:hAnsi="Times New Roman;Times;Serif"/>
          <w:b w:val="false"/>
          <w:i w:val="false"/>
          <w:caps w:val="false"/>
          <w:smallCaps w:val="false"/>
          <w:sz w:val="20"/>
        </w:rPr>
        <w:t xml:space="preserve">3.19 per share issued on June 26, 2023 (clauses (i) through (iii) collectively, the “Existing Preferred Investment Options”), pursuant to which the holders agreed to exercise for cash their Existing Investment Options to purchase an aggregate of </w:t>
      </w:r>
      <w:bookmarkStart w:id="773" w:name="xdx_90F_ecustom--StockIssuedDuringPeriod"/>
      <w:bookmarkEnd w:id="773"/>
      <w:r>
        <w:rPr>
          <w:rFonts w:ascii="Times New Roman;Times;Serif" w:hAnsi="Times New Roman;Times;Serif"/>
          <w:b w:val="false"/>
          <w:i w:val="false"/>
          <w:caps w:val="false"/>
          <w:smallCaps w:val="false"/>
          <w:sz w:val="20"/>
        </w:rPr>
        <w:t>1,685,682 shares of the Company’s common stock, at a reduced exercised price of $</w:t>
      </w:r>
      <w:bookmarkStart w:id="774" w:name="xdx_909_eus-gaap--SharesIssuedPricePerSh"/>
      <w:bookmarkEnd w:id="774"/>
      <w:r>
        <w:rPr>
          <w:rFonts w:ascii="Times New Roman;Times;Serif" w:hAnsi="Times New Roman;Times;Serif"/>
          <w:b w:val="false"/>
          <w:i w:val="false"/>
          <w:caps w:val="false"/>
          <w:smallCaps w:val="false"/>
          <w:sz w:val="20"/>
        </w:rPr>
        <w:t xml:space="preserve">1.62 per share, in consideration for the Company’s agreement to issue new series E preferred investment options having terms to purchase up to </w:t>
      </w:r>
      <w:bookmarkStart w:id="775" w:name="xdx_904_ecustom--StockIssuedDuringPeriod"/>
      <w:bookmarkEnd w:id="775"/>
      <w:r>
        <w:rPr>
          <w:rFonts w:ascii="Times New Roman;Times;Serif" w:hAnsi="Times New Roman;Times;Serif"/>
          <w:b w:val="false"/>
          <w:i w:val="false"/>
          <w:caps w:val="false"/>
          <w:smallCaps w:val="false"/>
          <w:sz w:val="20"/>
        </w:rPr>
        <w:t>1,685,682 shares of the Company’s common stock (the “Inducement Investment Options”). Each Inducement Investment Option will have an exercise price equal to $</w:t>
      </w:r>
      <w:bookmarkStart w:id="776" w:name="xdx_90D_eus-gaap--SharesIssuedPricePerSh"/>
      <w:bookmarkEnd w:id="776"/>
      <w:r>
        <w:rPr>
          <w:rFonts w:ascii="Times New Roman;Times;Serif" w:hAnsi="Times New Roman;Times;Serif"/>
          <w:b w:val="false"/>
          <w:i w:val="false"/>
          <w:caps w:val="false"/>
          <w:smallCaps w:val="false"/>
          <w:sz w:val="20"/>
        </w:rPr>
        <w:t>1.50 per share, and will be exercisable from the date of the issuance until five and one-half (5.5) years following the date of the issuance. The Company received aggregate gross proceeds of approximately $</w:t>
      </w:r>
      <w:bookmarkStart w:id="777" w:name="xdx_903_eus-gaap--ProceedsFromStockOptio"/>
      <w:bookmarkEnd w:id="777"/>
      <w:r>
        <w:rPr>
          <w:rFonts w:ascii="Times New Roman;Times;Serif" w:hAnsi="Times New Roman;Times;Serif"/>
          <w:b w:val="false"/>
          <w:i w:val="false"/>
          <w:caps w:val="false"/>
          <w:smallCaps w:val="false"/>
          <w:sz w:val="20"/>
        </w:rPr>
        <w:t>2,730 from the exercise of the Existing Investment Options by the Holders and the sale of the Inducement Investment Options, before deducting placement agent fees and other offering expenses payable by the Company.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mentioned in Note 9E above, the Company engaged Wainwright to act as its exclusive placement agent in connection with the transactions summarized above pursuant to an Engagement Letter, dated October 24, 2023 and paid Wainwright a cash fee equal to </w:t>
      </w:r>
      <w:bookmarkStart w:id="778" w:name="xdx_901_ecustom--GrossProceedsFromCashFe"/>
      <w:bookmarkEnd w:id="778"/>
      <w:r>
        <w:rPr>
          <w:rFonts w:ascii="Times New Roman;Times;Serif" w:hAnsi="Times New Roman;Times;Serif"/>
          <w:b w:val="false"/>
          <w:i w:val="false"/>
          <w:caps w:val="false"/>
          <w:smallCaps w:val="false"/>
          <w:sz w:val="20"/>
        </w:rPr>
        <w:t xml:space="preserve">7.0% of the gross proceeds received from the exercise of the Existing Investment Options as well as a management fee equal to </w:t>
      </w:r>
      <w:bookmarkStart w:id="779" w:name="xdx_905_ecustom--GrossProceedsFromManage"/>
      <w:bookmarkEnd w:id="779"/>
      <w:r>
        <w:rPr>
          <w:rFonts w:ascii="Times New Roman;Times;Serif" w:hAnsi="Times New Roman;Times;Serif"/>
          <w:b w:val="false"/>
          <w:i w:val="false"/>
          <w:caps w:val="false"/>
          <w:smallCaps w:val="false"/>
          <w:sz w:val="20"/>
        </w:rPr>
        <w:t>1.0% of the gross proceeds from the exercise of the Existing Investment Options. The Company also paid Wainwright $</w:t>
      </w:r>
      <w:bookmarkStart w:id="780" w:name="xdx_902_ecustom--StockIssuedDuringPeriod"/>
      <w:bookmarkEnd w:id="780"/>
      <w:r>
        <w:rPr>
          <w:rFonts w:ascii="Times New Roman;Times;Serif" w:hAnsi="Times New Roman;Times;Serif"/>
          <w:b w:val="false"/>
          <w:i w:val="false"/>
          <w:caps w:val="false"/>
          <w:smallCaps w:val="false"/>
          <w:sz w:val="20"/>
        </w:rPr>
        <w:t>60 for non-accountable expenses, and approximately $</w:t>
      </w:r>
      <w:bookmarkStart w:id="781" w:name="xdx_901_ecustom--ClearingFees_pn3n3_c202"/>
      <w:bookmarkEnd w:id="781"/>
      <w:r>
        <w:rPr>
          <w:rFonts w:ascii="Times New Roman;Times;Serif" w:hAnsi="Times New Roman;Times;Serif"/>
          <w:b w:val="false"/>
          <w:i w:val="false"/>
          <w:caps w:val="false"/>
          <w:smallCaps w:val="false"/>
          <w:sz w:val="20"/>
        </w:rPr>
        <w:t xml:space="preserve">16 for certain administrative fees. The Company also issued to Wainwright or its designees preferred investment options to purchase up to </w:t>
      </w:r>
      <w:bookmarkStart w:id="782" w:name="xdx_903_eus-gaap--StockIssuedDuringPerio"/>
      <w:bookmarkEnd w:id="782"/>
      <w:r>
        <w:rPr>
          <w:rFonts w:ascii="Times New Roman;Times;Serif" w:hAnsi="Times New Roman;Times;Serif"/>
          <w:b w:val="false"/>
          <w:i w:val="false"/>
          <w:caps w:val="false"/>
          <w:smallCaps w:val="false"/>
          <w:sz w:val="20"/>
        </w:rPr>
        <w:t>84,284 shares of common stock which have the same terms as the Inducement Investment Options except for an exercise price equal to $</w:t>
      </w:r>
      <w:bookmarkStart w:id="783" w:name="xdx_900_eus-gaap--SharesIssuedPricePerSh"/>
      <w:bookmarkEnd w:id="783"/>
      <w:r>
        <w:rPr>
          <w:rFonts w:ascii="Times New Roman;Times;Serif" w:hAnsi="Times New Roman;Times;Serif"/>
          <w:b w:val="false"/>
          <w:i w:val="false"/>
          <w:caps w:val="false"/>
          <w:smallCaps w:val="false"/>
          <w:sz w:val="20"/>
        </w:rPr>
        <w:t>2.025 per share.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closing date January 3, 2024.</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preferred investment option exercise inducement offer letter, and the modification of the previous warrants, the issuance of the stock and the warrants, and the receipt of cash, all occurred after December 31, 2023.</w:t>
      </w:r>
    </w:p>
    <w:p>
      <w:pPr>
        <w:pStyle w:val="TextBody"/>
        <w:bidi w:val="0"/>
        <w:spacing w:before="0" w:after="0"/>
        <w:ind w:left="1440" w:right="0" w:hanging="0"/>
        <w:jc w:val="left"/>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Reinstatement of annual compensation:</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8, 2024, the Board of Directors of the Company authorized the reinstatement of the annual fees payable to the independent directors for their services, effective as of January 1, 2024. Such fees were suspended in May 2023 as a result of the Company’s cost reduction plan.</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reinstated in full of the annual compensation of the CEO, effective as of January 1, 2024. Such compensation was reduced by </w:t>
      </w:r>
      <w:bookmarkStart w:id="784" w:name="xdx_90D_ecustom--LItigationSttlementPerc"/>
      <w:bookmarkEnd w:id="784"/>
      <w:r>
        <w:rPr>
          <w:rFonts w:ascii="Times New Roman;Times;Serif" w:hAnsi="Times New Roman;Times;Serif"/>
          <w:b w:val="false"/>
          <w:i w:val="false"/>
          <w:caps w:val="false"/>
          <w:smallCaps w:val="false"/>
          <w:sz w:val="20"/>
        </w:rPr>
        <w:t>50% in May 2023 as a result of the Company’s cost reduction plan.</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Settlement of litigation resulting from the 2017 financing:</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2024 (the “Effective Date”), the Company entered into a settlement agreement and release with the Plaintiffs (the “Settlement Agreement”), effectively resolving a lawsuit brought against the Company in 2020. The lawsuit stemmed from securities purchase agreements made between the Company and the third parties in 2017.</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Settlement Agreement, the Company agreed to pay $</w:t>
      </w:r>
      <w:bookmarkStart w:id="785" w:name="xdx_909_eus-gaap--LitigationSettlementAm"/>
      <w:bookmarkEnd w:id="785"/>
      <w:r>
        <w:rPr>
          <w:rFonts w:ascii="Times New Roman;Times;Serif" w:hAnsi="Times New Roman;Times;Serif"/>
          <w:b w:val="false"/>
          <w:i w:val="false"/>
          <w:caps w:val="false"/>
          <w:smallCaps w:val="false"/>
          <w:sz w:val="20"/>
        </w:rPr>
        <w:t>2,154 consisting of a cash payment of $</w:t>
      </w:r>
      <w:bookmarkStart w:id="786" w:name="xdx_90F_eus-gaap--PaymentsForLegalSettle"/>
      <w:bookmarkEnd w:id="786"/>
      <w:r>
        <w:rPr>
          <w:rFonts w:ascii="Times New Roman;Times;Serif" w:hAnsi="Times New Roman;Times;Serif"/>
          <w:b w:val="false"/>
          <w:i w:val="false"/>
          <w:caps w:val="false"/>
          <w:smallCaps w:val="false"/>
          <w:sz w:val="20"/>
        </w:rPr>
        <w:t xml:space="preserve">1,100, covered by the Company’s insurance company, and </w:t>
      </w:r>
      <w:bookmarkStart w:id="787" w:name="xdx_900_eus-gaap--StockIssuedDuringPerio"/>
      <w:bookmarkEnd w:id="787"/>
      <w:r>
        <w:rPr>
          <w:rFonts w:ascii="Times New Roman;Times;Serif" w:hAnsi="Times New Roman;Times;Serif"/>
          <w:b w:val="false"/>
          <w:i w:val="false"/>
          <w:caps w:val="false"/>
          <w:smallCaps w:val="false"/>
          <w:sz w:val="20"/>
        </w:rPr>
        <w:t>1,005,965 shares of restricted common stock. Furthermore, the Company’s insurance company is responsible for covering legal expenses incurred by the Company in relation to the legal proceedings of the Lawsuit. As part of the Settlement Agreement, the Company is also obligated to register the restricted common stock. In February 2024, the Plaintiffs filed a stipulation discontinuing the Lawsuit with prejudice.</w:t>
      </w:r>
    </w:p>
    <w:p>
      <w:pPr>
        <w:pStyle w:val="TextBody"/>
        <w:bidi w:val="0"/>
        <w:ind w:left="108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the Settlement Agreement gave rise to loss contingencies in the scope of ASC Subtopic 450-20, Contingencies – Loss Contingencies, and as of December 31, 2023, the Company recorded a contingent liability, as the Company deemed it both probable and reasonably estimable.</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the loss contingency should be recognized as non-operating losses, offset by loss recoveries received from the Company’s insurance company</w:t>
      </w:r>
      <w:r>
        <w:rPr>
          <w:rFonts w:ascii="Times New Roman;Times;Serif" w:hAnsi="Times New Roman;Times;Serif"/>
          <w:b w:val="false"/>
          <w:i/>
          <w:caps w:val="false"/>
          <w:smallCaps w:val="false"/>
          <w:sz w:val="20"/>
        </w:rPr>
        <w:t>.</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Settlement Agreement and the insurance recovery received from the insurance company, as of December 31, 2023, the Company recorded a liability and an asset on its balance sheet totaling $</w:t>
      </w:r>
      <w:bookmarkStart w:id="788" w:name="xdx_908_eus-gaap--LitigationReserve_iI_p"/>
      <w:bookmarkEnd w:id="788"/>
      <w:r>
        <w:rPr>
          <w:rFonts w:ascii="Times New Roman;Times;Serif" w:hAnsi="Times New Roman;Times;Serif"/>
          <w:b w:val="false"/>
          <w:i w:val="false"/>
          <w:caps w:val="false"/>
          <w:smallCaps w:val="false"/>
          <w:sz w:val="20"/>
        </w:rPr>
        <w:t>2,211 and $</w:t>
      </w:r>
      <w:bookmarkStart w:id="789" w:name="xdx_905_eus-gaap--LitigationReserve_iI_p"/>
      <w:bookmarkEnd w:id="789"/>
      <w:r>
        <w:rPr>
          <w:rFonts w:ascii="Times New Roman;Times;Serif" w:hAnsi="Times New Roman;Times;Serif"/>
          <w:b w:val="false"/>
          <w:i w:val="false"/>
          <w:caps w:val="false"/>
          <w:smallCaps w:val="false"/>
          <w:sz w:val="20"/>
        </w:rPr>
        <w:t>1,335, respectively. Within this asset, $</w:t>
      </w:r>
      <w:bookmarkStart w:id="790" w:name="xdx_900_eus-gaap--LossContingencyReceiva"/>
      <w:bookmarkEnd w:id="790"/>
      <w:r>
        <w:rPr>
          <w:rFonts w:ascii="Times New Roman;Times;Serif" w:hAnsi="Times New Roman;Times;Serif"/>
          <w:b w:val="false"/>
          <w:i w:val="false"/>
          <w:caps w:val="false"/>
          <w:smallCaps w:val="false"/>
          <w:sz w:val="20"/>
        </w:rPr>
        <w:t>1,100 represents the recovery of the cash payment of the settlement amount, and $</w:t>
      </w:r>
      <w:bookmarkStart w:id="791" w:name="xdx_90E_eus-gaap--LegalFees_pn3n3_c20230"/>
      <w:bookmarkEnd w:id="791"/>
      <w:r>
        <w:rPr>
          <w:rFonts w:ascii="Times New Roman;Times;Serif" w:hAnsi="Times New Roman;Times;Serif"/>
          <w:b w:val="false"/>
          <w:i w:val="false"/>
          <w:caps w:val="false"/>
          <w:smallCaps w:val="false"/>
          <w:sz w:val="20"/>
        </w:rPr>
        <w:t>235 represents recovery of legal expenses. A net non-operating loss of $</w:t>
      </w:r>
      <w:bookmarkStart w:id="792" w:name="xdx_908_eus-gaap--GainLossRelatedToLitig"/>
      <w:bookmarkEnd w:id="792"/>
      <w:r>
        <w:rPr>
          <w:rFonts w:ascii="Times New Roman;Times;Serif" w:hAnsi="Times New Roman;Times;Serif"/>
          <w:b w:val="false"/>
          <w:i w:val="false"/>
          <w:caps w:val="false"/>
          <w:smallCaps w:val="false"/>
          <w:sz w:val="20"/>
        </w:rPr>
        <w:t>1,111 from legal settlement was reflected in the Company’s statement of comprehensive loss for the year ended December 31, 2023.</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Stock option grants and other compensation:</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February 2024, the Company granted the CEO, certain executives and certain employees, fully vested options to purchase an aggregate of </w:t>
      </w:r>
      <w:bookmarkStart w:id="793" w:name="xdx_909_eus-gaap--ShareBasedCompensation"/>
      <w:bookmarkEnd w:id="793"/>
      <w:r>
        <w:rPr>
          <w:rFonts w:ascii="Times New Roman;Times;Serif" w:hAnsi="Times New Roman;Times;Serif"/>
          <w:b w:val="false"/>
          <w:i w:val="false"/>
          <w:caps w:val="false"/>
          <w:smallCaps w:val="false"/>
          <w:sz w:val="20"/>
        </w:rPr>
        <w:t>130,000 shares of the Company’s common stock, at an exercise price per share of $</w:t>
      </w:r>
      <w:bookmarkStart w:id="794" w:name="xdx_903_eus-gaap--SharesIssuedPricePerSh"/>
      <w:bookmarkEnd w:id="794"/>
      <w:r>
        <w:rPr>
          <w:rFonts w:ascii="Times New Roman;Times;Serif" w:hAnsi="Times New Roman;Times;Serif"/>
          <w:b w:val="false"/>
          <w:i w:val="false"/>
          <w:caps w:val="false"/>
          <w:smallCaps w:val="false"/>
          <w:sz w:val="20"/>
        </w:rPr>
        <w:t xml:space="preserve">1.2684, attributable to performance goals achieved in January 2024. The Company also granted the CEO and other executives, options to purchase an aggregate of </w:t>
      </w:r>
      <w:bookmarkStart w:id="795" w:name="xdx_90A_eus-gaap--StockIssuedDuringPerio"/>
      <w:bookmarkEnd w:id="795"/>
      <w:r>
        <w:rPr>
          <w:rFonts w:ascii="Times New Roman;Times;Serif" w:hAnsi="Times New Roman;Times;Serif"/>
          <w:b w:val="false"/>
          <w:i w:val="false"/>
          <w:caps w:val="false"/>
          <w:smallCaps w:val="false"/>
          <w:sz w:val="20"/>
        </w:rPr>
        <w:t>132,500 shares of common stock at an exercise price per share of $</w:t>
      </w:r>
      <w:bookmarkStart w:id="796" w:name="xdx_902_eus-gaap--ShareBasedCompensation"/>
      <w:bookmarkEnd w:id="796"/>
      <w:r>
        <w:rPr>
          <w:rFonts w:ascii="Times New Roman;Times;Serif" w:hAnsi="Times New Roman;Times;Serif"/>
          <w:b w:val="false"/>
          <w:i w:val="false"/>
          <w:caps w:val="false"/>
          <w:smallCaps w:val="false"/>
          <w:sz w:val="20"/>
        </w:rPr>
        <w:t>1.25, with vesting based on meeting certain performance conditions in the year 2024.</w:t>
      </w:r>
    </w:p>
    <w:p>
      <w:pPr>
        <w:pStyle w:val="TextBody"/>
        <w:bidi w:val="0"/>
        <w:spacing w:before="0" w:after="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February 2024, the Company granted certain employees and advisors, options to purchase an aggregate of </w:t>
      </w:r>
      <w:bookmarkStart w:id="797" w:name="xdx_907_eus-gaap--StockIssuedDuringPerio"/>
      <w:bookmarkEnd w:id="797"/>
      <w:r>
        <w:rPr>
          <w:rFonts w:ascii="Times New Roman;Times;Serif" w:hAnsi="Times New Roman;Times;Serif"/>
          <w:b w:val="false"/>
          <w:i w:val="false"/>
          <w:caps w:val="false"/>
          <w:smallCaps w:val="false"/>
          <w:sz w:val="20"/>
        </w:rPr>
        <w:t>77,500 shares of the Company’s common stock, at an exercise price per share of $</w:t>
      </w:r>
      <w:bookmarkStart w:id="798" w:name="xdx_906_eus-gaap--SharesIssuedPricePerSh"/>
      <w:bookmarkEnd w:id="798"/>
      <w:r>
        <w:rPr>
          <w:rFonts w:ascii="Times New Roman;Times;Serif" w:hAnsi="Times New Roman;Times;Serif"/>
          <w:b w:val="false"/>
          <w:i w:val="false"/>
          <w:caps w:val="false"/>
          <w:smallCaps w:val="false"/>
          <w:sz w:val="20"/>
        </w:rPr>
        <w:t>1.2684, with a vesting period of three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the CEO’s 2023 annual bonus, in February 2024, the Company paid the CEO 25% of his 2023 annual bonus, amounting to approximately $</w:t>
      </w:r>
      <w:bookmarkStart w:id="799" w:name="xdx_909_ecustom--AnnualBonus_c20240229__"/>
      <w:bookmarkEnd w:id="799"/>
      <w:r>
        <w:rPr>
          <w:rFonts w:ascii="Times New Roman;Times;Serif" w:hAnsi="Times New Roman;Times;Serif"/>
          <w:b w:val="false"/>
          <w:i w:val="false"/>
          <w:caps w:val="false"/>
          <w:smallCaps w:val="false"/>
          <w:sz w:val="20"/>
        </w:rPr>
        <w:t xml:space="preserve">99, through the grant of fully vested options to purchase an aggregate of </w:t>
      </w:r>
      <w:bookmarkStart w:id="800" w:name="xdx_909_eus-gaap--SharebasedCompensation"/>
      <w:bookmarkEnd w:id="800"/>
      <w:r>
        <w:rPr>
          <w:rFonts w:ascii="Times New Roman;Times;Serif" w:hAnsi="Times New Roman;Times;Serif"/>
          <w:b w:val="false"/>
          <w:i w:val="false"/>
          <w:caps w:val="false"/>
          <w:smallCaps w:val="false"/>
          <w:sz w:val="20"/>
        </w:rPr>
        <w:t>79,567 shares of the Company’s common stock with an exercise price per share of $</w:t>
      </w:r>
      <w:bookmarkStart w:id="801" w:name="xdx_902_eus-gaap--ShareBasedCompensation"/>
      <w:bookmarkEnd w:id="801"/>
      <w:r>
        <w:rPr>
          <w:rFonts w:ascii="Times New Roman;Times;Serif" w:hAnsi="Times New Roman;Times;Serif"/>
          <w:b w:val="false"/>
          <w:i w:val="false"/>
          <w:caps w:val="false"/>
          <w:smallCaps w:val="false"/>
          <w:sz w:val="20"/>
        </w:rPr>
        <w:t>1.25. The remaining 75% of the CEO’s bonus will be paid in cash contingent upon meeting certain conditions during 2024. As for other Company executives’ 2023 annual bonuses, in February 2024, the Company paid 50% of such bonuses in cash. The remaining 50% of such bonuses will be paid in cash contingent upon meeting certain conditions during 2024. As of December 31, 2023 and for the year then ended, the portions of the bonuses, which were paid in February 2024 in options and cash, were reflected as a liability in the Company’s balance sheet against payroll expenses in the Company’s statement of comprehensive loss, amounting to approximately $</w:t>
      </w:r>
      <w:bookmarkStart w:id="802" w:name="xdx_900_eus-gaap--AccruedPayrollTaxesCur"/>
      <w:bookmarkEnd w:id="802"/>
      <w:r>
        <w:rPr>
          <w:rFonts w:ascii="Times New Roman;Times;Serif" w:hAnsi="Times New Roman;Times;Serif"/>
          <w:b w:val="false"/>
          <w:i w:val="false"/>
          <w:caps w:val="false"/>
          <w:smallCaps w:val="false"/>
          <w:sz w:val="20"/>
        </w:rPr>
        <w:t>140.</w:t>
      </w:r>
    </w:p>
    <w:p>
      <w:pPr>
        <w:pStyle w:val="TextBody"/>
        <w:bidi w:val="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Return of CardioSert intellectual property assets: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 2024, the Company received notice from CardioSert that it was triggering its right to reacquire the Technology, pursuant to its rights under the CardioSert Agreement. The Company expects the transfer of the Technology back to CardioSert will occur in the second fiscal quarter of 2024.</w:t>
      </w:r>
    </w:p>
    <w:p>
      <w:pPr>
        <w:pStyle w:val="TextBody"/>
        <w:bidi w:val="0"/>
        <w:spacing w:before="0" w:after="0"/>
        <w:ind w:left="0" w:right="0" w:hanging="0"/>
        <w:jc w:val="left"/>
        <w:rPr>
          <w:caps w:val="false"/>
          <w:smallCaps w:val="false"/>
        </w:rPr>
      </w:pPr>
      <w:bookmarkStart w:id="803" w:name="xdx_81B_zoE6AKhCx0u2"/>
      <w:bookmarkEnd w:id="80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caps w:val="false"/>
          <w:smallCaps w:val="false"/>
        </w:rPr>
      </w:pPr>
      <w:bookmarkStart w:id="804" w:name="ex23-1.htm"/>
      <w:bookmarkStart w:id="805" w:name="ksex231"/>
      <w:bookmarkEnd w:id="804"/>
      <w:bookmarkEnd w:id="80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jc w:val="center"/>
        <w:rPr>
          <w:caps w:val="false"/>
          <w:smallCaps w:val="false"/>
        </w:rPr>
      </w:pPr>
      <w:r>
        <w:rPr>
          <w:caps w:val="false"/>
          <w:smallCaps w:val="false"/>
        </w:rPr>
        <w:t> </w:t>
      </w:r>
    </w:p>
    <w:p>
      <w:pPr>
        <w:pStyle w:val="TextBody"/>
        <w:bidi w:val="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on Form S-8 (Registration No. 333-221216 and 333-250963), the Registration Statement on Form S-1 (Registration No. 333-276487) and the Registration Statement on Form S-3 (Registration No. 333-275634) of our report dated March 27, 2024 relating to the consolidated financial statements of Microbot Medical Inc. (the “Company”) appearing in this Annual Report on Form 10-K of the Company for the year ended December 31, 2023.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Brightman Almagor Zohar &amp; Co.</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Brightman Almagor Zohar &amp; Co.,</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Certified Public Accountants</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firm in the Deloitte Global Network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Aviv, Israel</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2024</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16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806" w:name="ex31-1.htm"/>
      <w:bookmarkStart w:id="807" w:name="ksex311"/>
      <w:bookmarkEnd w:id="806"/>
      <w:bookmarkEnd w:id="80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PURSUANT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Harel Gadot,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Microbot Medical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3170" w:type="dxa"/>
        <w:jc w:val="left"/>
        <w:tblInd w:w="0" w:type="dxa"/>
        <w:tblLayout w:type="fixed"/>
        <w:tblCellMar>
          <w:top w:w="0" w:type="dxa"/>
          <w:left w:w="0" w:type="dxa"/>
          <w:bottom w:w="0" w:type="dxa"/>
          <w:right w:w="0" w:type="dxa"/>
        </w:tblCellMar>
      </w:tblPr>
      <w:tblGrid>
        <w:gridCol w:w="75"/>
        <w:gridCol w:w="30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27,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w:t>
            </w:r>
            <w:r>
              <w:rPr>
                <w:rFonts w:ascii="Times New Roman;Times;Serif" w:hAnsi="Times New Roman;Times;Serif"/>
                <w:b/>
                <w:i/>
                <w:smallCaps/>
                <w:sz w:val="20"/>
              </w:rPr>
              <w:t>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808" w:name="ex31-2.htm"/>
      <w:bookmarkStart w:id="809" w:name="ksex312"/>
      <w:bookmarkEnd w:id="808"/>
      <w:bookmarkEnd w:id="80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PURSUANT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Rachel Vaknin,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Microbot Medical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3605" w:type="dxa"/>
        <w:jc w:val="left"/>
        <w:tblInd w:w="0" w:type="dxa"/>
        <w:tblLayout w:type="fixed"/>
        <w:tblCellMar>
          <w:top w:w="0" w:type="dxa"/>
          <w:left w:w="0" w:type="dxa"/>
          <w:bottom w:w="0" w:type="dxa"/>
          <w:right w:w="0" w:type="dxa"/>
        </w:tblCellMar>
      </w:tblPr>
      <w:tblGrid>
        <w:gridCol w:w="75"/>
        <w:gridCol w:w="35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27,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w:t>
            </w:r>
            <w:r>
              <w:rPr>
                <w:rFonts w:ascii="Times New Roman;Times;Serif" w:hAnsi="Times New Roman;Times;Serif"/>
                <w:b/>
                <w:i/>
                <w:smallCaps/>
                <w:sz w:val="20"/>
              </w:rPr>
              <w:t>RACHEL VAKNIN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Rachel Vaknin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810" w:name="ex32-1.htm"/>
      <w:bookmarkStart w:id="811" w:name="ksex321"/>
      <w:bookmarkEnd w:id="810"/>
      <w:bookmarkEnd w:id="81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PURSUANT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Annual Report of Microbot Medical Inc. (the “Company”) on Form 10-K for the fiscal year ended December 31, 2023 as filed with the Securities and Exchange Commission on the date hereof (the “Report”), I, </w:t>
      </w:r>
      <w:r>
        <w:rPr>
          <w:rFonts w:ascii="Times New Roman;Times;Serif" w:hAnsi="Times New Roman;Times;Serif"/>
          <w:b/>
          <w:i w:val="false"/>
          <w:caps w:val="false"/>
          <w:smallCaps w:val="false"/>
          <w:sz w:val="20"/>
        </w:rPr>
        <w:t>Harel Gadot</w:t>
      </w:r>
      <w:r>
        <w:rPr>
          <w:rFonts w:ascii="Times New Roman;Times;Serif" w:hAnsi="Times New Roman;Times;Serif"/>
          <w:b w:val="false"/>
          <w:i w:val="false"/>
          <w:caps w:val="false"/>
          <w:smallCaps w:val="false"/>
          <w:sz w:val="20"/>
        </w:rPr>
        <w:t>, President and Chief Executive Officer of the Company, certify, pursuant to 18 U.S.C. Sec. 1350, as adopted pursuant to Sec. 906 of the Sarbanes-Oxley Act of 2002,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 of operations of the company.</w:t>
      </w:r>
    </w:p>
    <w:p>
      <w:pPr>
        <w:pStyle w:val="TextBody"/>
        <w:bidi w:val="0"/>
        <w:spacing w:before="0" w:after="0"/>
        <w:ind w:left="0" w:right="0" w:hanging="0"/>
        <w:jc w:val="left"/>
        <w:rPr>
          <w:caps w:val="false"/>
          <w:smallCaps w:val="false"/>
        </w:rPr>
      </w:pPr>
      <w:r>
        <w:rPr>
          <w:caps w:val="false"/>
          <w:smallCaps w:val="false"/>
        </w:rPr>
        <w:t> </w:t>
      </w:r>
    </w:p>
    <w:tbl>
      <w:tblPr>
        <w:tblW w:w="3170" w:type="dxa"/>
        <w:jc w:val="left"/>
        <w:tblInd w:w="0" w:type="dxa"/>
        <w:tblLayout w:type="fixed"/>
        <w:tblCellMar>
          <w:top w:w="0" w:type="dxa"/>
          <w:left w:w="0" w:type="dxa"/>
          <w:bottom w:w="0" w:type="dxa"/>
          <w:right w:w="0" w:type="dxa"/>
        </w:tblCellMar>
      </w:tblPr>
      <w:tblGrid>
        <w:gridCol w:w="75"/>
        <w:gridCol w:w="30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w:t>
            </w:r>
            <w:r>
              <w:rPr>
                <w:rFonts w:ascii="Times New Roman;Times;Serif" w:hAnsi="Times New Roman;Times;Serif"/>
                <w:b/>
                <w:i/>
                <w:smallCaps/>
                <w:sz w:val="20"/>
              </w:rPr>
              <w:t>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2024</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812" w:name="ex32-2.htm"/>
      <w:bookmarkStart w:id="813" w:name="ksex322"/>
      <w:bookmarkEnd w:id="812"/>
      <w:bookmarkEnd w:id="81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PURSUANT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Annual Report of Microbot Medical Inc. (the “Company”) on Form 10-K for the fiscal year ended December 31, 2023 as filed with the Securities and Exchange Commission on the date hereof (the “Report”), I, </w:t>
      </w:r>
      <w:r>
        <w:rPr>
          <w:rFonts w:ascii="Times New Roman;Times;Serif" w:hAnsi="Times New Roman;Times;Serif"/>
          <w:b/>
          <w:i w:val="false"/>
          <w:caps w:val="false"/>
          <w:smallCaps w:val="false"/>
          <w:sz w:val="20"/>
        </w:rPr>
        <w:t>Rachel Vaknin</w:t>
      </w:r>
      <w:r>
        <w:rPr>
          <w:rFonts w:ascii="Times New Roman;Times;Serif" w:hAnsi="Times New Roman;Times;Serif"/>
          <w:b w:val="false"/>
          <w:i w:val="false"/>
          <w:caps w:val="false"/>
          <w:smallCaps w:val="false"/>
          <w:sz w:val="20"/>
        </w:rPr>
        <w:t>, Chief Financial Officer of the Company, certify, pursuant to 18 U.S.C. Sec. 1350, as adopted pursuant to Sec. 906 of the Sarbanes-Oxley Act of 2002,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 of operations of the company.</w:t>
      </w:r>
    </w:p>
    <w:p>
      <w:pPr>
        <w:pStyle w:val="TextBody"/>
        <w:bidi w:val="0"/>
        <w:spacing w:before="0" w:after="0"/>
        <w:ind w:left="0" w:right="0" w:hanging="0"/>
        <w:jc w:val="left"/>
        <w:rPr>
          <w:caps w:val="false"/>
          <w:smallCaps w:val="false"/>
        </w:rPr>
      </w:pPr>
      <w:r>
        <w:rPr>
          <w:caps w:val="false"/>
          <w:smallCaps w:val="false"/>
        </w:rPr>
        <w:t> </w:t>
      </w:r>
    </w:p>
    <w:tbl>
      <w:tblPr>
        <w:tblW w:w="1970" w:type="dxa"/>
        <w:jc w:val="left"/>
        <w:tblInd w:w="0" w:type="dxa"/>
        <w:tblLayout w:type="fixed"/>
        <w:tblCellMar>
          <w:top w:w="0" w:type="dxa"/>
          <w:left w:w="0" w:type="dxa"/>
          <w:bottom w:w="0" w:type="dxa"/>
          <w:right w:w="0" w:type="dxa"/>
        </w:tblCellMar>
      </w:tblPr>
      <w:tblGrid>
        <w:gridCol w:w="75"/>
        <w:gridCol w:w="1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w:t>
            </w:r>
            <w:r>
              <w:rPr>
                <w:rFonts w:ascii="Times New Roman;Times;Serif" w:hAnsi="Times New Roman;Times;Serif"/>
                <w:b/>
                <w:i/>
                <w:smallCaps/>
                <w:sz w:val="20"/>
              </w:rPr>
              <w:t>RACHEL VAKNIN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Rachel Vaknin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2024</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814" w:name="ex97-1.htm"/>
      <w:bookmarkStart w:id="815" w:name="ksex971"/>
      <w:bookmarkEnd w:id="814"/>
      <w:bookmarkEnd w:id="81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97.1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CLAWBACK POLICY</w:t>
      </w:r>
    </w:p>
    <w:p>
      <w:pPr>
        <w:pStyle w:val="TextBody"/>
        <w:bidi w:val="0"/>
        <w:spacing w:before="0" w:after="0"/>
        <w:ind w:left="0" w:right="0" w:hanging="0"/>
        <w:jc w:val="left"/>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200"/>
        <w:gridCol w:w="1085"/>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1085"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Introduction</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Microbot Medical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adopted this policy (this “</w:t>
      </w:r>
      <w:r>
        <w:rPr>
          <w:rFonts w:ascii="Times New Roman;Times;Serif" w:hAnsi="Times New Roman;Times;Serif"/>
          <w:b/>
          <w:i w:val="false"/>
          <w:caps w:val="false"/>
          <w:smallCaps w:val="false"/>
          <w:sz w:val="20"/>
        </w:rPr>
        <w:t>Policy</w:t>
      </w:r>
      <w:r>
        <w:rPr>
          <w:rFonts w:ascii="Times New Roman;Times;Serif" w:hAnsi="Times New Roman;Times;Serif"/>
          <w:b w:val="false"/>
          <w:i w:val="false"/>
          <w:caps w:val="false"/>
          <w:smallCaps w:val="false"/>
          <w:sz w:val="20"/>
        </w:rPr>
        <w:t>”) to provide for the recovery or “clawback” of erroneously awarded incentive-based compensation from certain executive officers in accordance with Section 10D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Rule 10D-1 promulgated thereunder and the applicable listing rules of the Nasdaq Stock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including Nasdaq Listing Rule 5608.</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is required to prepare an Accounting Restatement (as defined below) due to the Company’s material noncompliance with any financial reporting requirement under the securities laws, the Company will reasonably promptly recover Incentive-Based Compensation (as defined below) from any of the Company’s current or former executive officers to the extent such Incentive-Based Compensation was: (i) “Received” (as defined below) during the three-year period preceding the date the Company is required to prepare the Accounting Restatement, and (ii) in excess of what would have been paid to the executive officer under the Accounting Restatement.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effective as of the date it is adopted by the Board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and shall apply to Incentive Compensation that is Received (as provided in Paragraph F below) by Covered Executives (as defined below) on or after October 2, 2023.</w:t>
      </w:r>
    </w:p>
    <w:p>
      <w:pPr>
        <w:pStyle w:val="TextBody"/>
        <w:bidi w:val="0"/>
        <w:spacing w:before="0" w:after="0"/>
        <w:ind w:left="360" w:right="0" w:hanging="0"/>
        <w:jc w:val="both"/>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200"/>
        <w:gridCol w:w="1310"/>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1310"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Administration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administered by the Compensation Committee of the Board (the “</w:t>
      </w:r>
      <w:r>
        <w:rPr>
          <w:rFonts w:ascii="Times New Roman;Times;Serif" w:hAnsi="Times New Roman;Times;Serif"/>
          <w:b/>
          <w:i w:val="false"/>
          <w:caps w:val="false"/>
          <w:smallCaps w:val="false"/>
          <w:sz w:val="20"/>
        </w:rPr>
        <w:t>Committee</w:t>
      </w:r>
      <w:r>
        <w:rPr>
          <w:rFonts w:ascii="Times New Roman;Times;Serif" w:hAnsi="Times New Roman;Times;Serif"/>
          <w:b w:val="false"/>
          <w:i w:val="false"/>
          <w:caps w:val="false"/>
          <w:smallCaps w:val="false"/>
          <w:sz w:val="20"/>
        </w:rPr>
        <w:t>”). The Committee is authorized to interpret and construe this Policy and to make all determinations necessary, appropriate, or advisable for the administration of this Policy. Any determinations made by the Compensation Committee shall be final and binding on all affected individuals.</w:t>
      </w:r>
    </w:p>
    <w:p>
      <w:pPr>
        <w:pStyle w:val="TextBody"/>
        <w:bidi w:val="0"/>
        <w:spacing w:before="0" w:after="0"/>
        <w:ind w:left="360" w:right="0" w:hanging="0"/>
        <w:jc w:val="both"/>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200"/>
        <w:gridCol w:w="1700"/>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1700"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Covered Executives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applies to the Company’s current and former executive officers, as determined by the Board in accordance with Section 10D of the Exchange Act and the applicable Nasdaq listing standards, and such other senior executives/employees who may from time to time be deemed subject to the Policy by the Committee (“</w:t>
      </w:r>
      <w:r>
        <w:rPr>
          <w:rFonts w:ascii="Times New Roman;Times;Serif" w:hAnsi="Times New Roman;Times;Serif"/>
          <w:b/>
          <w:i w:val="false"/>
          <w:caps w:val="false"/>
          <w:smallCaps w:val="false"/>
          <w:sz w:val="20"/>
        </w:rPr>
        <w:t>Covered Executives</w:t>
      </w:r>
      <w:r>
        <w:rPr>
          <w:rFonts w:ascii="Times New Roman;Times;Serif" w:hAnsi="Times New Roman;Times;Serif"/>
          <w:b w:val="false"/>
          <w:i w:val="false"/>
          <w:caps w:val="false"/>
          <w:smallCaps w:val="false"/>
          <w:sz w:val="20"/>
        </w:rPr>
        <w:t xml:space="preserve">”). For the avoidance of doubt, the term “Covered Executives” shall include (i) any individual currently or previously designated as an “officer” of the Company as defined in Rule 16a-1(f) under the Exchange Act, and (ii) shall include each “executive officer” who is or was identified pursuant to Item 401(b) of Regulation S-K. </w:t>
      </w:r>
    </w:p>
    <w:p>
      <w:pPr>
        <w:pStyle w:val="TextBody"/>
        <w:bidi w:val="0"/>
        <w:spacing w:before="0" w:after="0"/>
        <w:ind w:left="360" w:right="0" w:hanging="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200"/>
        <w:gridCol w:w="2105"/>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2105"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 xml:space="preserve">Accounting Restatement </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Policy, an “</w:t>
      </w:r>
      <w:r>
        <w:rPr>
          <w:rFonts w:ascii="Times New Roman;Times;Serif" w:hAnsi="Times New Roman;Times;Serif"/>
          <w:b/>
          <w:i w:val="false"/>
          <w:caps w:val="false"/>
          <w:smallCaps w:val="false"/>
          <w:sz w:val="20"/>
        </w:rPr>
        <w:t>Accounting Restatement</w:t>
      </w:r>
      <w:r>
        <w:rPr>
          <w:rFonts w:ascii="Times New Roman;Times;Serif" w:hAnsi="Times New Roman;Times;Serif"/>
          <w:b w:val="false"/>
          <w:i w:val="false"/>
          <w:caps w:val="false"/>
          <w:smallCaps w:val="false"/>
          <w:sz w:val="20"/>
        </w:rPr>
        <w:t>” shall mean an accounting restatement of the Company’s financial statements due to the material noncompliance of the Company with any financial reporting requirement under the securities laws, including any required accounting restatement to correct an error (i) in previously issued financial statements that is material to the previously issued financial statements, or (ii) that is not material to previously issued financial statements, but would result in a material misstatement if the error were corrected in the current period or left uncorrected in the current period, within the meaning of Rule 10D-1 and Rule 5608.</w:t>
      </w:r>
    </w:p>
    <w:p>
      <w:pPr>
        <w:pStyle w:val="TextBody"/>
        <w:bidi w:val="0"/>
        <w:spacing w:before="0" w:after="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200"/>
        <w:gridCol w:w="4655"/>
      </w:tblGrid>
      <w:tr>
        <w:trPr/>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4655"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Incentive Compensation; Financial Reporting Measure</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Policy, “</w:t>
      </w:r>
      <w:r>
        <w:rPr>
          <w:rFonts w:ascii="Times New Roman;Times;Serif" w:hAnsi="Times New Roman;Times;Serif"/>
          <w:b/>
          <w:i w:val="false"/>
          <w:caps w:val="false"/>
          <w:smallCaps w:val="false"/>
          <w:sz w:val="20"/>
        </w:rPr>
        <w:t>Incentive Compensation</w:t>
      </w:r>
      <w:r>
        <w:rPr>
          <w:rFonts w:ascii="Times New Roman;Times;Serif" w:hAnsi="Times New Roman;Times;Serif"/>
          <w:b w:val="false"/>
          <w:i w:val="false"/>
          <w:caps w:val="false"/>
          <w:smallCaps w:val="false"/>
          <w:sz w:val="20"/>
        </w:rPr>
        <w:t>” means any compensation granted, earned, or vested based wholly or in part upon the attainment of a Financial Reporting Measure (including cash and stock options awarded as compensation). “</w:t>
      </w:r>
      <w:r>
        <w:rPr>
          <w:rFonts w:ascii="Times New Roman;Times;Serif" w:hAnsi="Times New Roman;Times;Serif"/>
          <w:b/>
          <w:i w:val="false"/>
          <w:caps w:val="false"/>
          <w:smallCaps w:val="false"/>
          <w:sz w:val="20"/>
        </w:rPr>
        <w:t>Financial Reporting Measures</w:t>
      </w:r>
      <w:r>
        <w:rPr>
          <w:rFonts w:ascii="Times New Roman;Times;Serif" w:hAnsi="Times New Roman;Times;Serif"/>
          <w:b w:val="false"/>
          <w:i w:val="false"/>
          <w:caps w:val="false"/>
          <w:smallCaps w:val="false"/>
          <w:sz w:val="20"/>
        </w:rPr>
        <w:t>” are measures that are determined and presented in accordance with the accounting principles used in the Company’s financial statements, and any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 to constitute a Financial Reporting Measure.</w:t>
      </w:r>
    </w:p>
    <w:p>
      <w:pPr>
        <w:pStyle w:val="TextBody"/>
        <w:bidi w:val="0"/>
        <w:spacing w:before="0" w:after="0"/>
        <w:ind w:left="360" w:right="0" w:hanging="0"/>
        <w:jc w:val="both"/>
        <w:rPr>
          <w:caps w:val="false"/>
          <w:smallCaps w:val="false"/>
        </w:rPr>
      </w:pPr>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185"/>
        <w:gridCol w:w="105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w:t>
            </w:r>
          </w:p>
        </w:tc>
        <w:tc>
          <w:tcPr>
            <w:tcW w:w="1055"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 xml:space="preserve">Application </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Company is required to prepare and file an Accounting Restatement, the Committee will require the recovery of any excess Incentive Compensation “Received”</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by any Covered Executive during the three (3) completed fiscal years immediately preceding the date on which the Company is required to prepare an Accounting Restatement.</w:t>
      </w:r>
    </w:p>
    <w:p>
      <w:pPr>
        <w:pStyle w:val="TextBody"/>
        <w:bidi w:val="0"/>
        <w:spacing w:before="0" w:after="0"/>
        <w:ind w:left="360" w:right="0" w:hanging="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230"/>
        <w:gridCol w:w="2690"/>
      </w:tblGrid>
      <w:tr>
        <w:trPr/>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w:t>
            </w:r>
          </w:p>
        </w:tc>
        <w:tc>
          <w:tcPr>
            <w:tcW w:w="269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Excess Incentive Compensation</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Committee. These determinations are made on a pre-tax basis. If the Committee cannot determine the amount of excess Incentive Compensation received by the Covered Executive directly from the information in the Accounting Restatement, then it will make its determination based on a reasonable estimate of the effect of the Accounting Restatement.</w:t>
      </w:r>
    </w:p>
    <w:p>
      <w:pPr>
        <w:pStyle w:val="TextBody"/>
        <w:bidi w:val="0"/>
        <w:spacing w:before="0" w:after="0"/>
        <w:ind w:left="360" w:right="0" w:hanging="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30"/>
        <w:gridCol w:w="1790"/>
      </w:tblGrid>
      <w:tr>
        <w:trPr/>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w:t>
            </w:r>
          </w:p>
        </w:tc>
        <w:tc>
          <w:tcPr>
            <w:tcW w:w="179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Recovery; Clawback</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Accounting Restatement, the Committee shall determine the amount of any excess Incentive Compensation Received by each Covered Executive and shall promptly notify each Covered Executive with a written notice containing the amount of any excess Incentive Compensation and a demand for repayment or return of such compensation, as applicable. The Committee shall recover any excess Incentive Compensation in accordance with this Policy unless such recovery would be impracticable, as determined by the Committee in accordance with Rule 10D-1 of the Exchange Act and any applicable listing rules or standards adopted by Nasdaq. The Committee will determine, in its sole discretion, the method for recovering Incentive Compensation hereunder which shall include, without limitation any remedial and recovery method permitted by applicable law and shall be applied to the fullest extent of applicable law. Any right of recovery hereunder is in addition to, and not in lieu of, any other remedies or rights that may be available to the Company under applicable law, regulation or rule, and pursuant to the terms of any similar policy or recovery provision in any applicable employment agreement, severance agreement, equity award agreement, bonus plan, or similar agreement or plan, and any other legal remedies available to the Company. The provisions of this Policy are in addition to, and not in lieu of, any rights of recovery the Company may have under Section 304 of Sarbanes-Oxley Act of 2002.</w:t>
      </w:r>
    </w:p>
    <w:p>
      <w:pPr>
        <w:pStyle w:val="TextBody"/>
        <w:bidi w:val="0"/>
        <w:spacing w:before="0" w:after="0"/>
        <w:ind w:left="360" w:right="0" w:hanging="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155"/>
        <w:gridCol w:w="3905"/>
      </w:tblGrid>
      <w:tr>
        <w:trPr/>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w:t>
            </w:r>
          </w:p>
        </w:tc>
        <w:tc>
          <w:tcPr>
            <w:tcW w:w="390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Prohibition on Indemnification and Insurance</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its subsidiaries, and its affiliates shall not indemnify any Covered Executives against the loss of any erroneously awarded Incentive Compensation, nor shall they pay for, or reimburse any Covered Executive for any insurance policy entered into by a Covered Executive that provides for coverage (full or partial) in connection with any recovery obligation pursuant to this Policy. Further, the Company shall not enter into any agreement that exempts any Incentive Compensation that is granted, paid or awarded to a Covered Executive from the application of this Policy or that waives the Company’s right to recovery of any excess Incentive Compensation, and this Policy shall supersede any such agreement (whether entered into before, on or after the Effective Date of this Policy).</w:t>
      </w:r>
    </w:p>
    <w:p>
      <w:pPr>
        <w:pStyle w:val="TextBody"/>
        <w:bidi w:val="0"/>
        <w:spacing w:before="0" w:after="0"/>
        <w:ind w:left="36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Incentive Compensation is deemed “Received” in the Company’s fiscal period during which the Financial Reporting Measure specified in the Incentive Compensation award is attained, even if the payment or grant of the Incentive Compensation occurs after the end of that period.</w:t>
      </w:r>
    </w:p>
    <w:p>
      <w:pPr>
        <w:pStyle w:val="TextBody"/>
        <w:bidi w:val="0"/>
        <w:spacing w:before="0" w:after="0"/>
        <w:ind w:left="36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185"/>
        <w:gridCol w:w="123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w:t>
            </w:r>
          </w:p>
        </w:tc>
        <w:tc>
          <w:tcPr>
            <w:tcW w:w="123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Interpretation</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Securities and Exchange Commission and any applicable listing rules or standards adopted by Nasdaq.</w:t>
      </w:r>
    </w:p>
    <w:p>
      <w:pPr>
        <w:pStyle w:val="TextBody"/>
        <w:bidi w:val="0"/>
        <w:spacing w:before="0" w:after="0"/>
        <w:ind w:left="360" w:right="0" w:hanging="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230"/>
        <w:gridCol w:w="2240"/>
      </w:tblGrid>
      <w:tr>
        <w:trPr/>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w:t>
            </w:r>
          </w:p>
        </w:tc>
        <w:tc>
          <w:tcPr>
            <w:tcW w:w="224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Amendment; Termination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or any applicable committee of the Board may amend this Policy from time to time in its discretion and shall amend this Policy as it deems necessary to reflect final regulations adopted by the Securities and Exchange Commission under Section 10D of the Exchange Act and to comply with any applicable listing rules or standards adopted by Nasdaq. The Board or any applicable committee of the Board may terminate this Policy at any time. Notwithstanding anything in this Section K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Nasdaq rule.</w:t>
      </w:r>
    </w:p>
    <w:p>
      <w:pPr>
        <w:pStyle w:val="TextBody"/>
        <w:bidi w:val="0"/>
        <w:spacing w:before="0" w:after="0"/>
        <w:ind w:left="360" w:right="0" w:hanging="0"/>
        <w:jc w:val="both"/>
        <w:rPr>
          <w:caps w:val="false"/>
          <w:smallCaps w:val="false"/>
        </w:rPr>
      </w:pPr>
      <w:r>
        <w:rPr>
          <w:caps w:val="false"/>
          <w:smallCaps w:val="false"/>
        </w:rPr>
        <w:t> </w:t>
      </w:r>
    </w:p>
    <w:tbl>
      <w:tblPr>
        <w:tblW w:w="1150" w:type="dxa"/>
        <w:jc w:val="left"/>
        <w:tblInd w:w="0" w:type="dxa"/>
        <w:tblLayout w:type="fixed"/>
        <w:tblCellMar>
          <w:top w:w="0" w:type="dxa"/>
          <w:left w:w="0" w:type="dxa"/>
          <w:bottom w:w="0" w:type="dxa"/>
          <w:right w:w="0" w:type="dxa"/>
        </w:tblCellMar>
      </w:tblPr>
      <w:tblGrid>
        <w:gridCol w:w="215"/>
        <w:gridCol w:w="93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w:t>
            </w:r>
          </w:p>
        </w:tc>
        <w:tc>
          <w:tcPr>
            <w:tcW w:w="93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Successors</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binding and enforceable against all Covered Executives and their beneficiaries, heirs, executors, administrators or other legal representatives.</w:t>
      </w:r>
    </w:p>
    <w:p>
      <w:pPr>
        <w:pStyle w:val="TextBody"/>
        <w:bidi w:val="0"/>
        <w:spacing w:before="0" w:after="0"/>
        <w:ind w:left="360" w:right="0" w:hanging="0"/>
        <w:jc w:val="both"/>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260"/>
        <w:gridCol w:w="200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w:t>
            </w:r>
          </w:p>
        </w:tc>
        <w:tc>
          <w:tcPr>
            <w:tcW w:w="200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Mandatory Disclosures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file this Policy as an exhibit to its Annual Report on Form 10-K and, if applicable, disclose information relating to the occurrence of an Accounting Restatement in accordance with applicable law, including, but not limited to, the Exchange Act and any applicable listing rules or standards adopted by Nasdaq. In the event the Company is required to clawback any erroneously awarded incentive-based compensation from any executive officer in accordance with the Exchange Act and any applicable listing rules or standards adopted by Nasdaq, and the occurrence of such is disclosed by the Company in a public filing required by the Exchange Act, the Company will disclose (i) the aggregate amount recovered, or (ii) if no amount was recovered, the absence of a recoverable amount.</w:t>
      </w:r>
    </w:p>
    <w:p>
      <w:pPr>
        <w:pStyle w:val="TextBody"/>
        <w:bidi w:val="0"/>
        <w:spacing w:before="0" w:after="0"/>
        <w:ind w:left="36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CLAWBACK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ACKNOWLEDGMENT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acknowledges receipt of the attached policy of Microbot Medical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for the recovery of erroneously awarded compensation and hereby covenants and agrees that they will strictly comply with such policy both during and after employment with the Company, including, without limitation, by promptly repaying or returning any erroneously awarded compensation to the Company as determined in accordance with this Policy.</w:t>
      </w:r>
    </w:p>
    <w:p>
      <w:pPr>
        <w:pStyle w:val="TextBody"/>
        <w:bidi w:val="0"/>
        <w:spacing w:before="0" w:after="0"/>
        <w:ind w:left="0" w:right="0" w:hanging="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75"/>
        <w:gridCol w:w="545"/>
        <w:gridCol w:w="7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5" w:type="dxa"/>
            <w:tcBorders>
              <w:bottom w:val="single" w:sz="12"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bottom w:val="single" w:sz="12"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bottom w:val="single" w:sz="12"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75" w:type="dxa"/>
            <w:tcBorders>
              <w:bottom w:val="single" w:sz="12"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acknowledge your receipt of the attached Policy by dating and signing this acknowledgement and returning it to the Company’s Chief Financial Officer.</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83975/000119312516682077/d161430dex21.htm" TargetMode="External"/><Relationship Id="rId3" Type="http://schemas.openxmlformats.org/officeDocument/2006/relationships/hyperlink" Target="https://www.sec.gov/Archives/edgar/data/883975/000095013407005808/f27726exv3w1.htm" TargetMode="External"/><Relationship Id="rId4" Type="http://schemas.openxmlformats.org/officeDocument/2006/relationships/hyperlink" Target="https://www.sec.gov/Archives/edgar/data/883975/000119312516779597/d296933dex31.htm" TargetMode="External"/><Relationship Id="rId5" Type="http://schemas.openxmlformats.org/officeDocument/2006/relationships/hyperlink" Target="https://www.sec.gov/Archives/edgar/data/883975/000149315218012872/ex3-1.htm" TargetMode="External"/><Relationship Id="rId6" Type="http://schemas.openxmlformats.org/officeDocument/2006/relationships/hyperlink" Target="https://www.sec.gov/Archives/edgar/data/883975/000129993316002374/exhibit1.htm" TargetMode="External"/><Relationship Id="rId7" Type="http://schemas.openxmlformats.org/officeDocument/2006/relationships/hyperlink" Target="https://www.sec.gov/Archives/edgar/data/883975/000149315218017395/ex3-1.htm" TargetMode="External"/><Relationship Id="rId8" Type="http://schemas.openxmlformats.org/officeDocument/2006/relationships/hyperlink" Target="https://www.sec.gov/Archives/edgar/data/883975/000149315219013998/ex3-1.htm" TargetMode="External"/><Relationship Id="rId9" Type="http://schemas.openxmlformats.org/officeDocument/2006/relationships/hyperlink" Target="https://www.sec.gov/Archives/edgar/data/883975/000149315221010347/ex3-1.htm" TargetMode="External"/><Relationship Id="rId10" Type="http://schemas.openxmlformats.org/officeDocument/2006/relationships/hyperlink" Target="https://www.sec.gov/Archives/edgar/data/883975/000149315220006338/ex4-10.htm" TargetMode="External"/><Relationship Id="rId11" Type="http://schemas.openxmlformats.org/officeDocument/2006/relationships/hyperlink" Target="https://www.sec.gov/Archives/edgar/data/883975/000149315222029541/ex4-2.htm" TargetMode="External"/><Relationship Id="rId12" Type="http://schemas.openxmlformats.org/officeDocument/2006/relationships/hyperlink" Target="https://www.sec.gov/Archives/edgar/data/883975/000149315222029541/ex4-4.htm" TargetMode="External"/><Relationship Id="rId13" Type="http://schemas.openxmlformats.org/officeDocument/2006/relationships/hyperlink" Target="https://www.sec.gov/Archives/edgar/data/883975/000149315223018718/ex4-1.htm" TargetMode="External"/><Relationship Id="rId14" Type="http://schemas.openxmlformats.org/officeDocument/2006/relationships/hyperlink" Target="https://www.sec.gov/Archives/edgar/data/883975/000149315223018932/ex4-2.htm" TargetMode="External"/><Relationship Id="rId15" Type="http://schemas.openxmlformats.org/officeDocument/2006/relationships/hyperlink" Target="https://www.sec.gov/Archives/edgar/data/883975/000149315223018932/ex10-2.htm" TargetMode="External"/><Relationship Id="rId16" Type="http://schemas.openxmlformats.org/officeDocument/2006/relationships/hyperlink" Target="https://www.sec.gov/Archives/edgar/data/883975/000149315223020309/ex4-1.htm" TargetMode="External"/><Relationship Id="rId17" Type="http://schemas.openxmlformats.org/officeDocument/2006/relationships/hyperlink" Target="https://www.sec.gov/Archives/edgar/data/883975/000149315223020309/ex4-2.htm" TargetMode="External"/><Relationship Id="rId18" Type="http://schemas.openxmlformats.org/officeDocument/2006/relationships/hyperlink" Target="https://www.sec.gov/Archives/edgar/data/883975/000149315223022814/ex4-1.htm" TargetMode="External"/><Relationship Id="rId19" Type="http://schemas.openxmlformats.org/officeDocument/2006/relationships/hyperlink" Target="https://www.sec.gov/Archives/edgar/data/883975/000149315223022814/ex4-2.htm" TargetMode="External"/><Relationship Id="rId20" Type="http://schemas.openxmlformats.org/officeDocument/2006/relationships/hyperlink" Target="https://www.sec.gov/Archives/edgar/data/883975/000149315224000109/ex4-1.htm" TargetMode="External"/><Relationship Id="rId21" Type="http://schemas.openxmlformats.org/officeDocument/2006/relationships/hyperlink" Target="https://www.sec.gov/Archives/edgar/data/883975/000149315224000109/ex4-2.htm" TargetMode="External"/><Relationship Id="rId22" Type="http://schemas.openxmlformats.org/officeDocument/2006/relationships/hyperlink" Target="https://www.sec.gov/Archives/edgar/data/883975/000119312516779597/d296933dex104.htm" TargetMode="External"/><Relationship Id="rId23" Type="http://schemas.openxmlformats.org/officeDocument/2006/relationships/hyperlink" Target="https://www.sec.gov/Archives/edgar/data/883975/000119312516779597/d296933dex105.htm" TargetMode="External"/><Relationship Id="rId24" Type="http://schemas.openxmlformats.org/officeDocument/2006/relationships/hyperlink" Target="https://www.sec.gov/Archives/edgar/data/883975/000149315217002678/ex10-14.htm" TargetMode="External"/><Relationship Id="rId25" Type="http://schemas.openxmlformats.org/officeDocument/2006/relationships/hyperlink" Target="https://www.sec.gov/Archives/edgar/data/883975/000149315217013222/ex10-1.htm" TargetMode="External"/><Relationship Id="rId26" Type="http://schemas.openxmlformats.org/officeDocument/2006/relationships/hyperlink" Target="https://www.sec.gov/Archives/edgar/data/883975/000149315218000286/ex10-1.htm" TargetMode="External"/><Relationship Id="rId27" Type="http://schemas.openxmlformats.org/officeDocument/2006/relationships/hyperlink" Target="https://www.sec.gov/Archives/edgar/data/883975/000149315220006338/ex10-9.htm" TargetMode="External"/><Relationship Id="rId28" Type="http://schemas.openxmlformats.org/officeDocument/2006/relationships/hyperlink" Target="https://www.sec.gov/Archives/edgar/data/883975/000149315217008987/def14a.htm" TargetMode="External"/><Relationship Id="rId29" Type="http://schemas.openxmlformats.org/officeDocument/2006/relationships/hyperlink" Target="https://www.sec.gov/Archives/edgar/data/883975/000149315220014354/def14a.htm" TargetMode="External"/><Relationship Id="rId30" Type="http://schemas.openxmlformats.org/officeDocument/2006/relationships/hyperlink" Target="https://www.sec.gov/Archives/edgar/data/883975/000149315220022543/ex4-2.htm" TargetMode="External"/><Relationship Id="rId31" Type="http://schemas.openxmlformats.org/officeDocument/2006/relationships/hyperlink" Target="https://www.sec.gov/Archives/edgar/data/883975/000149315220022543/ex4-3.htm" TargetMode="External"/><Relationship Id="rId32" Type="http://schemas.openxmlformats.org/officeDocument/2006/relationships/hyperlink" Target="https://www.sec.gov/Archives/edgar/data/883975/000149315220022543/ex4-4.htm" TargetMode="External"/><Relationship Id="rId33" Type="http://schemas.openxmlformats.org/officeDocument/2006/relationships/hyperlink" Target="https://www.sec.gov/Archives/edgar/data/883975/000149315220022543/ex4-5.htm" TargetMode="External"/><Relationship Id="rId34" Type="http://schemas.openxmlformats.org/officeDocument/2006/relationships/hyperlink" Target="https://www.sec.gov/Archives/edgar/data/883975/000149315220022543/ex4-6.htm" TargetMode="External"/><Relationship Id="rId35" Type="http://schemas.openxmlformats.org/officeDocument/2006/relationships/hyperlink" Target="https://www.sec.gov/Archives/edgar/data/883975/000149315221008148/ex10-1.htm" TargetMode="External"/><Relationship Id="rId36" Type="http://schemas.openxmlformats.org/officeDocument/2006/relationships/hyperlink" Target="https://www.sec.gov/Archives/edgar/data/883975/000149315221009469/ex10-1.htm" TargetMode="External"/><Relationship Id="rId37" Type="http://schemas.openxmlformats.org/officeDocument/2006/relationships/hyperlink" Target="https://www.sec.gov/Archives/edgar/data/883975/000149315221014052/ex10-1.htm" TargetMode="External"/><Relationship Id="rId38" Type="http://schemas.openxmlformats.org/officeDocument/2006/relationships/hyperlink" Target="https://www.sec.gov/Archives/edgar/data/883975/000149315221032474/ex10-1.htm" TargetMode="External"/><Relationship Id="rId39" Type="http://schemas.openxmlformats.org/officeDocument/2006/relationships/hyperlink" Target="https://www.sec.gov/Archives/edgar/data/883975/000149315222027872/ex10-1.htm" TargetMode="External"/><Relationship Id="rId40" Type="http://schemas.openxmlformats.org/officeDocument/2006/relationships/hyperlink" Target="https://www.sec.gov/Archives/edgar/data/883975/000149315222009272/ex10-1.htm" TargetMode="External"/><Relationship Id="rId41" Type="http://schemas.openxmlformats.org/officeDocument/2006/relationships/hyperlink" Target="https://www.sec.gov/Archives/edgar/data/883975/000149315222002881/ex10-1.htm" TargetMode="External"/><Relationship Id="rId42" Type="http://schemas.openxmlformats.org/officeDocument/2006/relationships/hyperlink" Target="https://www.sec.gov/Archives/edgar/data/883975/000149315223010223/ex10-21.htm" TargetMode="External"/><Relationship Id="rId43" Type="http://schemas.openxmlformats.org/officeDocument/2006/relationships/hyperlink" Target="https://www.sec.gov/Archives/edgar/data/883975/000149315222029541/ex10-1.htm" TargetMode="External"/><Relationship Id="rId44" Type="http://schemas.openxmlformats.org/officeDocument/2006/relationships/hyperlink" Target="https://www.sec.gov/Archives/edgar/data/883975/000149315223018456/ex10-1.htm" TargetMode="External"/><Relationship Id="rId45" Type="http://schemas.openxmlformats.org/officeDocument/2006/relationships/hyperlink" Target="https://www.sec.gov/Archives/edgar/data/883975/000149315223018456/ex10-2.htm" TargetMode="External"/><Relationship Id="rId46" Type="http://schemas.openxmlformats.org/officeDocument/2006/relationships/hyperlink" Target="https://www.sec.gov/Archives/edgar/data/883975/000149315223018456/ex10-3.htm" TargetMode="External"/><Relationship Id="rId47" Type="http://schemas.openxmlformats.org/officeDocument/2006/relationships/hyperlink" Target="https://www.sec.gov/Archives/edgar/data/883975/000149315223018456/ex10-4.htm" TargetMode="External"/><Relationship Id="rId48" Type="http://schemas.openxmlformats.org/officeDocument/2006/relationships/hyperlink" Target="https://www.sec.gov/Archives/edgar/data/883975/000149315223018718/ex10-1.htm" TargetMode="External"/><Relationship Id="rId49" Type="http://schemas.openxmlformats.org/officeDocument/2006/relationships/hyperlink" Target="https://www.sec.gov/Archives/edgar/data/883975/000149315223018932/ex10-1.htm" TargetMode="External"/><Relationship Id="rId50" Type="http://schemas.openxmlformats.org/officeDocument/2006/relationships/hyperlink" Target="https://www.sec.gov/Archives/edgar/data/883975/000149315223020309/ex10-1.htm" TargetMode="External"/><Relationship Id="rId51" Type="http://schemas.openxmlformats.org/officeDocument/2006/relationships/hyperlink" Target="https://www.sec.gov/Archives/edgar/data/883975/000149315223022814/ex10-1.htm" TargetMode="External"/><Relationship Id="rId52" Type="http://schemas.openxmlformats.org/officeDocument/2006/relationships/hyperlink" Target="https://www.sec.gov/Archives/edgar/data/883975/000149315223042204/ex10-1.htm" TargetMode="External"/><Relationship Id="rId53" Type="http://schemas.openxmlformats.org/officeDocument/2006/relationships/hyperlink" Target="https://www.sec.gov/Archives/edgar/data/883975/000149315224000109/ex10-1.htm" TargetMode="External"/><Relationship Id="rId54" Type="http://schemas.openxmlformats.org/officeDocument/2006/relationships/hyperlink" Target="https://www.sec.gov/Archives/edgar/data/883975/000149315224004231/ex10-1.htm" TargetMode="External"/><Relationship Id="rId55" Type="http://schemas.openxmlformats.org/officeDocument/2006/relationships/hyperlink" Target="https://www.sec.gov/Archives/edgar/data/883975/000149315224004231/ex10-2.htm" TargetMode="External"/><Relationship Id="rId56" Type="http://schemas.openxmlformats.org/officeDocument/2006/relationships/hyperlink" Target="https://www.sec.gov/Archives/edgar/data/883975/000149315217002678/ex21-1.htm" TargetMode="External"/><Relationship Id="rId57" Type="http://schemas.openxmlformats.org/officeDocument/2006/relationships/image" Target="media/image1.jpeg"/><Relationship Id="rId58" Type="http://schemas.openxmlformats.org/officeDocument/2006/relationships/image" Target="media/image1.jpeg"/><Relationship Id="rId59" Type="http://schemas.openxmlformats.org/officeDocument/2006/relationships/image" Target="media/image2.jpeg"/><Relationship Id="rId60" Type="http://schemas.openxmlformats.org/officeDocument/2006/relationships/fontTable" Target="fontTable.xml"/><Relationship Id="rId6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56415</Words>
  <Characters>314421</Characters>
  <CharactersWithSpaces>373168</CharactersWithSpaces>
  <Paragraphs>8844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