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333-284688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156845</wp:posOffset>
            </wp:positionV>
            <wp:extent cx="2571750" cy="128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15,966,530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15,966,530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on page 7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15,966,530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to certain of the selling stockholders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to certain of the selling stockholders upon the exercise of outstanding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to certain of the selling stockholders upon the exercise of outstanding series H preferred investment options expiring in January 2027, at an exercise price per share of $2.10;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to certain of the selling stockholders upon the exercise of outstanding preferred investment options expiring in January 2027, at an exercise price per share of $2.8375.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15,966,530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50,711,006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2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15,966,530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15,966,530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$30.9 million in gross proceeds if all of the 15,966,530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15,966,530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$30.9 million in gross proceeds if all of the 15,966,530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20" w:type="dxa"/>
            <w:vAlign w:val="bottom"/>
          </w:tcPr>
          <w:p>
            <w:pPr>
              <w:spacing w:after="0"/>
              <w:rPr>
                <w:sz w:val="20"/>
                <w:szCs w:val="20"/>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Before Any</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8,685,074</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4,863,774</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3,821,300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(2)(3)</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9,507,077</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4,863,774</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4,646,303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(4)</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7,506,658</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3,793,742</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3,712,916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East Master Fund LP</w:t>
            </w:r>
            <w:r>
              <w:rPr>
                <w:rFonts w:ascii="Times New Roman" w:cs="Times New Roman" w:eastAsia="Times New Roman" w:hAnsi="Times New Roman"/>
                <w:sz w:val="29"/>
                <w:szCs w:val="29"/>
                <w:color w:val="auto"/>
                <w:vertAlign w:val="superscript"/>
              </w:rPr>
              <w:t>(5)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1,896,322</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1,070,032</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826,290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Stuywater Capital LLC</w:t>
            </w:r>
            <w:r>
              <w:rPr>
                <w:rFonts w:ascii="Times New Roman" w:cs="Times New Roman" w:eastAsia="Times New Roman" w:hAnsi="Times New Roman"/>
                <w:sz w:val="29"/>
                <w:szCs w:val="29"/>
                <w:color w:val="auto"/>
                <w:vertAlign w:val="superscript"/>
              </w:rPr>
              <w:t>(3)(6)</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3,802,684</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985,780</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2,816,904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346,006</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122,670</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223,336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704,370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249,721</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454,649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37,072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23,929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10,985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(8)</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15,966,530</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East Master Fund LP (“Anson East”), hold voting and dispositive power over the common stock held by Anson East.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East is Maples Corporate Services Limited, PO Box 309, Ugland House, Grand Cayman, KY1-1104, Cayman Islands.</w:t>
      </w: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938,968 shares of our common stock and options to purchase an aggregate of 2,863,716 shares of our common stock.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options are subject to a beneficial ownership limitation of 4.99%, which restricts the selling stockholder from exercising that portion of the options that would result in the selling stockholder and its affiliates owning, after exercise, a number of shares of common stock in excess of the beneficial ownership limitation. The address of Stuywater is 430 Park Avenue, 3rd Floor, New York, New York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8,000,002 outstanding series G preferred investment options, our 7,577,100 outstanding series H preferred investment options expiring in January 2027, and our 389,428 outstanding placement agent preferred investment options.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is being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2">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2" Type="http://schemas.openxmlformats.org/officeDocument/2006/relationships/image" Target="media/image24.png"/><Relationship Id="rId31" Type="http://schemas.openxmlformats.org/officeDocument/2006/relationships/hyperlink" Target="https://www.sec.gov/Archives/edgar/data/883975/000164117225000614/form10-k.htm" TargetMode="External"/><Relationship Id="rId32" Type="http://schemas.openxmlformats.org/officeDocument/2006/relationships/hyperlink" Target="https://www.sec.gov/Archives/edgar/data/883975/000149315225000366/form8-k.htm" TargetMode="External"/><Relationship Id="rId33" Type="http://schemas.openxmlformats.org/officeDocument/2006/relationships/hyperlink" Target="https://www.sec.gov/Archives/edgar/data/883975/000149315225001133/form8-k.htm" TargetMode="External"/><Relationship Id="rId34" Type="http://schemas.openxmlformats.org/officeDocument/2006/relationships/hyperlink" Target="https://www.sec.gov/Archives/edgar/data/883975/000149315225001559/form8-k.htm" TargetMode="External"/><Relationship Id="rId35" Type="http://schemas.openxmlformats.org/officeDocument/2006/relationships/hyperlink" Target="https://www.sec.gov/Archives/edgar/data/883975/000149315225003582/form8-k.htm" TargetMode="External"/><Relationship Id="rId36" Type="http://schemas.openxmlformats.org/officeDocument/2006/relationships/hyperlink" Target="https://www.sec.gov/Archives/edgar/data/883975/000149315225003818/form8-k.htm" TargetMode="External"/><Relationship Id="rId37" Type="http://schemas.openxmlformats.org/officeDocument/2006/relationships/hyperlink" Target="https://www.sec.gov/Archives/edgar/data/883975/000149315225005410/form8-k.htm" TargetMode="External"/><Relationship Id="rId38" Type="http://schemas.openxmlformats.org/officeDocument/2006/relationships/hyperlink" Target="https://www.sec.gov/Archives/edgar/data/883975/000149315225005489/form8-k.htm" TargetMode="External"/><Relationship Id="rId39" Type="http://schemas.openxmlformats.org/officeDocument/2006/relationships/hyperlink" Target="https://www.sec.gov/Archives/edgar/data/883975/000149315225005820/form8-k.htm" TargetMode="External"/><Relationship Id="rId40" Type="http://schemas.openxmlformats.org/officeDocument/2006/relationships/hyperlink" Target="https://www.sec.gov/Archives/edgar/data/883975/000149315225005967/form8-k.htm" TargetMode="External"/><Relationship Id="rId41" Type="http://schemas.openxmlformats.org/officeDocument/2006/relationships/hyperlink" Target="https://www.sec.gov/Archives/edgar/data/883975/00014931522500814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2025-04-08T05:46:04Z</dcterms:created>
  <dcterms:modified xsi:type="dcterms:W3CDTF">2025-04-08T05:46:04Z</dcterms:modified>
</cp:coreProperties>
</file>