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4"/>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3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r>
        <w:trPr>
          <w:trHeight w:val="209"/>
        </w:trPr>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68"/>
        </w:trPr>
        <w:tc>
          <w:tcPr>
            <w:tcW w:w="20" w:type="dxa"/>
            <w:vAlign w:val="bottom"/>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5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340" w:type="dxa"/>
            <w:vAlign w:val="bottom"/>
            <w:shd w:val="clear" w:color="auto" w:fill="000000"/>
          </w:tcPr>
          <w:p>
            <w:pPr>
              <w:spacing w:after="0"/>
              <w:rPr>
                <w:sz w:val="5"/>
                <w:szCs w:val="5"/>
                <w:color w:val="auto"/>
              </w:rPr>
            </w:pPr>
          </w:p>
        </w:tc>
      </w:tr>
      <w:tr>
        <w:trPr>
          <w:trHeight w:val="43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On September 13, 2019, Microbot Medical Inc. (the “Company”) issued a press release announcing the outcome of its Annual Meeting of Shareholders held on September 10, 2019, and that its goal remains to achieve its other targeted milestones, including the regulatory pre-submission timeline of its Self-Cleaning Shunt (SCS</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September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2498725</wp:posOffset>
            </wp:positionH>
            <wp:positionV relativeFrom="page">
              <wp:posOffset>226060</wp:posOffset>
            </wp:positionV>
            <wp:extent cx="2573020" cy="1046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573020" cy="10464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Microbot Medical Announces Outcome of Annual Meeting of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Maintains Regulatory Pre-Submission Timeline of the Self-Cleaning Shunt (SCS </w:t>
      </w:r>
      <w:r>
        <w:rPr>
          <w:rFonts w:ascii="Arial" w:cs="Arial" w:eastAsia="Arial" w:hAnsi="Arial"/>
          <w:sz w:val="30"/>
          <w:szCs w:val="30"/>
          <w:b w:val="1"/>
          <w:bCs w:val="1"/>
          <w:color w:val="auto"/>
          <w:vertAlign w:val="superscript"/>
        </w:rPr>
        <w:t>TM</w:t>
      </w:r>
      <w:r>
        <w:rPr>
          <w:rFonts w:ascii="Arial" w:cs="Arial" w:eastAsia="Arial" w:hAnsi="Arial"/>
          <w:sz w:val="18"/>
          <w:szCs w:val="18"/>
          <w:i w:val="1"/>
          <w:iCs w:val="1"/>
          <w:color w:val="auto"/>
        </w:rPr>
        <w:t>)</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HINGHAM, Mass., September 13, 2019 </w:t>
      </w:r>
      <w:r>
        <w:rPr>
          <w:rFonts w:ascii="Arial" w:cs="Arial" w:eastAsia="Arial" w:hAnsi="Arial"/>
          <w:sz w:val="18"/>
          <w:szCs w:val="18"/>
          <w:color w:val="auto"/>
        </w:rPr>
        <w:t>– Having successfully executed a number of significant milestones over the past twelve months, Microbot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Inc. (NASDAQ: MBOT) held its 2019 annual shareholders’ meeting on September 10, 2019, during which the shareholders re-elected three directors and approved all of the proposals.</w:t>
      </w:r>
    </w:p>
    <w:p>
      <w:pPr>
        <w:spacing w:after="0" w:line="18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have executed many objectives over the past year and at this time our goal remains to achieve our other targeted milestones, including the FDA pre-submission for our Self-Cleaning Shunt (SCS</w:t>
      </w:r>
      <w:r>
        <w:rPr>
          <w:rFonts w:ascii="Arial" w:cs="Arial" w:eastAsia="Arial" w:hAnsi="Arial"/>
          <w:sz w:val="30"/>
          <w:szCs w:val="30"/>
          <w:color w:val="auto"/>
          <w:vertAlign w:val="superscript"/>
        </w:rPr>
        <w:t>TM</w:t>
      </w:r>
      <w:r>
        <w:rPr>
          <w:rFonts w:ascii="Arial" w:cs="Arial" w:eastAsia="Arial" w:hAnsi="Arial"/>
          <w:sz w:val="18"/>
          <w:szCs w:val="18"/>
          <w:color w:val="auto"/>
        </w:rPr>
        <w:t>) by the end of this year,” commented Harel Gadot, President, CEO and Chairman. “I would like to thank our shareholders for their continued support over the past year and I look forward to updating you on our continued progress at next year’s annual shareholders’ meeting.”</w:t>
      </w:r>
    </w:p>
    <w:p>
      <w:pPr>
        <w:spacing w:after="0" w:line="2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annual meeting, shareholders approved the reduction of outstanding shares from 221,000,000 to 61,000,000, including a reduction in the number of authorized shares of common stock from 220,000,000 to 60,000,000. Additionally, Harel Gadot, Yoav Waizer, and Martin Madden were re-elected as Class I directors to serve until the 2022 Annual Meeting of Shareholders, and Brightman Almagor Zohar &amp; Co., a Member of Deloitte Touche Tohmatsu Limited, was ratified as the Company’s independent registered public accounting firm for the year ending December 31, 2019. The final voting tallies from this year’s annual meeting was included in the Company’s Form 8-K, which was filed with the Securities and Exchange Commission on September 11,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2019-12-04T21:36:40Z</dcterms:created>
  <dcterms:modified xsi:type="dcterms:W3CDTF">2019-12-04T21:36:40Z</dcterms:modified>
</cp:coreProperties>
</file>