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333-151891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18, 2008)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80010</wp:posOffset>
            </wp:positionV>
            <wp:extent cx="192087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16" w:lineRule="exact"/>
        <w:rPr>
          <w:sz w:val="20"/>
          <w:szCs w:val="20"/>
          <w:color w:val="auto"/>
        </w:rPr>
      </w:pPr>
    </w:p>
    <w:p>
      <w:pPr>
        <w:ind w:right="40" w:firstLine="200"/>
        <w:spacing w:after="0" w:line="293" w:lineRule="auto"/>
        <w:rPr>
          <w:sz w:val="20"/>
          <w:szCs w:val="20"/>
          <w:color w:val="auto"/>
        </w:rPr>
      </w:pPr>
      <w:r>
        <w:rPr>
          <w:rFonts w:ascii="Arial" w:cs="Arial" w:eastAsia="Arial" w:hAnsi="Arial"/>
          <w:sz w:val="16"/>
          <w:szCs w:val="16"/>
          <w:color w:val="auto"/>
        </w:rPr>
        <w:t>This prospectus supplement relates to the issuance and sale of up to $30,000,000 of our common stock, par value $0.01 per share, from time to time through our sales agent, Cantor Fitzgerald &amp; Co. These sales, if any, will be made pursuant to the terms of a sales agreement between us and the sales agent.</w:t>
      </w:r>
    </w:p>
    <w:p>
      <w:pPr>
        <w:spacing w:after="0" w:line="64" w:lineRule="exact"/>
        <w:rPr>
          <w:sz w:val="20"/>
          <w:szCs w:val="20"/>
          <w:color w:val="auto"/>
        </w:rPr>
      </w:pPr>
    </w:p>
    <w:p>
      <w:pPr>
        <w:jc w:val="both"/>
        <w:ind w:right="60" w:firstLine="203"/>
        <w:spacing w:after="0" w:line="291" w:lineRule="auto"/>
        <w:rPr>
          <w:sz w:val="20"/>
          <w:szCs w:val="20"/>
          <w:color w:val="auto"/>
        </w:rPr>
      </w:pPr>
      <w:r>
        <w:rPr>
          <w:rFonts w:ascii="Arial" w:cs="Arial" w:eastAsia="Arial" w:hAnsi="Arial"/>
          <w:sz w:val="15"/>
          <w:szCs w:val="15"/>
          <w:color w:val="auto"/>
        </w:rPr>
        <w:t>Our common stock trades on the NASDAQ Global Market under the symbol “STEM.” Sales of shares of our common stock under this prospectus supplement, if any, may be made by any method permitted by law deemed to be an “at the market” offering as defined in Rule 415 under the Securities Act of 1933, as amended (the “Securities Act”), which includes sales made directly on the NASDAQ Global Market, the existing trading market for our common stock, or sales made to or through a market maker other than on an exchange. With our express written consent, the sales agent may also sell shares of our common stock in privately negotiated transactions. The sales agent will make all sales on a best efforts basis using commercially reasonable efforts consistent with its normal trading and sales practices, on terms mutually agreed upon by the sales agent and us. On June 5, 2009, the last reported sales price of our common stock on the NASDAQ Global Market was $1.75 per share.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will pay as compensation to the sales agent a fee of 3.0% of the gross proceeds of any sales of common stock sold pursuant to the sales agreement.</w:t>
      </w:r>
    </w:p>
    <w:p>
      <w:pPr>
        <w:spacing w:after="0" w:line="127" w:lineRule="exact"/>
        <w:rPr>
          <w:sz w:val="20"/>
          <w:szCs w:val="20"/>
          <w:color w:val="auto"/>
        </w:rPr>
      </w:pPr>
    </w:p>
    <w:p>
      <w:pPr>
        <w:ind w:right="120" w:firstLine="203"/>
        <w:spacing w:after="0" w:line="273" w:lineRule="auto"/>
        <w:rPr>
          <w:sz w:val="20"/>
          <w:szCs w:val="20"/>
          <w:color w:val="auto"/>
        </w:rPr>
      </w:pPr>
      <w:r>
        <w:rPr>
          <w:rFonts w:ascii="Arial" w:cs="Arial" w:eastAsia="Arial" w:hAnsi="Arial"/>
          <w:sz w:val="16"/>
          <w:szCs w:val="16"/>
          <w:color w:val="auto"/>
        </w:rPr>
        <w:t>In connection with the sale of common stock on our behalf, the sales agent may be deemed to be an “underwriter” within the meaning of the Securities Act, and the compensation of the sales agent may be deemed to be underwriting commissions or discounts. We have agreed to indemnify the sales agent and its controlling persons against certain liabilities, including liabilities under the Securities Act. If we are unable to provide this indemnification, we will contribute to payments the placement agent and its controlling persons may be required to make in respect of those liabilities.</w:t>
      </w:r>
    </w:p>
    <w:p>
      <w:pPr>
        <w:spacing w:after="0" w:line="77" w:lineRule="exact"/>
        <w:rPr>
          <w:sz w:val="20"/>
          <w:szCs w:val="20"/>
          <w:color w:val="auto"/>
        </w:rPr>
      </w:pPr>
    </w:p>
    <w:p>
      <w:pPr>
        <w:ind w:right="660" w:firstLine="203"/>
        <w:spacing w:after="0" w:line="37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date of this prospectus supplement is June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836295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220980</wp:posOffset>
            </wp:positionV>
            <wp:extent cx="180086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860" cy="48006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$100,000,000</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STEMCELLS, INC.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Common Stock</w:t>
      </w:r>
    </w:p>
    <w:p>
      <w:pPr>
        <w:jc w:val="center"/>
        <w:ind w:right="-19"/>
        <w:spacing w:after="0" w:line="238" w:lineRule="auto"/>
        <w:rPr>
          <w:sz w:val="20"/>
          <w:szCs w:val="20"/>
          <w:color w:val="auto"/>
        </w:rPr>
      </w:pPr>
      <w:r>
        <w:rPr>
          <w:rFonts w:ascii="Arial" w:cs="Arial" w:eastAsia="Arial" w:hAnsi="Arial"/>
          <w:sz w:val="22"/>
          <w:szCs w:val="22"/>
          <w:color w:val="auto"/>
        </w:rPr>
        <w:t>Preferred Stock</w:t>
      </w:r>
    </w:p>
    <w:p>
      <w:pPr>
        <w:jc w:val="center"/>
        <w:ind w:right="-19"/>
        <w:spacing w:after="0" w:line="230" w:lineRule="auto"/>
        <w:rPr>
          <w:sz w:val="20"/>
          <w:szCs w:val="20"/>
          <w:color w:val="auto"/>
        </w:rPr>
      </w:pPr>
      <w:r>
        <w:rPr>
          <w:rFonts w:ascii="Arial" w:cs="Arial" w:eastAsia="Arial" w:hAnsi="Arial"/>
          <w:sz w:val="22"/>
          <w:szCs w:val="22"/>
          <w:color w:val="auto"/>
        </w:rPr>
        <w:t>Warrants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offer to the public, from time to time, in one or more series or issuances:</w:t>
      </w:r>
    </w:p>
    <w:p>
      <w:pPr>
        <w:spacing w:after="0" w:line="117"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shares of our common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shares of our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warrants to purchase shares of our common stock, preferred stock and/or debt securities;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debt securities consisting of debentures, notes or other evidences of indebtedness.</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an applicable prospectus supplement. You should read both this prospectus and any prospectus supplement together with additional information described under the heading “Where You Can Find More Information” before you make your investment decision.</w:t>
      </w:r>
    </w:p>
    <w:p>
      <w:pPr>
        <w:spacing w:after="0" w:line="5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will sell these securities directly to our stockholders or to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Our common stock is traded on the Nasdaq Global Market under the symbol “STEM.” On June 11, 2008, the closing price of our common stock was $1.37 per share.</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Investing in our securities involves risks. See “Risk Factors” on page 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297180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251460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40" w:type="dxa"/>
            <w:vAlign w:val="bottom"/>
            <w:gridSpan w:val="3"/>
          </w:tcPr>
          <w:p>
            <w:pPr>
              <w:jc w:val="right"/>
              <w:ind w:right="45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418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68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180" w:type="dxa"/>
            <w:vAlign w:val="bottom"/>
            <w:gridSpan w:val="16"/>
            <w:vMerge w:val="continue"/>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About StemCells, Inc.</w:t>
              </w:r>
            </w:hyperlink>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680" w:type="dxa"/>
            <w:vAlign w:val="bottom"/>
            <w:tcBorders>
              <w:top w:val="single" w:sz="8" w:color="0000EE"/>
            </w:tcBorders>
            <w:gridSpan w:val="5"/>
          </w:tcPr>
          <w:p>
            <w:pPr>
              <w:spacing w:after="0"/>
              <w:rPr>
                <w:sz w:val="17"/>
                <w:szCs w:val="17"/>
                <w:color w:val="auto"/>
              </w:rPr>
            </w:pPr>
          </w:p>
        </w:tc>
        <w:tc>
          <w:tcPr>
            <w:tcW w:w="2580" w:type="dxa"/>
            <w:vAlign w:val="bottom"/>
            <w:gridSpan w:val="9"/>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Note Regarding Forward-Looking Statements</w:t>
              </w:r>
            </w:hyperlink>
          </w:p>
        </w:tc>
        <w:tc>
          <w:tcPr>
            <w:tcW w:w="860" w:type="dxa"/>
            <w:vAlign w:val="bottom"/>
            <w:gridSpan w:val="2"/>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000" w:type="dxa"/>
            <w:vAlign w:val="bottom"/>
            <w:gridSpan w:val="12"/>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 of Earnings to Fixed Charges</w:t>
              </w:r>
            </w:hyperlink>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Plan of Distribution</w:t>
              </w:r>
            </w:hyperlink>
          </w:p>
        </w:tc>
        <w:tc>
          <w:tcPr>
            <w:tcW w:w="1100" w:type="dxa"/>
            <w:vAlign w:val="bottom"/>
            <w:tcBorders>
              <w:top w:val="single" w:sz="8" w:color="0000EE"/>
            </w:tcBorders>
            <w:gridSpan w:val="7"/>
          </w:tcPr>
          <w:p>
            <w:pPr>
              <w:spacing w:after="0"/>
              <w:rPr>
                <w:sz w:val="17"/>
                <w:szCs w:val="17"/>
                <w:color w:val="auto"/>
              </w:rPr>
            </w:pPr>
          </w:p>
        </w:tc>
        <w:tc>
          <w:tcPr>
            <w:tcW w:w="1640" w:type="dxa"/>
            <w:vAlign w:val="bottom"/>
            <w:gridSpan w:val="4"/>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Description of Common Stock</w:t>
              </w:r>
            </w:hyperlink>
          </w:p>
        </w:tc>
        <w:tc>
          <w:tcPr>
            <w:tcW w:w="1940" w:type="dxa"/>
            <w:vAlign w:val="bottom"/>
            <w:gridSpan w:val="5"/>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Description of Preferred Stock</w:t>
              </w:r>
            </w:hyperlink>
          </w:p>
        </w:tc>
        <w:tc>
          <w:tcPr>
            <w:tcW w:w="1960" w:type="dxa"/>
            <w:vAlign w:val="bottom"/>
            <w:gridSpan w:val="6"/>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Warrants</w:t>
              </w:r>
            </w:hyperlink>
          </w:p>
        </w:tc>
        <w:tc>
          <w:tcPr>
            <w:tcW w:w="2440" w:type="dxa"/>
            <w:vAlign w:val="bottom"/>
            <w:gridSpan w:val="8"/>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Debt Securities</w:t>
              </w:r>
            </w:hyperlink>
          </w:p>
        </w:tc>
        <w:tc>
          <w:tcPr>
            <w:tcW w:w="1980" w:type="dxa"/>
            <w:vAlign w:val="bottom"/>
            <w:gridSpan w:val="7"/>
          </w:tcPr>
          <w:p>
            <w:pPr>
              <w:spacing w:after="0"/>
              <w:rPr>
                <w:sz w:val="17"/>
                <w:szCs w:val="17"/>
                <w:color w:val="auto"/>
              </w:rPr>
            </w:pPr>
          </w:p>
        </w:tc>
        <w:tc>
          <w:tcPr>
            <w:tcW w:w="7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Where You Can Find More Information</w:t>
              </w:r>
            </w:hyperlink>
          </w:p>
        </w:tc>
        <w:tc>
          <w:tcPr>
            <w:tcW w:w="1300" w:type="dxa"/>
            <w:vAlign w:val="bottom"/>
            <w:gridSpan w:val="3"/>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of Certain Documents by Reference</w:t>
              </w:r>
            </w:hyperlink>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Legal Matters</w:t>
              </w:r>
            </w:hyperlink>
          </w:p>
        </w:tc>
        <w:tc>
          <w:tcPr>
            <w:tcW w:w="2600" w:type="dxa"/>
            <w:vAlign w:val="bottom"/>
            <w:tcBorders>
              <w:top w:val="single" w:sz="8" w:color="0000EE"/>
            </w:tcBorders>
            <w:gridSpan w:val="12"/>
          </w:tcPr>
          <w:p>
            <w:pPr>
              <w:spacing w:after="0"/>
              <w:rPr>
                <w:sz w:val="17"/>
                <w:szCs w:val="17"/>
                <w:color w:val="auto"/>
              </w:rPr>
            </w:pPr>
          </w:p>
        </w:tc>
        <w:tc>
          <w:tcPr>
            <w:tcW w:w="560" w:type="dxa"/>
            <w:vAlign w:val="bottom"/>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Experts</w:t>
              </w:r>
            </w:hyperlink>
          </w:p>
        </w:tc>
        <w:tc>
          <w:tcPr>
            <w:tcW w:w="3620" w:type="dxa"/>
            <w:vAlign w:val="bottom"/>
            <w:gridSpan w:val="15"/>
          </w:tcPr>
          <w:p>
            <w:pPr>
              <w:spacing w:after="0"/>
              <w:rPr>
                <w:sz w:val="17"/>
                <w:szCs w:val="17"/>
                <w:color w:val="auto"/>
              </w:rPr>
            </w:pPr>
          </w:p>
        </w:tc>
        <w:tc>
          <w:tcPr>
            <w:tcW w:w="7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218"/>
        <w:spacing w:after="0" w:line="279"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This prospectus is a part of a registration statement that we filed with the Securities and Exchange Commission, or the SEC, using a “shelf” registration process. Under this shelf registration process, we may offer to sell any combination of the securities described in this prospectus in one or more offerings up to a total dollar amount of $100,000,000.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You should read both this prospectus and any prospectus supplement, including all documents incorporated herein or therein by reference, together with additional information described under “Where You Can Find More Information.”</w:t>
      </w:r>
    </w:p>
    <w:p>
      <w:pPr>
        <w:spacing w:after="0" w:line="8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accompanying prospectus supplement. You must not rely upon any information or representation not contained or incorporated by reference in this prospectus or an accompanying prospectus supplement.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and the accompanying prospectus supplement, if any,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STEMCELLS, INC.</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3"/>
          <w:szCs w:val="13"/>
          <w:color w:val="auto"/>
        </w:rPr>
        <w:t>®</w:t>
      </w:r>
      <w:r>
        <w:rPr>
          <w:rFonts w:ascii="Arial" w:cs="Arial" w:eastAsia="Arial" w:hAnsi="Arial"/>
          <w:sz w:val="16"/>
          <w:szCs w:val="16"/>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8"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57"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 35 million people in the United States and account for nearly $200 billion annually in health care costs.</w:t>
      </w:r>
      <w:r>
        <w:rPr>
          <w:rFonts w:ascii="Arial" w:cs="Arial" w:eastAsia="Arial" w:hAnsi="Arial"/>
          <w:sz w:val="15"/>
          <w:szCs w:val="15"/>
          <w:color w:val="auto"/>
        </w:rPr>
        <w:t>1</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9" w:lineRule="exact"/>
        <w:rPr>
          <w:sz w:val="20"/>
          <w:szCs w:val="20"/>
          <w:color w:val="auto"/>
        </w:rPr>
      </w:pPr>
    </w:p>
    <w:p>
      <w:pPr>
        <w:ind w:left="460" w:right="80" w:hanging="452"/>
        <w:spacing w:after="0" w:line="302"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6"/>
          <w:szCs w:val="16"/>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i w:val="1"/>
          <w:iCs w:val="1"/>
          <w:color w:val="auto"/>
        </w:rPr>
        <w:t>You should consider the “Risk Factors” included under Part I-Item 1A. of our most recent Annual Report on Form 10-K, which is incorporated by reference in this prospectus. The risks and uncertainties we describe are not the only ones facing us.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Except as otherwise provided in the applicable prospectus supplement, we intend to use the net proceeds from the sale of the securities covered by this prospectus for general corporate purposes, which may include working capital, capital expenditures, research and development expenditures, clinical trial expenditures, acquisitions of new technologies or businesses, and investments. Additional information on the use of net proceeds from the sale of securities covered by this prospectus may be set forth in the prospectus supplement relating to the specific offering.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Our earnings are inadequate to cover fixed charges. The following table sets forth the dollar amount of the coverage. We have not included a ratio of earnings to combined fixed charges and preferred stock dividends because we do not have any preferred stock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2003</w:t>
            </w:r>
          </w:p>
        </w:tc>
        <w:tc>
          <w:tcPr>
            <w:tcW w:w="12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1920" w:type="dxa"/>
            <w:vAlign w:val="bottom"/>
            <w:vMerge w:val="continue"/>
          </w:tcPr>
          <w:p>
            <w:pPr>
              <w:spacing w:after="0"/>
              <w:rPr>
                <w:sz w:val="12"/>
                <w:szCs w:val="12"/>
                <w:color w:val="auto"/>
              </w:rPr>
            </w:pPr>
          </w:p>
        </w:tc>
        <w:tc>
          <w:tcPr>
            <w:tcW w:w="12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2006</w:t>
            </w:r>
          </w:p>
        </w:tc>
        <w:tc>
          <w:tcPr>
            <w:tcW w:w="15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2007</w:t>
            </w: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920" w:type="dxa"/>
            <w:vAlign w:val="bottom"/>
          </w:tcPr>
          <w:p>
            <w:pPr>
              <w:jc w:val="right"/>
              <w:ind w:right="741"/>
              <w:spacing w:after="0" w:line="149" w:lineRule="exact"/>
              <w:rPr>
                <w:sz w:val="20"/>
                <w:szCs w:val="20"/>
                <w:color w:val="auto"/>
              </w:rPr>
            </w:pPr>
            <w:r>
              <w:rPr>
                <w:rFonts w:ascii="Arial" w:cs="Arial" w:eastAsia="Arial" w:hAnsi="Arial"/>
                <w:sz w:val="14"/>
                <w:szCs w:val="14"/>
                <w:b w:val="1"/>
                <w:bCs w:val="1"/>
                <w:color w:val="auto"/>
              </w:rPr>
              <w:t>2005</w:t>
            </w:r>
          </w:p>
        </w:tc>
        <w:tc>
          <w:tcPr>
            <w:tcW w:w="124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6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86"/>
        </w:trPr>
        <w:tc>
          <w:tcPr>
            <w:tcW w:w="26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2"/>
          </w:tcPr>
          <w:p>
            <w:pPr>
              <w:jc w:val="right"/>
              <w:ind w:right="936"/>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charges (1)</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601"/>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Deficiency of earnings available</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to cover fixed charges</w:t>
            </w: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$(14,425)</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$(15,330)</w:t>
            </w:r>
          </w:p>
        </w:tc>
        <w:tc>
          <w:tcPr>
            <w:tcW w:w="1920" w:type="dxa"/>
            <w:vAlign w:val="bottom"/>
          </w:tcPr>
          <w:p>
            <w:pPr>
              <w:jc w:val="right"/>
              <w:ind w:right="541"/>
              <w:spacing w:after="0"/>
              <w:rPr>
                <w:sz w:val="20"/>
                <w:szCs w:val="20"/>
                <w:color w:val="auto"/>
              </w:rPr>
            </w:pPr>
            <w:r>
              <w:rPr>
                <w:rFonts w:ascii="Arial" w:cs="Arial" w:eastAsia="Arial" w:hAnsi="Arial"/>
                <w:sz w:val="18"/>
                <w:szCs w:val="18"/>
                <w:color w:val="auto"/>
              </w:rPr>
              <w:t>$(11,738)</w:t>
            </w: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$(18,948)</w:t>
            </w:r>
          </w:p>
        </w:tc>
        <w:tc>
          <w:tcPr>
            <w:tcW w:w="1500" w:type="dxa"/>
            <w:vAlign w:val="bottom"/>
          </w:tcPr>
          <w:p>
            <w:pPr>
              <w:jc w:val="right"/>
              <w:ind w:right="296"/>
              <w:spacing w:after="0"/>
              <w:rPr>
                <w:sz w:val="20"/>
                <w:szCs w:val="20"/>
                <w:color w:val="auto"/>
              </w:rPr>
            </w:pPr>
            <w:r>
              <w:rPr>
                <w:rFonts w:ascii="Arial" w:cs="Arial" w:eastAsia="Arial" w:hAnsi="Arial"/>
                <w:sz w:val="18"/>
                <w:szCs w:val="18"/>
                <w:color w:val="auto"/>
              </w:rPr>
              <w:t>$(25,023)</w:t>
            </w:r>
          </w:p>
        </w:tc>
        <w:tc>
          <w:tcPr>
            <w:tcW w:w="1260" w:type="dxa"/>
            <w:vAlign w:val="bottom"/>
          </w:tcPr>
          <w:p>
            <w:pPr>
              <w:jc w:val="right"/>
              <w:ind w:right="62"/>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60" w:right="1680" w:hanging="5652"/>
        <w:spacing w:after="0" w:line="481" w:lineRule="auto"/>
        <w:tabs>
          <w:tab w:leader="none" w:pos="44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each of the periods presented, our earnings were insufficient to cover fixed charges and accordingly ratios are not presented.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securities in any of the ways described below or in any combination of these:</w:t>
      </w:r>
    </w:p>
    <w:p>
      <w:pPr>
        <w:spacing w:after="0" w:line="117" w:lineRule="exact"/>
        <w:rPr>
          <w:sz w:val="20"/>
          <w:szCs w:val="20"/>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through one or more agents; or</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directly to purchasers or to a single purchaser.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17" w:lineRule="exact"/>
        <w:rPr>
          <w:sz w:val="20"/>
          <w:szCs w:val="20"/>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117" w:lineRule="exact"/>
        <w:rPr>
          <w:sz w:val="20"/>
          <w:szCs w:val="20"/>
          <w:color w:val="auto"/>
        </w:rPr>
      </w:pPr>
    </w:p>
    <w:p>
      <w:pPr>
        <w:ind w:right="400" w:firstLine="447"/>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62" w:lineRule="exact"/>
        <w:rPr>
          <w:sz w:val="20"/>
          <w:szCs w:val="20"/>
          <w:color w:val="auto"/>
        </w:rPr>
      </w:pPr>
    </w:p>
    <w:p>
      <w:pPr>
        <w:ind w:left="1120" w:hanging="437"/>
        <w:spacing w:after="0"/>
        <w:tabs>
          <w:tab w:leader="none" w:pos="11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b w:val="1"/>
          <w:bCs w:val="1"/>
          <w:color w:val="auto"/>
        </w:rPr>
      </w:pPr>
    </w:p>
    <w:p>
      <w:pPr>
        <w:ind w:left="1120" w:right="20" w:hanging="437"/>
        <w:spacing w:after="0" w:line="277" w:lineRule="auto"/>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b w:val="1"/>
          <w:bCs w:val="1"/>
          <w:color w:val="auto"/>
        </w:rPr>
      </w:pPr>
    </w:p>
    <w:p>
      <w:pPr>
        <w:ind w:left="1120" w:hanging="43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any securities exchanges on which the securities may be listed.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129" w:lineRule="exact"/>
        <w:rPr>
          <w:sz w:val="20"/>
          <w:szCs w:val="20"/>
          <w:color w:val="auto"/>
        </w:rPr>
      </w:pPr>
    </w:p>
    <w:p>
      <w:pPr>
        <w:ind w:right="580" w:firstLine="450"/>
        <w:spacing w:after="0" w:line="277" w:lineRule="auto"/>
        <w:rPr>
          <w:sz w:val="20"/>
          <w:szCs w:val="20"/>
          <w:color w:val="auto"/>
        </w:rPr>
      </w:pPr>
      <w:r>
        <w:rPr>
          <w:rFonts w:ascii="Arial" w:cs="Arial" w:eastAsia="Arial" w:hAnsi="Arial"/>
          <w:sz w:val="18"/>
          <w:szCs w:val="18"/>
          <w:color w:val="auto"/>
        </w:rPr>
        <w:t>Only the agents or underwriters named in each prospectus supplement are agents or underwriters in connection with the securities being offered thereby.</w:t>
      </w:r>
    </w:p>
    <w:p>
      <w:pPr>
        <w:spacing w:after="0" w:line="62" w:lineRule="exact"/>
        <w:rPr>
          <w:sz w:val="20"/>
          <w:szCs w:val="20"/>
          <w:color w:val="auto"/>
        </w:rPr>
      </w:pPr>
    </w:p>
    <w:p>
      <w:pPr>
        <w:ind w:right="20" w:firstLine="447"/>
        <w:spacing w:after="0" w:line="272" w:lineRule="auto"/>
        <w:rPr>
          <w:sz w:val="20"/>
          <w:szCs w:val="20"/>
          <w:color w:val="auto"/>
        </w:rPr>
      </w:pPr>
      <w:r>
        <w:rPr>
          <w:rFonts w:ascii="Arial" w:cs="Arial" w:eastAsia="Arial" w:hAnsi="Arial"/>
          <w:sz w:val="17"/>
          <w:szCs w:val="17"/>
          <w:color w:val="auto"/>
        </w:rPr>
        <w:t>We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each applicable prospectus supplement, and each prospectus supplement will set forth any commissions we pay for solicitation of these contracts.</w:t>
      </w:r>
    </w:p>
    <w:p>
      <w:pPr>
        <w:spacing w:after="0" w:line="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of 1933,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291" w:lineRule="auto"/>
        <w:rPr>
          <w:sz w:val="20"/>
          <w:szCs w:val="20"/>
          <w:color w:val="auto"/>
        </w:rPr>
      </w:pPr>
      <w:r>
        <w:rPr>
          <w:rFonts w:ascii="Arial" w:cs="Arial" w:eastAsia="Arial" w:hAnsi="Arial"/>
          <w:sz w:val="16"/>
          <w:szCs w:val="16"/>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any remarketing firm and the terms of its agreement, if any, with us and will describe the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59"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w:t>
      </w:r>
    </w:p>
    <w:p>
      <w:pPr>
        <w:spacing w:after="0" w:line="73" w:lineRule="exact"/>
        <w:rPr>
          <w:sz w:val="20"/>
          <w:szCs w:val="20"/>
          <w:color w:val="auto"/>
        </w:rPr>
      </w:pPr>
    </w:p>
    <w:p>
      <w:pPr>
        <w:ind w:right="280" w:firstLine="447"/>
        <w:spacing w:after="0" w:line="312" w:lineRule="auto"/>
        <w:rPr>
          <w:sz w:val="20"/>
          <w:szCs w:val="20"/>
          <w:color w:val="auto"/>
        </w:rPr>
      </w:pPr>
      <w:r>
        <w:rPr>
          <w:rFonts w:ascii="Arial" w:cs="Arial" w:eastAsia="Arial" w:hAnsi="Arial"/>
          <w:sz w:val="16"/>
          <w:szCs w:val="16"/>
          <w:color w:val="auto"/>
        </w:rPr>
        <w:t>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of trading markets for, any of our securities.</w:t>
      </w:r>
    </w:p>
    <w:p>
      <w:pPr>
        <w:spacing w:after="0" w:line="3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Certain persons participating in this offering may engage in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authorized to issue 125,000,000 shares of common stock. As of June 1, 2008, we had 80,810,302 shares of common stock outstanding.</w:t>
      </w:r>
    </w:p>
    <w:p>
      <w:pPr>
        <w:spacing w:after="0" w:line="12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and, upon issuance and sale, all shares we are offering by this prospectus, will be fully-paid and nonassessable.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121" w:lineRule="exact"/>
        <w:rPr>
          <w:sz w:val="20"/>
          <w:szCs w:val="20"/>
          <w:color w:val="auto"/>
        </w:rPr>
      </w:pPr>
    </w:p>
    <w:p>
      <w:pPr>
        <w:jc w:val="both"/>
        <w:ind w:right="160" w:firstLine="222"/>
        <w:spacing w:after="0" w:line="259" w:lineRule="auto"/>
        <w:rPr>
          <w:sz w:val="20"/>
          <w:szCs w:val="20"/>
          <w:color w:val="auto"/>
        </w:rPr>
      </w:pPr>
      <w:r>
        <w:rPr>
          <w:rFonts w:ascii="Arial" w:cs="Arial" w:eastAsia="Arial" w:hAnsi="Arial"/>
          <w:sz w:val="18"/>
          <w:szCs w:val="18"/>
          <w:color w:val="auto"/>
        </w:rPr>
        <w:t>We are authorized to issue 1,000,000 shares of undesignated preferred stock. As of June 1, 2008, no shares of our preferred stock were outstanding. The following summary of certain provisions of our preferred stock does not purport to be complete. You should refer to our restated certificate of incorporation and our amended and restated by-laws, both of which are on file with the SEC as exhibits to previous SEC filings. The summary below is also qualified by provisions of applicable law.</w:t>
      </w:r>
    </w:p>
    <w:p>
      <w:pPr>
        <w:spacing w:after="0" w:line="79"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58"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title and stated value;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number of shares offered, the liquidation preference per share and the purchase price;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dividend rate(s), period(s) and/or payment date(s), or method(s) of calculation for such dividends;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procedures for any auction and remarketing,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provisions for a sinking fund,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provisions for redemption, if applicable;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listing of the preferred stock on any securities exchange or market;</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voting rights, if any, of the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StemCells, Inc.; and</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StemCells, 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preferred stock offered by this prospectus, when issued, will not have, or be subject to, any preemptive or similar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each applicable prospectus supplement.</w:t>
      </w: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each applicable prospectus supplement. Below is a description of certain general terms and provisions of the warrants that we may offer. Particular terms of the warrants will be described in the applicable warrant agreements and the applicable prospectus supplement to the warrants.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specific designation and aggregate number of, and the price at which we will issue, the warrants;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designation, amount and terms of the securities purchasable upon exercise of the warrants;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75"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75" w:lineRule="exact"/>
        <w:rPr>
          <w:rFonts w:ascii="Arial" w:cs="Arial" w:eastAsia="Arial" w:hAnsi="Arial"/>
          <w:sz w:val="18"/>
          <w:szCs w:val="18"/>
          <w:b w:val="1"/>
          <w:bCs w:val="1"/>
          <w:color w:val="auto"/>
        </w:rPr>
      </w:pPr>
    </w:p>
    <w:p>
      <w:pPr>
        <w:jc w:val="both"/>
        <w:ind w:left="660" w:right="540" w:hanging="436"/>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redemption or call provisions;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whether the warrants are to be sold separately or with other securities as parts of units;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80"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may offer under this prospectus up to an aggregate principal amount of $100,000,000 in debt securities; or if debt securities are issued at a discount, or in a foreign currency, foreign currency units or composite currency, the principal amount as may be sold for an initial public offering price of up to $100,000,000. Unless otherwise specified in the applicable prospectus supplement, the debt securities will represent direct, unsecured obligations of StemCells, Inc. and will rank equally with all of our other unsecured indebtedness.</w:t>
      </w:r>
    </w:p>
    <w:p>
      <w:pPr>
        <w:spacing w:after="0" w:line="79"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following statements relating to the debt securities and the indenture are summaries, qualified in their entirety to the detailed provisions of the indenture.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80" w:firstLine="222"/>
        <w:spacing w:after="0" w:line="308" w:lineRule="auto"/>
        <w:rPr>
          <w:sz w:val="20"/>
          <w:szCs w:val="20"/>
          <w:color w:val="auto"/>
        </w:rPr>
      </w:pPr>
      <w:r>
        <w:rPr>
          <w:rFonts w:ascii="Arial" w:cs="Arial" w:eastAsia="Arial" w:hAnsi="Arial"/>
          <w:sz w:val="17"/>
          <w:szCs w:val="17"/>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w:t>
      </w:r>
    </w:p>
    <w:p>
      <w:pPr>
        <w:spacing w:after="0" w:line="38"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prospectus supplement will set forth, to the extent required, the following terms of the debt securities in respect of which the prospectus supplement is delivered:</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date or dates on which principal is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place or places where principal and, if applicable, premium and interest, is payable;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denominations in which such debt securities may be issuable, if other than denominations of $1,000 or any integral multiple of that number;</w:t>
      </w:r>
    </w:p>
    <w:p>
      <w:pPr>
        <w:spacing w:after="0" w:line="153" w:lineRule="exact"/>
        <w:rPr>
          <w:rFonts w:ascii="Arial" w:cs="Arial" w:eastAsia="Arial" w:hAnsi="Arial"/>
          <w:sz w:val="16"/>
          <w:szCs w:val="16"/>
          <w:b w:val="1"/>
          <w:bCs w:val="1"/>
          <w:color w:val="auto"/>
        </w:rPr>
      </w:pPr>
    </w:p>
    <w:p>
      <w:pPr>
        <w:ind w:left="660" w:right="20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whether the debt securities are to be issuable in the form of certificated debt securities (as described below) or global debt securities (as described below);</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currency of denomination;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the designation of the currency, currencies or currency units in which payment of principal and, if applicable, premium and interest, will be made;</w:t>
      </w:r>
    </w:p>
    <w:p>
      <w:pPr>
        <w:spacing w:after="0" w:line="153"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51" w:lineRule="exact"/>
        <w:rPr>
          <w:rFonts w:ascii="Arial" w:cs="Arial" w:eastAsia="Arial" w:hAnsi="Arial"/>
          <w:sz w:val="17"/>
          <w:szCs w:val="17"/>
          <w:b w:val="1"/>
          <w:bCs w:val="1"/>
          <w:color w:val="auto"/>
        </w:rPr>
      </w:pPr>
    </w:p>
    <w:p>
      <w:pPr>
        <w:ind w:left="660" w:right="40" w:hanging="436"/>
        <w:spacing w:after="0" w:line="342" w:lineRule="auto"/>
        <w:tabs>
          <w:tab w:leader="none" w:pos="6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provisions, if any, relating to any collateral provided for such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events of default, if not otherwise described below under “Events of Default”;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terms and conditions, if any, for conversion into or exchange for shares of common stock or preferred stock;</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the terms and conditions, if any, upon which the debt securities shall be subordinated in right of payment to other indebtedness of StemCells, Inc.</w:t>
      </w:r>
    </w:p>
    <w:p>
      <w:pPr>
        <w:spacing w:after="0" w:line="140"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63"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and/or Conversion Rights</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We may issue debt securities which can be exchanged for or converted into shares of common stock or preferred stock. If we do, we will describe the terms of exchange or conversion in the prospectus supplement relating to these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may issue debt securities that will be represented by either:</w:t>
      </w:r>
    </w:p>
    <w:p>
      <w:pPr>
        <w:spacing w:after="0" w:line="117" w:lineRule="exact"/>
        <w:rPr>
          <w:sz w:val="20"/>
          <w:szCs w:val="20"/>
          <w:color w:val="auto"/>
        </w:rPr>
      </w:pPr>
    </w:p>
    <w:p>
      <w:pPr>
        <w:ind w:left="660" w:right="5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“book-entry securities,” which means that there will be one or more global securities registered in the name of a depositary or a nominee of a depositary;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“certificated securities,” which means that they will be represented by a certificate issued in definitive registered form.</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will specify in the prospectus supplement applicable to a particular offering whether the debt securities offered will be book-entry or certificated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Debt Securities</w:t>
      </w:r>
    </w:p>
    <w:p>
      <w:pPr>
        <w:spacing w:after="0" w:line="121"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If you hold certificated debt securities, you may transfer or exchange such debt securities at the trustee’s office or at the paying agent’s office or agency in accordance with the terms of the indenture. You will not be charged a service charge for any transfer or exchange of certificated debt securities but may be required to pay an amount sufficient to cover any tax or other governmental charge payable in connection with such transfer or exchange.</w:t>
      </w:r>
    </w:p>
    <w:p>
      <w:pPr>
        <w:spacing w:after="0" w:line="39" w:lineRule="exact"/>
        <w:rPr>
          <w:sz w:val="20"/>
          <w:szCs w:val="20"/>
          <w:color w:val="auto"/>
        </w:rPr>
      </w:pPr>
    </w:p>
    <w:p>
      <w:pPr>
        <w:ind w:right="180" w:firstLine="218"/>
        <w:spacing w:after="0" w:line="264" w:lineRule="auto"/>
        <w:rPr>
          <w:sz w:val="20"/>
          <w:szCs w:val="20"/>
          <w:color w:val="auto"/>
        </w:rPr>
      </w:pPr>
      <w:r>
        <w:rPr>
          <w:rFonts w:ascii="Arial" w:cs="Arial" w:eastAsia="Arial" w:hAnsi="Arial"/>
          <w:sz w:val="18"/>
          <w:szCs w:val="18"/>
          <w:color w:val="auto"/>
        </w:rPr>
        <w:t>You may effect the transfer of certificated debt securities and of the right to receive the principal of, premium, and/or interest, if any, on the certificated debt securities only by surrendering the certificate representing the certificated debt securities and having us or the trustee issue a new certificate to the new 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our company,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debt securities additional protection in the event of a recapitalization transaction, a change of control of StemCells, Inc., or a highly leveraged transaction. If we offer any covenants or provisions of this type with respect to any debt securities covered by this prospectus, we will describe them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Unless otherwise indicated in this prospectus or a prospectus supplement, the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We have agreed in the indenture that we will not consolidate with or merge into any other person or convey, transfer, sell or lease our properties and assets substantially as an entirety to any person, unless:</w:t>
      </w:r>
    </w:p>
    <w:p>
      <w:pPr>
        <w:spacing w:after="0" w:line="62" w:lineRule="exact"/>
        <w:rPr>
          <w:sz w:val="20"/>
          <w:szCs w:val="20"/>
          <w:color w:val="auto"/>
        </w:rPr>
      </w:pPr>
    </w:p>
    <w:p>
      <w:pPr>
        <w:ind w:left="660" w:right="160" w:hanging="436"/>
        <w:spacing w:after="0" w:line="25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if we are not the surviving person, the surviving person has expressly assumed all of our obligations, including the payment of the principal of and, premium, if any, and interest on the debt securities and the performance of the other covenants under the indenture; and</w:t>
      </w:r>
    </w:p>
    <w:p>
      <w:pPr>
        <w:spacing w:after="0" w:line="93"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immediately before and immediately after giving effect to the transaction, no event of default, and no event which, after notice or lapse of time or both, would become an event of default, has occurred and is continuing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62"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fail to pay any principal or premium, if any, when it becomes due;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we fail to pay any interest within 30 days after it becomes due;</w:t>
      </w:r>
    </w:p>
    <w:p>
      <w:pPr>
        <w:spacing w:after="0" w:line="130" w:lineRule="exact"/>
        <w:rPr>
          <w:rFonts w:ascii="Arial" w:cs="Arial" w:eastAsia="Arial" w:hAnsi="Arial"/>
          <w:sz w:val="18"/>
          <w:szCs w:val="18"/>
          <w:b w:val="1"/>
          <w:bCs w:val="1"/>
          <w:color w:val="auto"/>
        </w:rPr>
      </w:pPr>
    </w:p>
    <w:p>
      <w:pPr>
        <w:ind w:left="660" w:hanging="436"/>
        <w:spacing w:after="0" w:line="308" w:lineRule="auto"/>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certain events involving bankruptcy, insolvency or reorganization of StemCells, Inc. or any of our significant subsidiaries.</w:t>
      </w:r>
    </w:p>
    <w:p>
      <w:pPr>
        <w:spacing w:after="0" w:line="117"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majority in aggregate principal amount of outstanding debt securities of such series may rescind and annul such acceleration if:</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all lawful interest on overdue interest and overdue principal has been paid;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rescission would not conflict with any judgment or decree.</w:t>
      </w:r>
    </w:p>
    <w:p>
      <w:pPr>
        <w:spacing w:after="0" w:line="11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In addition, if the acceleration occurs at any time when we have outstanding indebtedness which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7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62"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holder gives to the trustee written notice of a continuing event of default;</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trustee fails to institute a proceeding within 60 days after such request;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6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2" w:lineRule="exact"/>
        <w:rPr>
          <w:sz w:val="20"/>
          <w:szCs w:val="20"/>
          <w:color w:val="auto"/>
        </w:rPr>
      </w:pPr>
    </w:p>
    <w:p>
      <w:pPr>
        <w:ind w:left="66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provide that the surviving entity following a change of control of StemCells, Inc. permitted under the indenture will assume all of our obligations under the indenture and debt securities;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provide for certificated debt securities in addition to uncertificated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SEC under the Trust Indenture Act of 1939;</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to cure any ambiguity, defect or inconsistency, or make any other change that does not materially and adversely affect the rights of any holder; and</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appoint a successor trustee under the indenture with respect to one or more series.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of such series, or waive compliance in a particular instance by us with any provision of the indenture or such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63"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reduce the amount of debt securities whose holders must consent to an amendment, supplement, or waiver to the indenture or such debt security;</w:t>
      </w:r>
    </w:p>
    <w:p>
      <w:pPr>
        <w:spacing w:after="0" w:line="153" w:lineRule="exact"/>
        <w:rPr>
          <w:rFonts w:ascii="Arial" w:cs="Arial" w:eastAsia="Arial" w:hAnsi="Arial"/>
          <w:sz w:val="16"/>
          <w:szCs w:val="16"/>
          <w:b w:val="1"/>
          <w:bCs w:val="1"/>
          <w:color w:val="auto"/>
        </w:rPr>
      </w:pPr>
    </w:p>
    <w:p>
      <w:pPr>
        <w:ind w:left="660" w:right="36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reduce the rate of or change the time for payment of interest or reduce amount of or postpone the date for payment of sinking fund or analogous obligations;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reduce the principal of or change the stated maturity of the debt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make any debt security payable in money other than that stated in the debt security;</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right="560" w:firstLine="222"/>
        <w:spacing w:after="0" w:line="277"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62" w:lineRule="exact"/>
        <w:rPr>
          <w:sz w:val="20"/>
          <w:szCs w:val="20"/>
          <w:color w:val="auto"/>
        </w:rPr>
      </w:pPr>
    </w:p>
    <w:p>
      <w:pPr>
        <w:ind w:left="660" w:right="44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62" w:lineRule="exact"/>
        <w:rPr>
          <w:rFonts w:ascii="Arial" w:cs="Arial" w:eastAsia="Arial" w:hAnsi="Arial"/>
          <w:sz w:val="18"/>
          <w:szCs w:val="18"/>
          <w:b w:val="1"/>
          <w:bCs w:val="1"/>
          <w:color w:val="auto"/>
        </w:rPr>
      </w:pPr>
    </w:p>
    <w:p>
      <w:pPr>
        <w:ind w:left="1160" w:hanging="252"/>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17"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order to exercise either defeasance option, we must deposit with the trustee or other qualifying trustee, in trust for that purpose:</w:t>
      </w:r>
    </w:p>
    <w:p>
      <w:pPr>
        <w:spacing w:after="0" w:line="117"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money;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U.S. Government Obligations (as described below) or Foreign Government Obligations (as described below) which through the scheduled payment of principal and interest in accordance with their terms will provide money; or</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which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17" w:lineRule="exact"/>
        <w:rPr>
          <w:sz w:val="20"/>
          <w:szCs w:val="20"/>
          <w:color w:val="auto"/>
        </w:rPr>
      </w:pPr>
    </w:p>
    <w:p>
      <w:pPr>
        <w:jc w:val="both"/>
        <w:ind w:left="660" w:right="40" w:hanging="436"/>
        <w:spacing w:after="0" w:line="342"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29" w:lineRule="exact"/>
        <w:rPr>
          <w:rFonts w:ascii="Arial" w:cs="Arial" w:eastAsia="Arial" w:hAnsi="Arial"/>
          <w:sz w:val="16"/>
          <w:szCs w:val="16"/>
          <w:b w:val="1"/>
          <w:bCs w:val="1"/>
          <w:color w:val="auto"/>
        </w:rPr>
      </w:pPr>
    </w:p>
    <w:p>
      <w:pPr>
        <w:ind w:left="660" w:right="40" w:hanging="436"/>
        <w:spacing w:after="0" w:line="297"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63" w:lineRule="exact"/>
        <w:rPr>
          <w:rFonts w:ascii="Arial" w:cs="Arial" w:eastAsia="Arial" w:hAnsi="Arial"/>
          <w:sz w:val="16"/>
          <w:szCs w:val="16"/>
          <w:b w:val="1"/>
          <w:bCs w:val="1"/>
          <w:color w:val="auto"/>
        </w:rPr>
      </w:pPr>
    </w:p>
    <w:p>
      <w:pPr>
        <w:jc w:val="both"/>
        <w:ind w:left="660" w:right="40" w:hanging="436"/>
        <w:spacing w:after="0" w:line="312" w:lineRule="auto"/>
        <w:tabs>
          <w:tab w:leader="none" w:pos="66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certain other conditions described in the indenture are satisfied.</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46" w:lineRule="exact"/>
        <w:rPr>
          <w:sz w:val="20"/>
          <w:szCs w:val="20"/>
          <w:color w:val="auto"/>
        </w:rPr>
      </w:pPr>
    </w:p>
    <w:p>
      <w:pPr>
        <w:jc w:val="both"/>
        <w:ind w:right="440" w:firstLine="222"/>
        <w:spacing w:after="0" w:line="264" w:lineRule="auto"/>
        <w:rPr>
          <w:sz w:val="20"/>
          <w:szCs w:val="20"/>
          <w:color w:val="auto"/>
        </w:rPr>
      </w:pPr>
      <w:r>
        <w:rPr>
          <w:rFonts w:ascii="Arial" w:cs="Arial" w:eastAsia="Arial" w:hAnsi="Arial"/>
          <w:sz w:val="18"/>
          <w:szCs w:val="18"/>
          <w:color w:val="auto"/>
        </w:rPr>
        <w:t>The term “U.S. Government Obligations” as used in the above discussion means securities which are direct obligations of or non-callable obligations guaranteed by the United States of America for the payment of which obligation or guarantee the full faith and credit of the United States of America is pledged.</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will identify the trustee with respect to any series of debt securities in the prospectus supplement relating to the applicable debt securities. You should note that if the trustee becomes a creditor of StemCells, Inc., the indenture and the Trust Indenture Act of 1939 limit the rights of the trustee to obtain payment of claims in certain cases, or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16"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0" w:lineRule="exact"/>
        <w:rPr>
          <w:sz w:val="20"/>
          <w:szCs w:val="20"/>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(as amended) for the year ended December 31, 2007 (File No. 000-19871);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2008 (File No. 000-19871);</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5, 2008, March 21, 2008 and May 13, 2008 (File No. 000-19871);</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Our definitive Proxy Statement on Form DEF 14A filed on June 9, 2008 (File No. 000-19871).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Phone: (650) 475-3100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email: irpr@stemcellsinc.com</w:t>
      </w:r>
    </w:p>
    <w:p>
      <w:pPr>
        <w:spacing w:after="0" w:line="103"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validity of the issuance of the securities offered hereby will be passed upon for us by Ropes &amp; Gray LLP, Boston, Massachusetts. The validity of any securities will be passed upon for any underwriters or agents by counsel that we will name in the applicable prospectus supplement.</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620" w:firstLine="222"/>
        <w:spacing w:after="0" w:line="302" w:lineRule="auto"/>
        <w:rPr>
          <w:sz w:val="20"/>
          <w:szCs w:val="20"/>
          <w:color w:val="auto"/>
        </w:rPr>
      </w:pPr>
      <w:r>
        <w:rPr>
          <w:rFonts w:ascii="Arial" w:cs="Arial" w:eastAsia="Arial" w:hAnsi="Arial"/>
          <w:sz w:val="16"/>
          <w:szCs w:val="16"/>
          <w:color w:val="auto"/>
        </w:rPr>
        <w:t xml:space="preserve">The consolidated financial statements and management’s assessment of the effectiveness of internal control over financial reporting have been incorporated by reference herein and in the registration statement in reliance upon the reports of Grant Thornton LLP, independent registered public accountants (which reports expressed an unqualified opinion and contain an explanatory paragraph relating to the adoption of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upon the authority of said firm as experts in accounting and auditing.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$100,000,000</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StemCells, Inc.</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Debt Securities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July 18, 2008</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sectPr>
      <w:pgSz w:w="11900" w:h="16838" w:orient="portrait"/>
      <w:cols w:equalWidth="0" w:num="1">
        <w:col w:w="11240"/>
      </w:cols>
      <w:pgMar w:left="240" w:top="41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2019-12-10T10:13:02Z</dcterms:created>
  <dcterms:modified xsi:type="dcterms:W3CDTF">2019-12-10T10:13:02Z</dcterms:modified>
</cp:coreProperties>
</file>