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01/08/2015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right"/>
              <w:ind w:right="179"/>
              <w:spacing w:after="0"/>
              <w:rPr>
                <w:sz w:val="20"/>
                <w:szCs w:val="20"/>
                <w:color w:val="auto"/>
              </w:rPr>
            </w:pPr>
            <w:r>
              <w:rPr>
                <w:rFonts w:ascii="Arial" w:cs="Arial" w:eastAsia="Arial" w:hAnsi="Arial"/>
                <w:sz w:val="18"/>
                <w:szCs w:val="18"/>
                <w:color w:val="0000FF"/>
                <w:w w:val="99"/>
              </w:rPr>
              <w:t>1,255,500</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2,274,391</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01/08/2015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418,500</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2,692,891</w:t>
            </w:r>
            <w:r>
              <w:rPr>
                <w:rFonts w:ascii="Arial" w:cs="Arial" w:eastAsia="Arial" w:hAnsi="Arial"/>
                <w:sz w:val="22"/>
                <w:szCs w:val="22"/>
                <w:color w:val="008000"/>
                <w:w w:val="85"/>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7"/>
              <w:spacing w:after="0"/>
              <w:rPr>
                <w:sz w:val="20"/>
                <w:szCs w:val="20"/>
                <w:color w:val="auto"/>
              </w:rPr>
            </w:pPr>
            <w:r>
              <w:rPr>
                <w:rFonts w:ascii="Arial" w:cs="Arial" w:eastAsia="Arial" w:hAnsi="Arial"/>
                <w:sz w:val="18"/>
                <w:szCs w:val="18"/>
                <w:color w:val="0000FF"/>
                <w:w w:val="87"/>
              </w:rPr>
              <w:t>22,921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1/3 vesting on each of January 8, 2016, January 8, 2017, and January 8, 2018.</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525,000 restricted stock units, with 175,000 of these vesting on each of June 14, 2015, June 14, 2016, and June 14, 2017; (2) 135,333 restricted stock units vesting on January 27, 2015, and (3) 1,255,500 restricted stock units, with 418,500 of these vesting on each of January 8, 2016, January 8, 2017 and January 8, 2018.</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studies in dry AMD and spinal cord injury.</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525,000 restricted stock units, with 175,000 of these vesting on each of June 14, 2015, June 14, 2016, and June 14, 2017; (2) 135,333 restricted stock units vesting on January 27, 2015; (3) 1,255,500 restricted stock units, with 418,500 of these vesting on each of January 8, 2016, January 8, 2017 and January 8, 2018; and (4) 418,500 restricted stock units with performance based vesting.</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01/09/2015</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2019-12-24T02:51:36Z</dcterms:created>
  <dcterms:modified xsi:type="dcterms:W3CDTF">2019-12-24T02:51:36Z</dcterms:modified>
</cp:coreProperties>
</file>