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8, 2004</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23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1680" w:space="720"/>
            <w:col w:w="3660"/>
          </w:cols>
          <w:pgMar w:left="240" w:top="122" w:right="359" w:bottom="1440" w:gutter="0" w:footer="0" w:header="0"/>
          <w:type w:val="continuous"/>
        </w:sectPr>
      </w:pPr>
    </w:p>
    <w:p>
      <w:pPr>
        <w:spacing w:after="0" w:line="7" w:lineRule="exact"/>
        <w:rPr>
          <w:sz w:val="20"/>
          <w:szCs w:val="20"/>
          <w:color w:val="auto"/>
        </w:rPr>
      </w:pPr>
    </w:p>
    <w:p>
      <w:pPr>
        <w:ind w:left="2960"/>
        <w:spacing w:after="0"/>
        <w:tabs>
          <w:tab w:leader="none" w:pos="7120" w:val="left"/>
        </w:tabs>
        <w:rPr>
          <w:sz w:val="20"/>
          <w:szCs w:val="20"/>
          <w:color w:val="auto"/>
        </w:rPr>
      </w:pPr>
      <w:r>
        <w:rPr>
          <w:rFonts w:ascii="Arial" w:cs="Arial" w:eastAsia="Arial" w:hAnsi="Arial"/>
          <w:sz w:val="18"/>
          <w:szCs w:val="18"/>
          <w:b w:val="1"/>
          <w:bCs w:val="1"/>
          <w:color w:val="auto"/>
        </w:rPr>
        <w:t>3155 Porter Drive, Palo Alto,</w:t>
      </w:r>
      <w:r>
        <w:rPr>
          <w:sz w:val="20"/>
          <w:szCs w:val="20"/>
          <w:color w:val="auto"/>
        </w:rPr>
        <w:tab/>
      </w:r>
      <w:r>
        <w:rPr>
          <w:rFonts w:ascii="Arial" w:cs="Arial" w:eastAsia="Arial" w:hAnsi="Arial"/>
          <w:sz w:val="15"/>
          <w:szCs w:val="15"/>
          <w:b w:val="1"/>
          <w:bCs w:val="1"/>
          <w:color w:val="auto"/>
        </w:rPr>
        <w:t>94304</w:t>
      </w:r>
    </w:p>
    <w:p>
      <w:pPr>
        <w:spacing w:after="0" w:line="27" w:lineRule="exact"/>
        <w:rPr>
          <w:sz w:val="20"/>
          <w:szCs w:val="20"/>
          <w:color w:val="auto"/>
        </w:rPr>
      </w:pPr>
    </w:p>
    <w:p>
      <w:pPr>
        <w:ind w:left="3680"/>
        <w:spacing w:after="0"/>
        <w:tabs>
          <w:tab w:leader="none" w:pos="6940" w:val="left"/>
        </w:tabs>
        <w:rPr>
          <w:sz w:val="20"/>
          <w:szCs w:val="20"/>
          <w:color w:val="auto"/>
        </w:rPr>
      </w:pPr>
      <w:r>
        <w:rPr>
          <w:rFonts w:ascii="Arial" w:cs="Arial" w:eastAsia="Arial" w:hAnsi="Arial"/>
          <w:sz w:val="16"/>
          <w:szCs w:val="16"/>
          <w:b w:val="1"/>
          <w:bCs w:val="1"/>
          <w:color w:val="auto"/>
        </w:rPr>
        <w:t>California</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300"/>
          </w:cols>
          <w:pgMar w:left="240" w:top="122" w:right="359" w:bottom="1440" w:gutter="0" w:footer="0" w:header="0"/>
          <w:type w:val="continuous"/>
        </w:sectPr>
      </w:pP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59"/>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PRINCIPAL OFFICERS; ELECTION OF DIRECTORS;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APPOINTMENT OF PRINCIPAL OFFICERS.</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13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 November 8, 2004, StemCells, Inc. (the “Company”) issued a press release announcing the appointment of Judi R. Lum as Vice President, Finance and Chief Financial Officer, effective November 8, 2004. A copy of the press release is attached hereto as Exhibit 99.1.</w:t>
      </w:r>
    </w:p>
    <w:p>
      <w:pPr>
        <w:spacing w:after="0" w:line="13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Prior to joining the Company, Ms. Lum, age 44, served as a principal of E2 Consulting, where she advised startup companies and non-profit organizations on strategic, financial and operational issues and also provided interim CFO services since 1998. From 1996 until 1998, Ms. Lum was Vice President of Finance and Administration and Chief Financial Officer of Nektar Therapeutics (previously Inhale Therapeutic Systems). Ms. Lum served as Vice President of Finance and Administration and Chief Financial Officer of Soane Technologies from 1995 until 1996, as Director of Corporate Development of GenPharm International from 1993 until 1995, and as Director of Finance and Administration, Industrial Sector and Corporate Operations Consultant, Corporate Operations Review Group of Raychem Corporation from 1989 until 1993. Ms. Lum holds a B.A. degree from Stanford University in Economics and an M.B.A. from the Stanford Graduate School of Business.</w:t>
      </w:r>
    </w:p>
    <w:p>
      <w:pPr>
        <w:spacing w:after="0" w:line="14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Ms. Lum is a signatory to a letter agreement between Ms. Lum and the Company which outlines certain terms and conditions of Ms. Lum’s employment. The agreement provides for annual compensation of $215,000 per year, which is subject to review at least annually by the Company’s compensation committee, beginning January, 2006. Ms. Lum is also eligible for an annual cash bonus under the Company’s bonus plan of up to twenty percent of her base salary. Ms. Lum will also receive a one-time sign-on bonus of $10,000. The agreement also provides for the grant of options to purchase 425,000 shares of the Company’s common stock at the closing price of the stock on the Nasdaq SmallCap Market on the date on which Ms. Lum begins her employment. The options shall vest over 48 months, with one-quarter of the shares vesting on the first anniversary of the date on which Ms. Lum’s employment begins and the remaining shares vesting at the rate of 1/48th per month on the last day of each month during the ensuing 36 months. As a condition of her employment, Ms. Lum is required to sign the Company’s standard form of confidentiality and assignment agreement. Ms. Lum’s employment is “at 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both"/>
        <w:ind w:left="2580"/>
        <w:spacing w:after="0"/>
        <w:tabs>
          <w:tab w:leader="none" w:pos="62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39370</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22" w:lineRule="exact"/>
        <w:rPr>
          <w:sz w:val="20"/>
          <w:szCs w:val="20"/>
          <w:color w:val="auto"/>
        </w:rPr>
      </w:pPr>
    </w:p>
    <w:p>
      <w:pPr>
        <w:ind w:left="2580"/>
        <w:spacing w:after="0"/>
        <w:tabs>
          <w:tab w:leader="none" w:pos="4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22123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45466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Martin McGlynn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Brandi Floberg or Bruce Voss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Lippert/Heilshorn &amp; Associates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(310) 691-7100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bfloberg@lhai.com</w:t>
      </w:r>
    </w:p>
    <w:p>
      <w:pPr>
        <w:spacing w:after="0" w:line="166" w:lineRule="exact"/>
        <w:rPr>
          <w:sz w:val="20"/>
          <w:szCs w:val="20"/>
          <w:color w:val="auto"/>
        </w:rPr>
      </w:pPr>
    </w:p>
    <w:p>
      <w:pPr>
        <w:sectPr>
          <w:pgSz w:w="11900" w:h="16838" w:orient="portrait"/>
          <w:cols w:equalWidth="0" w:num="2">
            <w:col w:w="4880" w:space="720"/>
            <w:col w:w="5820"/>
          </w:cols>
          <w:pgMar w:left="240" w:top="9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APPOINTS JUDI R. LUM CFO AND VP, FINANCE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PALO ALTO, Calif., (November 8, 2004) </w:t>
      </w:r>
      <w:r>
        <w:rPr>
          <w:rFonts w:ascii="Arial" w:cs="Arial" w:eastAsia="Arial" w:hAnsi="Arial"/>
          <w:sz w:val="18"/>
          <w:szCs w:val="18"/>
          <w:color w:val="auto"/>
        </w:rPr>
        <w:t>- StemCells, Inc. (NASDAQ: STEM) today announced the appointment of Judi R. Lum as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Vice President, Finance, effective immediately. George Koshy, who previously handled the senior financial duties in an interim capacity, will continue as StemCells’ Corporate Controller.</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extremely pleased to bring Judi on board to strengthen our management team at this significant juncture,” said Martin McGlynn, President and Chief Executive Officer of StemCells. “With our recent financing in place and the filing of our first IND for Batten Disease targeted for early next year, Judi’s financial and operational expertise and lifesciences background will serve to support the achievement of our corporate objectives.”</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Ms. Lum brings 20 years of finance experience to StemCells. She previously served as Chief Financial Officer of Inhale Therapeutic Systems (currently Nektar Therapeutics) where she was responsible for the accounting (including planning, tax, treasury and SEC reporting), human resources and IT functions. At Inhale she participated in raising $75 million in public and private equity and established $15 million in debt financing. Prior to Inhale she served as Chief Financial Officer at Soane Technologies, Director of Corporate Development at GenPharm International, Director of Finance at Raychem Corporation, and in finance and operations management capacities at Advanced Cardiovascular Systems. Ms. Lum received both her Bachelor’s Degree in Economics and her Master’s Degree in Business Administration from Stanford University.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www.stemcellsinc.com.</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spacing w:after="0" w:line="270" w:lineRule="auto"/>
        <w:rPr>
          <w:sz w:val="20"/>
          <w:szCs w:val="20"/>
          <w:color w:val="auto"/>
        </w:rPr>
      </w:pPr>
      <w:r>
        <w:rPr>
          <w:rFonts w:ascii="Arial" w:cs="Arial" w:eastAsia="Arial" w:hAnsi="Arial"/>
          <w:sz w:val="17"/>
          <w:szCs w:val="17"/>
          <w:i w:val="1"/>
          <w:iCs w:val="1"/>
          <w:color w:val="auto"/>
        </w:rPr>
        <w:t>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regarding the validity and enforceability of issued patents; the uncertainty whether any products that may be generated in the future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2019-12-11T22:04:18Z</dcterms:created>
  <dcterms:modified xsi:type="dcterms:W3CDTF">2019-12-11T22:04:18Z</dcterms:modified>
</cp:coreProperties>
</file>