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2007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0-19871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STEMCELLS,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gridSpan w:val="7"/>
          </w:tcPr>
          <w:p>
            <w:pPr>
              <w:jc w:val="center"/>
              <w:ind w:right="2520"/>
              <w:spacing w:after="0"/>
              <w:rPr>
                <w:sz w:val="20"/>
                <w:szCs w:val="20"/>
                <w:color w:val="auto"/>
              </w:rPr>
            </w:pPr>
            <w:r>
              <w:rPr>
                <w:rFonts w:ascii="Arial" w:cs="Arial" w:eastAsia="Arial" w:hAnsi="Arial"/>
                <w:sz w:val="18"/>
                <w:szCs w:val="18"/>
                <w:color w:val="auto"/>
                <w:w w:val="96"/>
              </w:rPr>
              <w:t>DELAWARE</w:t>
            </w:r>
          </w:p>
        </w:tc>
        <w:tc>
          <w:tcPr>
            <w:tcW w:w="3480" w:type="dxa"/>
            <w:vAlign w:val="bottom"/>
          </w:tcPr>
          <w:p>
            <w:pPr>
              <w:jc w:val="center"/>
              <w:ind w:right="1850"/>
              <w:spacing w:after="0"/>
              <w:rPr>
                <w:sz w:val="20"/>
                <w:szCs w:val="20"/>
                <w:color w:val="auto"/>
              </w:rPr>
            </w:pPr>
            <w:r>
              <w:rPr>
                <w:rFonts w:ascii="Arial" w:cs="Arial" w:eastAsia="Arial" w:hAnsi="Arial"/>
                <w:sz w:val="18"/>
                <w:szCs w:val="18"/>
                <w:color w:val="auto"/>
                <w:w w:val="89"/>
              </w:rPr>
              <w:t>94-3078125</w:t>
            </w:r>
          </w:p>
        </w:tc>
      </w:tr>
      <w:tr>
        <w:trPr>
          <w:trHeight w:val="209"/>
        </w:trPr>
        <w:tc>
          <w:tcPr>
            <w:tcW w:w="542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(State or other jurisdiction of</w:t>
            </w:r>
          </w:p>
        </w:tc>
        <w:tc>
          <w:tcPr>
            <w:tcW w:w="5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1850"/>
              <w:spacing w:after="0"/>
              <w:rPr>
                <w:sz w:val="20"/>
                <w:szCs w:val="20"/>
                <w:color w:val="auto"/>
              </w:rPr>
            </w:pPr>
            <w:r>
              <w:rPr>
                <w:rFonts w:ascii="Arial" w:cs="Arial" w:eastAsia="Arial" w:hAnsi="Arial"/>
                <w:sz w:val="18"/>
                <w:szCs w:val="18"/>
                <w:color w:val="auto"/>
                <w:w w:val="92"/>
              </w:rPr>
              <w:t>(I.R.S. Employer</w:t>
            </w:r>
          </w:p>
        </w:tc>
      </w:tr>
      <w:tr>
        <w:trPr>
          <w:trHeight w:val="230"/>
        </w:trPr>
        <w:tc>
          <w:tcPr>
            <w:tcW w:w="7940" w:type="dxa"/>
            <w:vAlign w:val="bottom"/>
            <w:gridSpan w:val="7"/>
          </w:tcPr>
          <w:p>
            <w:pPr>
              <w:jc w:val="center"/>
              <w:ind w:right="2500"/>
              <w:spacing w:after="0"/>
              <w:rPr>
                <w:sz w:val="20"/>
                <w:szCs w:val="20"/>
                <w:color w:val="auto"/>
              </w:rPr>
            </w:pPr>
            <w:r>
              <w:rPr>
                <w:rFonts w:ascii="Arial" w:cs="Arial" w:eastAsia="Arial" w:hAnsi="Arial"/>
                <w:sz w:val="18"/>
                <w:szCs w:val="18"/>
                <w:color w:val="auto"/>
                <w:w w:val="92"/>
              </w:rPr>
              <w:t>incorporation or organization)</w:t>
            </w:r>
          </w:p>
        </w:tc>
        <w:tc>
          <w:tcPr>
            <w:tcW w:w="3480" w:type="dxa"/>
            <w:vAlign w:val="bottom"/>
          </w:tcPr>
          <w:p>
            <w:pPr>
              <w:jc w:val="center"/>
              <w:ind w:right="1870"/>
              <w:spacing w:after="0"/>
              <w:rPr>
                <w:sz w:val="20"/>
                <w:szCs w:val="20"/>
                <w:color w:val="auto"/>
              </w:rPr>
            </w:pPr>
            <w:r>
              <w:rPr>
                <w:rFonts w:ascii="Arial" w:cs="Arial" w:eastAsia="Arial" w:hAnsi="Arial"/>
                <w:sz w:val="18"/>
                <w:szCs w:val="18"/>
                <w:color w:val="auto"/>
                <w:w w:val="95"/>
              </w:rPr>
              <w:t>identification No)</w:t>
            </w:r>
          </w:p>
        </w:tc>
      </w:tr>
      <w:tr>
        <w:trPr>
          <w:trHeight w:val="310"/>
        </w:trPr>
        <w:tc>
          <w:tcPr>
            <w:tcW w:w="4820" w:type="dxa"/>
            <w:vAlign w:val="bottom"/>
          </w:tcPr>
          <w:p>
            <w:pPr>
              <w:spacing w:after="0"/>
              <w:rPr>
                <w:sz w:val="24"/>
                <w:szCs w:val="24"/>
                <w:color w:val="auto"/>
              </w:rPr>
            </w:pPr>
          </w:p>
        </w:tc>
        <w:tc>
          <w:tcPr>
            <w:tcW w:w="3120" w:type="dxa"/>
            <w:vAlign w:val="bottom"/>
            <w:gridSpan w:val="6"/>
          </w:tcPr>
          <w:p>
            <w:pPr>
              <w:jc w:val="center"/>
              <w:ind w:right="1320"/>
              <w:spacing w:after="0"/>
              <w:rPr>
                <w:sz w:val="20"/>
                <w:szCs w:val="20"/>
                <w:color w:val="auto"/>
              </w:rPr>
            </w:pPr>
            <w:r>
              <w:rPr>
                <w:rFonts w:ascii="Arial" w:cs="Arial" w:eastAsia="Arial" w:hAnsi="Arial"/>
                <w:sz w:val="18"/>
                <w:szCs w:val="18"/>
                <w:color w:val="auto"/>
                <w:w w:val="93"/>
              </w:rPr>
              <w:t>3155 PORTER DRIVE</w:t>
            </w:r>
          </w:p>
        </w:tc>
        <w:tc>
          <w:tcPr>
            <w:tcW w:w="3480" w:type="dxa"/>
            <w:vAlign w:val="bottom"/>
          </w:tcPr>
          <w:p>
            <w:pPr>
              <w:spacing w:after="0"/>
              <w:rPr>
                <w:sz w:val="24"/>
                <w:szCs w:val="24"/>
                <w:color w:val="auto"/>
              </w:rPr>
            </w:pPr>
          </w:p>
        </w:tc>
      </w:tr>
      <w:tr>
        <w:trPr>
          <w:trHeight w:val="190"/>
        </w:trPr>
        <w:tc>
          <w:tcPr>
            <w:tcW w:w="4820" w:type="dxa"/>
            <w:vAlign w:val="bottom"/>
          </w:tcPr>
          <w:p>
            <w:pPr>
              <w:spacing w:after="0"/>
              <w:rPr>
                <w:sz w:val="16"/>
                <w:szCs w:val="16"/>
                <w:color w:val="auto"/>
              </w:rPr>
            </w:pPr>
          </w:p>
        </w:tc>
        <w:tc>
          <w:tcPr>
            <w:tcW w:w="1800" w:type="dxa"/>
            <w:vAlign w:val="bottom"/>
            <w:tcBorders>
              <w:bottom w:val="single" w:sz="8" w:color="auto"/>
            </w:tcBorders>
            <w:gridSpan w:val="5"/>
          </w:tcPr>
          <w:p>
            <w:pPr>
              <w:jc w:val="center"/>
              <w:spacing w:after="0" w:line="190" w:lineRule="exact"/>
              <w:rPr>
                <w:sz w:val="20"/>
                <w:szCs w:val="20"/>
                <w:color w:val="auto"/>
              </w:rPr>
            </w:pPr>
            <w:r>
              <w:rPr>
                <w:rFonts w:ascii="Arial" w:cs="Arial" w:eastAsia="Arial" w:hAnsi="Arial"/>
                <w:sz w:val="18"/>
                <w:szCs w:val="18"/>
                <w:color w:val="auto"/>
                <w:w w:val="94"/>
              </w:rPr>
              <w:t>PALO ALTO, CA 94304</w:t>
            </w:r>
          </w:p>
        </w:tc>
        <w:tc>
          <w:tcPr>
            <w:tcW w:w="1320" w:type="dxa"/>
            <w:vAlign w:val="bottom"/>
          </w:tcPr>
          <w:p>
            <w:pPr>
              <w:spacing w:after="0"/>
              <w:rPr>
                <w:sz w:val="16"/>
                <w:szCs w:val="16"/>
                <w:color w:val="auto"/>
              </w:rPr>
            </w:pPr>
          </w:p>
        </w:tc>
        <w:tc>
          <w:tcPr>
            <w:tcW w:w="3480" w:type="dxa"/>
            <w:vAlign w:val="bottom"/>
          </w:tcPr>
          <w:p>
            <w:pPr>
              <w:spacing w:after="0"/>
              <w:rPr>
                <w:sz w:val="16"/>
                <w:szCs w:val="16"/>
                <w:color w:val="auto"/>
              </w:rPr>
            </w:pPr>
          </w:p>
        </w:tc>
      </w:tr>
      <w:tr>
        <w:trPr>
          <w:trHeight w:val="237"/>
        </w:trPr>
        <w:tc>
          <w:tcPr>
            <w:tcW w:w="7940" w:type="dxa"/>
            <w:vAlign w:val="bottom"/>
            <w:gridSpan w:val="7"/>
          </w:tcPr>
          <w:p>
            <w:pPr>
              <w:jc w:val="center"/>
              <w:ind w:left="339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480" w:type="dxa"/>
            <w:vAlign w:val="bottom"/>
          </w:tcPr>
          <w:p>
            <w:pPr>
              <w:spacing w:after="0"/>
              <w:rPr>
                <w:sz w:val="20"/>
                <w:szCs w:val="20"/>
                <w:color w:val="auto"/>
              </w:rPr>
            </w:pPr>
          </w:p>
        </w:tc>
      </w:tr>
      <w:tr>
        <w:trPr>
          <w:trHeight w:val="284"/>
        </w:trPr>
        <w:tc>
          <w:tcPr>
            <w:tcW w:w="6280" w:type="dxa"/>
            <w:vAlign w:val="bottom"/>
            <w:gridSpan w:val="5"/>
          </w:tcPr>
          <w:p>
            <w:pPr>
              <w:jc w:val="center"/>
              <w:ind w:left="5070"/>
              <w:spacing w:after="0"/>
              <w:rPr>
                <w:sz w:val="20"/>
                <w:szCs w:val="20"/>
                <w:color w:val="auto"/>
              </w:rPr>
            </w:pPr>
            <w:r>
              <w:rPr>
                <w:rFonts w:ascii="Arial" w:cs="Arial" w:eastAsia="Arial" w:hAnsi="Arial"/>
                <w:sz w:val="18"/>
                <w:szCs w:val="18"/>
                <w:color w:val="auto"/>
                <w:w w:val="90"/>
              </w:rPr>
              <w:t>(650) 475-3100</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0"/>
        </w:trPr>
        <w:tc>
          <w:tcPr>
            <w:tcW w:w="5220" w:type="dxa"/>
            <w:vAlign w:val="bottom"/>
            <w:gridSpan w:val="2"/>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37"/>
        </w:trPr>
        <w:tc>
          <w:tcPr>
            <w:tcW w:w="7940" w:type="dxa"/>
            <w:vAlign w:val="bottom"/>
            <w:gridSpan w:val="7"/>
          </w:tcPr>
          <w:p>
            <w:pPr>
              <w:jc w:val="center"/>
              <w:ind w:left="3390"/>
              <w:spacing w:after="0"/>
              <w:rPr>
                <w:sz w:val="20"/>
                <w:szCs w:val="20"/>
                <w:color w:val="auto"/>
              </w:rPr>
            </w:pPr>
            <w:r>
              <w:rPr>
                <w:rFonts w:ascii="Arial" w:cs="Arial" w:eastAsia="Arial" w:hAnsi="Arial"/>
                <w:sz w:val="18"/>
                <w:szCs w:val="18"/>
                <w:color w:val="auto"/>
                <w:w w:val="90"/>
              </w:rPr>
              <w:t>(Registrant’s telephone number, including area code)</w:t>
            </w:r>
          </w:p>
        </w:tc>
        <w:tc>
          <w:tcPr>
            <w:tcW w:w="3480" w:type="dxa"/>
            <w:vAlign w:val="bottom"/>
          </w:tcPr>
          <w:p>
            <w:pPr>
              <w:spacing w:after="0"/>
              <w:rPr>
                <w:sz w:val="20"/>
                <w:szCs w:val="20"/>
                <w:color w:val="auto"/>
              </w:rPr>
            </w:pPr>
          </w:p>
        </w:tc>
      </w:tr>
    </w:tbl>
    <w:p>
      <w:pPr>
        <w:spacing w:after="0" w:line="94"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3260"/>
        <w:spacing w:after="0" w:line="207" w:lineRule="exact"/>
        <w:rPr>
          <w:sz w:val="20"/>
          <w:szCs w:val="20"/>
          <w:color w:val="auto"/>
        </w:rPr>
      </w:pPr>
      <w:r>
        <w:rPr>
          <w:rFonts w:ascii="Arial" w:cs="Arial" w:eastAsia="Arial" w:hAnsi="Arial"/>
          <w:sz w:val="18"/>
          <w:szCs w:val="18"/>
          <w:color w:val="auto"/>
        </w:rPr>
        <w:t xml:space="preserve">Large accelerated filer o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o</w:t>
      </w:r>
    </w:p>
    <w:p>
      <w:pPr>
        <w:spacing w:after="0" w:line="7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At July 24, 2007, there were 80,068,593 shares of Common Stock, $.01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STEMCELLS,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00" w:type="dxa"/>
            <w:vAlign w:val="bottom"/>
            <w:gridSpan w:val="13"/>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6480" w:type="dxa"/>
            <w:vAlign w:val="bottom"/>
            <w:gridSpan w:val="10"/>
            <w:vMerge w:val="restart"/>
          </w:tcPr>
          <w:p>
            <w:pPr>
              <w:spacing w:after="0"/>
              <w:rPr>
                <w:sz w:val="15"/>
                <w:szCs w:val="15"/>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Page Number</w:t>
            </w:r>
          </w:p>
        </w:tc>
        <w:tc>
          <w:tcPr>
            <w:tcW w:w="0" w:type="dxa"/>
            <w:vAlign w:val="bottom"/>
          </w:tcPr>
          <w:p>
            <w:pPr>
              <w:spacing w:after="0"/>
              <w:rPr>
                <w:sz w:val="1"/>
                <w:szCs w:val="1"/>
                <w:color w:val="auto"/>
              </w:rPr>
            </w:pPr>
          </w:p>
        </w:tc>
      </w:tr>
      <w:tr>
        <w:trPr>
          <w:trHeight w:val="166"/>
        </w:trPr>
        <w:tc>
          <w:tcPr>
            <w:tcW w:w="2900" w:type="dxa"/>
            <w:vAlign w:val="bottom"/>
            <w:tcBorders>
              <w:bottom w:val="single" w:sz="8" w:color="0000EE"/>
            </w:tcBorders>
            <w:gridSpan w:val="13"/>
            <w:vMerge w:val="continue"/>
          </w:tcPr>
          <w:p>
            <w:pPr>
              <w:spacing w:after="0"/>
              <w:rPr>
                <w:sz w:val="13"/>
                <w:szCs w:val="13"/>
                <w:color w:val="auto"/>
              </w:rPr>
            </w:pPr>
          </w:p>
        </w:tc>
        <w:tc>
          <w:tcPr>
            <w:tcW w:w="6480" w:type="dxa"/>
            <w:vAlign w:val="bottom"/>
            <w:gridSpan w:val="10"/>
            <w:vMerge w:val="continue"/>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938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2040" w:type="dxa"/>
            <w:vAlign w:val="bottom"/>
          </w:tcPr>
          <w:p>
            <w:pPr>
              <w:jc w:val="right"/>
              <w:ind w:right="2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June 30, 2007 and December 31, 2006</w:t>
              </w:r>
            </w:hyperlink>
          </w:p>
        </w:tc>
        <w:tc>
          <w:tcPr>
            <w:tcW w:w="3240" w:type="dxa"/>
            <w:vAlign w:val="bottom"/>
            <w:gridSpan w:val="4"/>
          </w:tcPr>
          <w:p>
            <w:pPr>
              <w:spacing w:after="0"/>
              <w:rPr>
                <w:sz w:val="24"/>
                <w:szCs w:val="24"/>
                <w:color w:val="auto"/>
              </w:rPr>
            </w:pPr>
          </w:p>
        </w:tc>
        <w:tc>
          <w:tcPr>
            <w:tcW w:w="2040" w:type="dxa"/>
            <w:vAlign w:val="bottom"/>
          </w:tcPr>
          <w:p>
            <w:pPr>
              <w:jc w:val="right"/>
              <w:ind w:right="2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16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and six months ended June 30, 2007 and 2006</w:t>
              </w:r>
            </w:hyperlink>
          </w:p>
        </w:tc>
        <w:tc>
          <w:tcPr>
            <w:tcW w:w="2040" w:type="dxa"/>
            <w:vAlign w:val="bottom"/>
          </w:tcPr>
          <w:p>
            <w:pPr>
              <w:jc w:val="right"/>
              <w:ind w:right="25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40" w:type="dxa"/>
            <w:vAlign w:val="bottom"/>
            <w:tcBorders>
              <w:top w:val="single" w:sz="8" w:color="0000EE"/>
            </w:tcBorders>
            <w:gridSpan w:val="20"/>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for the six months ended June 30, 2007 and 2006</w:t>
              </w:r>
            </w:hyperlink>
          </w:p>
        </w:tc>
        <w:tc>
          <w:tcPr>
            <w:tcW w:w="1220" w:type="dxa"/>
            <w:vAlign w:val="bottom"/>
          </w:tcPr>
          <w:p>
            <w:pPr>
              <w:spacing w:after="0"/>
              <w:rPr>
                <w:sz w:val="24"/>
                <w:szCs w:val="24"/>
                <w:color w:val="auto"/>
              </w:rPr>
            </w:pPr>
          </w:p>
        </w:tc>
        <w:tc>
          <w:tcPr>
            <w:tcW w:w="2040" w:type="dxa"/>
            <w:vAlign w:val="bottom"/>
          </w:tcPr>
          <w:p>
            <w:pPr>
              <w:jc w:val="right"/>
              <w:ind w:right="25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80" w:type="dxa"/>
            <w:vAlign w:val="bottom"/>
            <w:tcBorders>
              <w:top w:val="single" w:sz="8" w:color="0000EE"/>
            </w:tcBorders>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880" w:type="dxa"/>
            <w:vAlign w:val="bottom"/>
            <w:gridSpan w:val="2"/>
          </w:tcPr>
          <w:p>
            <w:pPr>
              <w:spacing w:after="0"/>
              <w:rPr>
                <w:sz w:val="24"/>
                <w:szCs w:val="24"/>
                <w:color w:val="auto"/>
              </w:rPr>
            </w:pPr>
          </w:p>
        </w:tc>
        <w:tc>
          <w:tcPr>
            <w:tcW w:w="2040" w:type="dxa"/>
            <w:vAlign w:val="bottom"/>
          </w:tcPr>
          <w:p>
            <w:pPr>
              <w:jc w:val="right"/>
              <w:ind w:right="25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380" w:type="dxa"/>
            <w:vAlign w:val="bottom"/>
            <w:gridSpan w:val="2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2. Management’s Discussion and Analysis of Financial Condition and Results of Operations</w:t>
              </w:r>
            </w:hyperlink>
          </w:p>
        </w:tc>
        <w:tc>
          <w:tcPr>
            <w:tcW w:w="2040" w:type="dxa"/>
            <w:vAlign w:val="bottom"/>
          </w:tcPr>
          <w:p>
            <w:pPr>
              <w:jc w:val="right"/>
              <w:ind w:right="25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494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360" w:type="dxa"/>
            <w:vAlign w:val="bottom"/>
            <w:gridSpan w:val="3"/>
          </w:tcPr>
          <w:p>
            <w:pPr>
              <w:spacing w:after="0"/>
              <w:rPr>
                <w:sz w:val="24"/>
                <w:szCs w:val="24"/>
                <w:color w:val="auto"/>
              </w:rPr>
            </w:pPr>
          </w:p>
        </w:tc>
        <w:tc>
          <w:tcPr>
            <w:tcW w:w="2040" w:type="dxa"/>
            <w:vAlign w:val="bottom"/>
          </w:tcPr>
          <w:p>
            <w:pPr>
              <w:jc w:val="right"/>
              <w:ind w:right="25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23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Item 4. Controls and Procedures</w:t>
              </w:r>
            </w:hyperlink>
          </w:p>
        </w:tc>
        <w:tc>
          <w:tcPr>
            <w:tcW w:w="7040" w:type="dxa"/>
            <w:vAlign w:val="bottom"/>
            <w:gridSpan w:val="13"/>
          </w:tcPr>
          <w:p>
            <w:pPr>
              <w:spacing w:after="0"/>
              <w:rPr>
                <w:sz w:val="24"/>
                <w:szCs w:val="24"/>
                <w:color w:val="auto"/>
              </w:rPr>
            </w:pPr>
          </w:p>
        </w:tc>
        <w:tc>
          <w:tcPr>
            <w:tcW w:w="2040" w:type="dxa"/>
            <w:vAlign w:val="bottom"/>
          </w:tcPr>
          <w:p>
            <w:pPr>
              <w:jc w:val="right"/>
              <w:ind w:right="25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9380" w:type="dxa"/>
            <w:vAlign w:val="bottom"/>
            <w:gridSpan w:val="2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PART II. OTHER INFORMATION</w:t>
              </w:r>
            </w:hyperlink>
          </w:p>
        </w:tc>
        <w:tc>
          <w:tcPr>
            <w:tcW w:w="2040" w:type="dxa"/>
            <w:vAlign w:val="bottom"/>
          </w:tcPr>
          <w:p>
            <w:pPr>
              <w:jc w:val="right"/>
              <w:ind w:right="25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19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2"/>
          </w:tcPr>
          <w:p>
            <w:pPr>
              <w:spacing w:after="0"/>
              <w:rPr>
                <w:sz w:val="24"/>
                <w:szCs w:val="24"/>
                <w:color w:val="auto"/>
              </w:rPr>
            </w:pPr>
          </w:p>
        </w:tc>
        <w:tc>
          <w:tcPr>
            <w:tcW w:w="6800" w:type="dxa"/>
            <w:vAlign w:val="bottom"/>
            <w:gridSpan w:val="12"/>
          </w:tcPr>
          <w:p>
            <w:pPr>
              <w:spacing w:after="0"/>
              <w:rPr>
                <w:sz w:val="24"/>
                <w:szCs w:val="24"/>
                <w:color w:val="auto"/>
              </w:rPr>
            </w:pPr>
          </w:p>
        </w:tc>
        <w:tc>
          <w:tcPr>
            <w:tcW w:w="2040" w:type="dxa"/>
            <w:vAlign w:val="bottom"/>
          </w:tcPr>
          <w:p>
            <w:pPr>
              <w:jc w:val="right"/>
              <w:ind w:right="25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1A. Risk Factors</w:t>
              </w:r>
            </w:hyperlink>
          </w:p>
        </w:tc>
        <w:tc>
          <w:tcPr>
            <w:tcW w:w="7780" w:type="dxa"/>
            <w:vAlign w:val="bottom"/>
            <w:gridSpan w:val="16"/>
          </w:tcPr>
          <w:p>
            <w:pPr>
              <w:spacing w:after="0"/>
              <w:rPr>
                <w:sz w:val="24"/>
                <w:szCs w:val="24"/>
                <w:color w:val="auto"/>
              </w:rPr>
            </w:pPr>
          </w:p>
        </w:tc>
        <w:tc>
          <w:tcPr>
            <w:tcW w:w="2040" w:type="dxa"/>
            <w:vAlign w:val="bottom"/>
          </w:tcPr>
          <w:p>
            <w:pPr>
              <w:jc w:val="right"/>
              <w:ind w:right="25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49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Item 2. Unregistered Sales of Equity Securities and Use of Proceeds</w:t>
              </w:r>
            </w:hyperlink>
          </w:p>
        </w:tc>
        <w:tc>
          <w:tcPr>
            <w:tcW w:w="4460" w:type="dxa"/>
            <w:vAlign w:val="bottom"/>
            <w:gridSpan w:val="6"/>
          </w:tcPr>
          <w:p>
            <w:pPr>
              <w:spacing w:after="0"/>
              <w:rPr>
                <w:sz w:val="24"/>
                <w:szCs w:val="24"/>
                <w:color w:val="auto"/>
              </w:rPr>
            </w:pPr>
          </w:p>
        </w:tc>
        <w:tc>
          <w:tcPr>
            <w:tcW w:w="2040" w:type="dxa"/>
            <w:vAlign w:val="bottom"/>
          </w:tcPr>
          <w:p>
            <w:pPr>
              <w:jc w:val="right"/>
              <w:ind w:right="25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9380" w:type="dxa"/>
            <w:vAlign w:val="bottom"/>
            <w:gridSpan w:val="2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3. Defaults Upon Senior Securities</w:t>
              </w:r>
            </w:hyperlink>
          </w:p>
        </w:tc>
        <w:tc>
          <w:tcPr>
            <w:tcW w:w="2040" w:type="dxa"/>
            <w:vAlign w:val="bottom"/>
          </w:tcPr>
          <w:p>
            <w:pPr>
              <w:jc w:val="right"/>
              <w:ind w:right="25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380" w:type="dxa"/>
            <w:vAlign w:val="bottom"/>
            <w:gridSpan w:val="2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4. Submission of Matters to a Vote of Security-Holders</w:t>
              </w:r>
            </w:hyperlink>
          </w:p>
        </w:tc>
        <w:tc>
          <w:tcPr>
            <w:tcW w:w="2040" w:type="dxa"/>
            <w:vAlign w:val="bottom"/>
          </w:tcPr>
          <w:p>
            <w:pPr>
              <w:jc w:val="right"/>
              <w:ind w:right="25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Item 5. Other Information</w:t>
              </w:r>
            </w:hyperlink>
          </w:p>
        </w:tc>
        <w:tc>
          <w:tcPr>
            <w:tcW w:w="2460" w:type="dxa"/>
            <w:vAlign w:val="bottom"/>
            <w:tcBorders>
              <w:top w:val="single" w:sz="8" w:color="0000EE"/>
            </w:tcBorders>
            <w:gridSpan w:val="8"/>
          </w:tcPr>
          <w:p>
            <w:pPr>
              <w:spacing w:after="0"/>
              <w:rPr>
                <w:sz w:val="24"/>
                <w:szCs w:val="24"/>
                <w:color w:val="auto"/>
              </w:rPr>
            </w:pPr>
          </w:p>
        </w:tc>
        <w:tc>
          <w:tcPr>
            <w:tcW w:w="5040" w:type="dxa"/>
            <w:vAlign w:val="bottom"/>
            <w:gridSpan w:val="7"/>
          </w:tcPr>
          <w:p>
            <w:pPr>
              <w:spacing w:after="0"/>
              <w:rPr>
                <w:sz w:val="24"/>
                <w:szCs w:val="24"/>
                <w:color w:val="auto"/>
              </w:rPr>
            </w:pPr>
          </w:p>
        </w:tc>
        <w:tc>
          <w:tcPr>
            <w:tcW w:w="2040" w:type="dxa"/>
            <w:vAlign w:val="bottom"/>
          </w:tcPr>
          <w:p>
            <w:pPr>
              <w:jc w:val="right"/>
              <w:ind w:right="25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9380" w:type="dxa"/>
            <w:vAlign w:val="bottom"/>
            <w:gridSpan w:val="2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6. Exhibits</w:t>
              </w:r>
            </w:hyperlink>
          </w:p>
        </w:tc>
        <w:tc>
          <w:tcPr>
            <w:tcW w:w="2040" w:type="dxa"/>
            <w:vAlign w:val="bottom"/>
          </w:tcPr>
          <w:p>
            <w:pPr>
              <w:jc w:val="right"/>
              <w:ind w:right="25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11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SIGNATURES</w:t>
              </w:r>
            </w:hyperlink>
          </w:p>
        </w:tc>
        <w:tc>
          <w:tcPr>
            <w:tcW w:w="20" w:type="dxa"/>
            <w:vAlign w:val="bottom"/>
            <w:tcBorders>
              <w:top w:val="single" w:sz="8" w:color="0000EE"/>
            </w:tcBorders>
          </w:tcPr>
          <w:p>
            <w:pPr>
              <w:spacing w:after="0"/>
              <w:rPr>
                <w:sz w:val="24"/>
                <w:szCs w:val="24"/>
                <w:color w:val="auto"/>
              </w:rPr>
            </w:pPr>
          </w:p>
        </w:tc>
        <w:tc>
          <w:tcPr>
            <w:tcW w:w="8220" w:type="dxa"/>
            <w:vAlign w:val="bottom"/>
            <w:gridSpan w:val="17"/>
          </w:tcPr>
          <w:p>
            <w:pPr>
              <w:spacing w:after="0"/>
              <w:rPr>
                <w:sz w:val="24"/>
                <w:szCs w:val="24"/>
                <w:color w:val="auto"/>
              </w:rPr>
            </w:pPr>
          </w:p>
        </w:tc>
        <w:tc>
          <w:tcPr>
            <w:tcW w:w="2040" w:type="dxa"/>
            <w:vAlign w:val="bottom"/>
          </w:tcPr>
          <w:p>
            <w:pPr>
              <w:jc w:val="right"/>
              <w:ind w:right="25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4"/>
              </w:rPr>
              <w:t>EXHIBIT 31.1</w:t>
            </w:r>
          </w:p>
        </w:tc>
        <w:tc>
          <w:tcPr>
            <w:tcW w:w="8260" w:type="dxa"/>
            <w:vAlign w:val="bottom"/>
            <w:gridSpan w:val="19"/>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4"/>
              </w:rPr>
              <w:t>EXHIBIT 31.2</w:t>
            </w:r>
          </w:p>
        </w:tc>
        <w:tc>
          <w:tcPr>
            <w:tcW w:w="8260" w:type="dxa"/>
            <w:vAlign w:val="bottom"/>
            <w:gridSpan w:val="19"/>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4"/>
              </w:rPr>
              <w:t>EXHIBIT 32.1</w:t>
            </w:r>
          </w:p>
        </w:tc>
        <w:tc>
          <w:tcPr>
            <w:tcW w:w="8260" w:type="dxa"/>
            <w:vAlign w:val="bottom"/>
            <w:gridSpan w:val="19"/>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320" w:type="dxa"/>
            <w:vAlign w:val="bottom"/>
            <w:gridSpan w:val="22"/>
          </w:tcPr>
          <w:p>
            <w:pPr>
              <w:spacing w:after="0" w:line="196" w:lineRule="exact"/>
              <w:rPr>
                <w:sz w:val="20"/>
                <w:szCs w:val="20"/>
                <w:color w:val="auto"/>
              </w:rPr>
            </w:pPr>
            <w:r>
              <w:rPr>
                <w:rFonts w:ascii="Arial" w:cs="Arial" w:eastAsia="Arial" w:hAnsi="Arial"/>
                <w:sz w:val="18"/>
                <w:szCs w:val="18"/>
                <w:color w:val="0000EE"/>
              </w:rPr>
              <w:t>EXHIBIT 32.2</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1040" w:type="dxa"/>
            <w:vAlign w:val="bottom"/>
            <w:tcBorders>
              <w:top w:val="single" w:sz="8" w:color="0000EE"/>
            </w:tcBorders>
            <w:gridSpan w:val="2"/>
          </w:tcPr>
          <w:p>
            <w:pPr>
              <w:spacing w:after="0"/>
              <w:rPr>
                <w:sz w:val="24"/>
                <w:szCs w:val="24"/>
                <w:color w:val="auto"/>
              </w:rPr>
            </w:pPr>
          </w:p>
        </w:tc>
        <w:tc>
          <w:tcPr>
            <w:tcW w:w="5040" w:type="dxa"/>
            <w:vAlign w:val="bottom"/>
            <w:gridSpan w:val="16"/>
          </w:tcPr>
          <w:p>
            <w:pPr>
              <w:jc w:val="right"/>
              <w:ind w:right="380"/>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4"/>
                <w:szCs w:val="14"/>
                <w:color w:val="auto"/>
                <w:w w:val="92"/>
              </w:rPr>
              <w:t>June 30, 2007</w:t>
            </w:r>
          </w:p>
        </w:tc>
        <w:tc>
          <w:tcPr>
            <w:tcW w:w="300" w:type="dxa"/>
            <w:vAlign w:val="bottom"/>
          </w:tcPr>
          <w:p>
            <w:pPr>
              <w:spacing w:after="0"/>
              <w:rPr>
                <w:sz w:val="14"/>
                <w:szCs w:val="14"/>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color w:val="auto"/>
                <w:w w:val="91"/>
              </w:rPr>
              <w:t>December 31, 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(unaudited)</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49,182,102</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51,795,529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Arial" w:cs="Arial" w:eastAsia="Arial" w:hAnsi="Arial"/>
                <w:sz w:val="18"/>
                <w:szCs w:val="18"/>
                <w:color w:val="auto"/>
              </w:rPr>
              <w:t>Receivables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370,117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1,193,709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4,132,646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50,745,928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57,530,492</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8420" w:type="dxa"/>
            <w:vAlign w:val="bottom"/>
          </w:tcPr>
          <w:p>
            <w:pPr>
              <w:ind w:left="40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2,273,443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3,133,632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3,422,746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3,596,150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Arial" w:cs="Arial" w:eastAsia="Arial" w:hAnsi="Arial"/>
                <w:sz w:val="18"/>
                <w:szCs w:val="18"/>
                <w:color w:val="auto"/>
              </w:rPr>
              <w:t>Other assets,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2,568,343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2,596,543</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59,010,460</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66,856,817</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699,184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620,765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1,710,243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Arial" w:cs="Arial" w:eastAsia="Arial" w:hAnsi="Arial"/>
                <w:sz w:val="18"/>
                <w:szCs w:val="18"/>
                <w:color w:val="auto"/>
              </w:rPr>
              <w:t>Accrued wind-down expenses, current portion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1,052,826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1,252,483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 current portion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16,826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Arial" w:cs="Arial" w:eastAsia="Arial" w:hAnsi="Arial"/>
                <w:sz w:val="18"/>
                <w:szCs w:val="18"/>
                <w:color w:val="auto"/>
              </w:rPr>
              <w:t>Capital lease obligations, current portion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17,005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Bonds payable, current portion</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140,833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84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3,636,917</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4,149,809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non-current portion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34,100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Bonds payable, non-current portion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1,080,416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1,145,416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long-term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466,211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Accrued wind-down expenses, non-current portion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5,345,340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5,497,774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850,598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Deferred revenue, non-current portion</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172,278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11,585,860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12,480,814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Common stock, $.01 par value; 125,000,000 shares authorized; 80,051,767 and 78,046,304 shares issued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outstanding at June 30, 2007 and December 31, 2006, respectively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800,517</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Additional paid 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261,556,025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255,299,508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9"/>
              </w:rPr>
              <w:t>(214,935,687)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(204,891,945)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3,187,978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47,424,600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54,376,003</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59,010,460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66,856,817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accompanying notes to condensed consolidated financial statements .</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6"/>
          </w:tcPr>
          <w:p>
            <w:pPr>
              <w:jc w:val="right"/>
              <w:ind w:right="1020"/>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5"/>
          </w:tcPr>
          <w:p>
            <w:pPr>
              <w:jc w:val="right"/>
              <w:ind w:right="9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4"/>
                <w:szCs w:val="14"/>
                <w:color w:val="auto"/>
              </w:rPr>
              <w:t>2007</w:t>
            </w:r>
          </w:p>
        </w:tc>
        <w:tc>
          <w:tcPr>
            <w:tcW w:w="580" w:type="dxa"/>
            <w:vAlign w:val="bottom"/>
          </w:tcPr>
          <w:p>
            <w:pPr>
              <w:jc w:val="right"/>
              <w:spacing w:after="0"/>
              <w:rPr>
                <w:sz w:val="20"/>
                <w:szCs w:val="20"/>
                <w:color w:val="auto"/>
              </w:rPr>
            </w:pPr>
            <w:r>
              <w:rPr>
                <w:rFonts w:ascii="Arial" w:cs="Arial" w:eastAsia="Arial" w:hAnsi="Arial"/>
                <w:sz w:val="14"/>
                <w:szCs w:val="14"/>
                <w:color w:val="auto"/>
                <w:w w:val="96"/>
              </w:rPr>
              <w:t>June 30,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ind w:right="271"/>
              <w:spacing w:after="0"/>
              <w:rPr>
                <w:sz w:val="20"/>
                <w:szCs w:val="20"/>
                <w:color w:val="auto"/>
              </w:rPr>
            </w:pPr>
            <w:r>
              <w:rPr>
                <w:rFonts w:ascii="Arial" w:cs="Arial" w:eastAsia="Arial" w:hAnsi="Arial"/>
                <w:sz w:val="14"/>
                <w:szCs w:val="14"/>
                <w:color w:val="auto"/>
              </w:rPr>
              <w:t>2006</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ind w:right="292"/>
              <w:spacing w:after="0"/>
              <w:rPr>
                <w:sz w:val="20"/>
                <w:szCs w:val="20"/>
                <w:color w:val="auto"/>
              </w:rPr>
            </w:pPr>
            <w:r>
              <w:rPr>
                <w:rFonts w:ascii="Arial" w:cs="Arial" w:eastAsia="Arial" w:hAnsi="Arial"/>
                <w:sz w:val="14"/>
                <w:szCs w:val="14"/>
                <w:color w:val="auto"/>
              </w:rPr>
              <w:t>2007</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w w:val="89"/>
              </w:rPr>
              <w:t>June 30,</w:t>
            </w:r>
          </w:p>
        </w:tc>
        <w:tc>
          <w:tcPr>
            <w:tcW w:w="160" w:type="dxa"/>
            <w:vAlign w:val="bottom"/>
          </w:tcPr>
          <w:p>
            <w:pPr>
              <w:spacing w:after="0"/>
              <w:rPr>
                <w:sz w:val="15"/>
                <w:szCs w:val="15"/>
                <w:color w:val="auto"/>
              </w:rPr>
            </w:pPr>
          </w:p>
        </w:tc>
        <w:tc>
          <w:tcPr>
            <w:tcW w:w="820" w:type="dxa"/>
            <w:vAlign w:val="bottom"/>
            <w:vMerge w:val="restart"/>
          </w:tcPr>
          <w:p>
            <w:pPr>
              <w:jc w:val="right"/>
              <w:ind w:right="271"/>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Revenue from grants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 from licensing agreements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7,840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20,535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13,786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24,535</w:t>
            </w:r>
          </w:p>
        </w:tc>
        <w:tc>
          <w:tcPr>
            <w:tcW w:w="0" w:type="dxa"/>
            <w:vAlign w:val="bottom"/>
          </w:tcPr>
          <w:p>
            <w:pPr>
              <w:spacing w:after="0"/>
              <w:rPr>
                <w:sz w:val="1"/>
                <w:szCs w:val="1"/>
                <w:color w:val="auto"/>
              </w:rPr>
            </w:pPr>
          </w:p>
        </w:tc>
      </w:tr>
      <w:tr>
        <w:trPr>
          <w:trHeight w:val="20"/>
        </w:trPr>
        <w:tc>
          <w:tcPr>
            <w:tcW w:w="55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5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24"/>
                <w:szCs w:val="24"/>
                <w:color w:val="auto"/>
              </w:rPr>
            </w:pP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7.840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20,535</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right"/>
              <w:ind w:right="528"/>
              <w:spacing w:after="0"/>
              <w:rPr>
                <w:sz w:val="20"/>
                <w:szCs w:val="20"/>
                <w:color w:val="auto"/>
              </w:rPr>
            </w:pPr>
            <w:r>
              <w:rPr>
                <w:rFonts w:ascii="Arial" w:cs="Arial" w:eastAsia="Arial" w:hAnsi="Arial"/>
                <w:sz w:val="18"/>
                <w:szCs w:val="18"/>
                <w:color w:val="auto"/>
              </w:rPr>
              <w:t>13,786</w:t>
            </w:r>
          </w:p>
        </w:tc>
        <w:tc>
          <w:tcPr>
            <w:tcW w:w="16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w w:val="99"/>
              </w:rPr>
              <w:t>4,498,204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3,187,513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528"/>
              <w:spacing w:after="0"/>
              <w:rPr>
                <w:sz w:val="20"/>
                <w:szCs w:val="20"/>
                <w:color w:val="auto"/>
              </w:rPr>
            </w:pPr>
            <w:r>
              <w:rPr>
                <w:rFonts w:ascii="Arial" w:cs="Arial" w:eastAsia="Arial" w:hAnsi="Arial"/>
                <w:sz w:val="18"/>
                <w:szCs w:val="18"/>
                <w:color w:val="auto"/>
              </w:rPr>
              <w:t>8,517,342</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5,879,394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w w:val="99"/>
              </w:rPr>
              <w:t>1,408,657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1,412,513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3,673,205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3,089,837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140" w:type="dxa"/>
            <w:vAlign w:val="bottom"/>
          </w:tcPr>
          <w:p>
            <w:pPr>
              <w:spacing w:after="0"/>
              <w:rPr>
                <w:sz w:val="18"/>
                <w:szCs w:val="18"/>
                <w:color w:val="auto"/>
              </w:rPr>
            </w:pP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134,045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174,901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528"/>
              <w:spacing w:after="0"/>
              <w:rPr>
                <w:sz w:val="20"/>
                <w:szCs w:val="20"/>
                <w:color w:val="auto"/>
              </w:rPr>
            </w:pPr>
            <w:r>
              <w:rPr>
                <w:rFonts w:ascii="Arial" w:cs="Arial" w:eastAsia="Arial" w:hAnsi="Arial"/>
                <w:sz w:val="18"/>
                <w:szCs w:val="18"/>
                <w:color w:val="auto"/>
              </w:rPr>
              <w:t>355,810</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331,018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5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w w:val="99"/>
              </w:rPr>
              <w:t>6,040,906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4,774,927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95"/>
              </w:rPr>
              <w:t>12,546,357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9,300,249</w:t>
            </w:r>
          </w:p>
        </w:tc>
        <w:tc>
          <w:tcPr>
            <w:tcW w:w="0" w:type="dxa"/>
            <w:vAlign w:val="bottom"/>
          </w:tcPr>
          <w:p>
            <w:pPr>
              <w:spacing w:after="0"/>
              <w:rPr>
                <w:sz w:val="1"/>
                <w:szCs w:val="1"/>
                <w:color w:val="auto"/>
              </w:rPr>
            </w:pPr>
          </w:p>
        </w:tc>
      </w:tr>
      <w:tr>
        <w:trPr>
          <w:trHeight w:val="20"/>
        </w:trPr>
        <w:tc>
          <w:tcPr>
            <w:tcW w:w="55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5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4"/>
                <w:szCs w:val="24"/>
                <w:color w:val="auto"/>
              </w:rPr>
            </w:pPr>
          </w:p>
        </w:tc>
        <w:tc>
          <w:tcPr>
            <w:tcW w:w="1400" w:type="dxa"/>
            <w:vAlign w:val="bottom"/>
            <w:gridSpan w:val="2"/>
          </w:tcPr>
          <w:p>
            <w:pPr>
              <w:jc w:val="right"/>
              <w:ind w:right="448"/>
              <w:spacing w:after="0"/>
              <w:rPr>
                <w:sz w:val="20"/>
                <w:szCs w:val="20"/>
                <w:color w:val="auto"/>
              </w:rPr>
            </w:pPr>
            <w:r>
              <w:rPr>
                <w:rFonts w:ascii="Arial" w:cs="Arial" w:eastAsia="Arial" w:hAnsi="Arial"/>
                <w:sz w:val="18"/>
                <w:szCs w:val="18"/>
                <w:color w:val="auto"/>
                <w:w w:val="93"/>
              </w:rPr>
              <w:t>(6,033,066)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(4,754,392)</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right"/>
              <w:ind w:right="468"/>
              <w:spacing w:after="0"/>
              <w:rPr>
                <w:sz w:val="20"/>
                <w:szCs w:val="20"/>
                <w:color w:val="auto"/>
              </w:rPr>
            </w:pPr>
            <w:r>
              <w:rPr>
                <w:rFonts w:ascii="Arial" w:cs="Arial" w:eastAsia="Arial" w:hAnsi="Arial"/>
                <w:sz w:val="18"/>
                <w:szCs w:val="18"/>
                <w:color w:val="auto"/>
                <w:w w:val="90"/>
              </w:rPr>
              <w:t>(12,532,571)</w:t>
            </w:r>
          </w:p>
        </w:tc>
        <w:tc>
          <w:tcPr>
            <w:tcW w:w="16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(9,238,164)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License and settlement agreement, net</w:t>
            </w:r>
          </w:p>
        </w:tc>
        <w:tc>
          <w:tcPr>
            <w:tcW w:w="140" w:type="dxa"/>
            <w:vAlign w:val="bottom"/>
          </w:tcPr>
          <w:p>
            <w:pPr>
              <w:spacing w:after="0"/>
              <w:rPr>
                <w:sz w:val="18"/>
                <w:szCs w:val="18"/>
                <w:color w:val="auto"/>
              </w:rPr>
            </w:pP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103,359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528"/>
              <w:spacing w:after="0"/>
              <w:rPr>
                <w:sz w:val="20"/>
                <w:szCs w:val="20"/>
                <w:color w:val="auto"/>
              </w:rPr>
            </w:pPr>
            <w:r>
              <w:rPr>
                <w:rFonts w:ascii="Arial" w:cs="Arial" w:eastAsia="Arial" w:hAnsi="Arial"/>
                <w:sz w:val="18"/>
                <w:szCs w:val="18"/>
                <w:color w:val="auto"/>
              </w:rPr>
              <w:t>550,467</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Realized gain on sale of marketable securities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717,621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655,531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703,551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528"/>
              <w:spacing w:after="0"/>
              <w:rPr>
                <w:sz w:val="20"/>
                <w:szCs w:val="20"/>
                <w:color w:val="auto"/>
              </w:rPr>
            </w:pPr>
            <w:r>
              <w:rPr>
                <w:rFonts w:ascii="Arial" w:cs="Arial" w:eastAsia="Arial" w:hAnsi="Arial"/>
                <w:sz w:val="18"/>
                <w:szCs w:val="18"/>
                <w:color w:val="auto"/>
              </w:rPr>
              <w:t>1,309,137</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1,043,365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(34,055)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(38,505)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(67,372)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400" w:type="dxa"/>
            <w:vAlign w:val="bottom"/>
            <w:gridSpan w:val="2"/>
          </w:tcPr>
          <w:p>
            <w:pPr>
              <w:jc w:val="right"/>
              <w:ind w:right="448"/>
              <w:spacing w:after="0"/>
              <w:rPr>
                <w:sz w:val="20"/>
                <w:szCs w:val="20"/>
                <w:color w:val="auto"/>
              </w:rPr>
            </w:pPr>
            <w:r>
              <w:rPr>
                <w:rFonts w:ascii="Arial" w:cs="Arial" w:eastAsia="Arial" w:hAnsi="Arial"/>
                <w:sz w:val="18"/>
                <w:szCs w:val="18"/>
                <w:color w:val="auto"/>
              </w:rPr>
              <w:t>(12,400)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(3,372)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68"/>
              <w:spacing w:after="0"/>
              <w:rPr>
                <w:sz w:val="20"/>
                <w:szCs w:val="20"/>
                <w:color w:val="auto"/>
              </w:rPr>
            </w:pPr>
            <w:r>
              <w:rPr>
                <w:rFonts w:ascii="Arial" w:cs="Arial" w:eastAsia="Arial" w:hAnsi="Arial"/>
                <w:sz w:val="18"/>
                <w:szCs w:val="18"/>
                <w:color w:val="auto"/>
              </w:rPr>
              <w:t>(21,024)</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(13,947)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5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609,076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765,033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2,488,829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1,055,679</w:t>
            </w:r>
          </w:p>
        </w:tc>
        <w:tc>
          <w:tcPr>
            <w:tcW w:w="0" w:type="dxa"/>
            <w:vAlign w:val="bottom"/>
          </w:tcPr>
          <w:p>
            <w:pPr>
              <w:spacing w:after="0"/>
              <w:rPr>
                <w:sz w:val="1"/>
                <w:szCs w:val="1"/>
                <w:color w:val="auto"/>
              </w:rPr>
            </w:pPr>
          </w:p>
        </w:tc>
      </w:tr>
      <w:tr>
        <w:trPr>
          <w:trHeight w:val="20"/>
        </w:trPr>
        <w:tc>
          <w:tcPr>
            <w:tcW w:w="55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r>
              <w:rPr>
                <w:rFonts w:ascii="Arial" w:cs="Arial" w:eastAsia="Arial" w:hAnsi="Arial"/>
                <w:sz w:val="18"/>
                <w:szCs w:val="18"/>
                <w:u w:val="single" w:color="auto"/>
                <w:color w:val="auto"/>
                <w:w w:val="74"/>
              </w:rPr>
              <w:t>(</w:t>
            </w:r>
            <w:r>
              <w:rPr>
                <w:rFonts w:ascii="Arial" w:cs="Arial" w:eastAsia="Arial" w:hAnsi="Arial"/>
                <w:sz w:val="18"/>
                <w:szCs w:val="18"/>
                <w:color w:val="auto"/>
                <w:w w:val="74"/>
              </w:rPr>
              <w:t>$</w:t>
            </w:r>
          </w:p>
        </w:tc>
        <w:tc>
          <w:tcPr>
            <w:tcW w:w="1400" w:type="dxa"/>
            <w:vAlign w:val="bottom"/>
            <w:gridSpan w:val="2"/>
          </w:tcPr>
          <w:p>
            <w:pPr>
              <w:jc w:val="right"/>
              <w:ind w:right="448"/>
              <w:spacing w:after="0"/>
              <w:rPr>
                <w:sz w:val="20"/>
                <w:szCs w:val="20"/>
                <w:color w:val="auto"/>
              </w:rPr>
            </w:pPr>
            <w:r>
              <w:rPr>
                <w:rFonts w:ascii="Arial" w:cs="Arial" w:eastAsia="Arial" w:hAnsi="Arial"/>
                <w:sz w:val="18"/>
                <w:szCs w:val="18"/>
                <w:color w:val="auto"/>
                <w:w w:val="99"/>
              </w:rPr>
              <w:t>5,423,990)</w:t>
            </w:r>
          </w:p>
        </w:tc>
        <w:tc>
          <w:tcPr>
            <w:tcW w:w="180" w:type="dxa"/>
            <w:vAlign w:val="bottom"/>
            <w:gridSpan w:val="2"/>
          </w:tcPr>
          <w:p>
            <w:pPr>
              <w:ind w:lef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3,989,359)</w:t>
            </w:r>
          </w:p>
        </w:tc>
        <w:tc>
          <w:tcPr>
            <w:tcW w:w="1900" w:type="dxa"/>
            <w:vAlign w:val="bottom"/>
            <w:gridSpan w:val="4"/>
          </w:tcPr>
          <w:p>
            <w:pPr>
              <w:jc w:val="right"/>
              <w:ind w:right="46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$ 10,043,742)</w:t>
            </w:r>
          </w:p>
        </w:tc>
        <w:tc>
          <w:tcPr>
            <w:tcW w:w="160" w:type="dxa"/>
            <w:vAlign w:val="bottom"/>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8,182,485)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w w:val="74"/>
              </w:rPr>
              <w:t>($</w:t>
            </w:r>
          </w:p>
        </w:tc>
        <w:tc>
          <w:tcPr>
            <w:tcW w:w="14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0.07)</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7"/>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7"/>
              </w:rPr>
              <w:t>($</w:t>
            </w:r>
          </w:p>
        </w:tc>
        <w:tc>
          <w:tcPr>
            <w:tcW w:w="14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color w:val="auto"/>
                <w:w w:val="96"/>
              </w:rPr>
              <w:t>Weighted average shares used to compute net loss per share basic and</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w w:val="88"/>
              </w:rPr>
              <w:t>79,787,273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77,105,128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528"/>
              <w:spacing w:after="0"/>
              <w:rPr>
                <w:sz w:val="20"/>
                <w:szCs w:val="20"/>
                <w:color w:val="auto"/>
              </w:rPr>
            </w:pPr>
            <w:r>
              <w:rPr>
                <w:rFonts w:ascii="Arial" w:cs="Arial" w:eastAsia="Arial" w:hAnsi="Arial"/>
                <w:sz w:val="18"/>
                <w:szCs w:val="18"/>
                <w:color w:val="auto"/>
                <w:w w:val="95"/>
              </w:rPr>
              <w:t>79,180,107</w:t>
            </w: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71,306,311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right"/>
              <w:ind w:right="40"/>
              <w:spacing w:after="0"/>
              <w:rPr>
                <w:sz w:val="20"/>
                <w:szCs w:val="20"/>
                <w:color w:val="auto"/>
              </w:rPr>
            </w:pPr>
            <w:r>
              <w:rPr>
                <w:rFonts w:ascii="Arial" w:cs="Arial" w:eastAsia="Arial" w:hAnsi="Arial"/>
                <w:sz w:val="14"/>
                <w:szCs w:val="14"/>
                <w:color w:val="auto"/>
              </w:rPr>
              <w:t>Six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restart"/>
          </w:tcPr>
          <w:p>
            <w:pPr>
              <w:jc w:val="right"/>
              <w:ind w:right="311"/>
              <w:spacing w:after="0"/>
              <w:rPr>
                <w:sz w:val="20"/>
                <w:szCs w:val="20"/>
                <w:color w:val="auto"/>
              </w:rPr>
            </w:pPr>
            <w:r>
              <w:rPr>
                <w:rFonts w:ascii="Arial" w:cs="Arial" w:eastAsia="Arial" w:hAnsi="Arial"/>
                <w:sz w:val="14"/>
                <w:szCs w:val="14"/>
                <w:color w:val="auto"/>
              </w:rPr>
              <w:t>2007</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June 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ind w:right="271"/>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68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right"/>
              <w:ind w:right="528"/>
              <w:spacing w:after="0"/>
              <w:rPr>
                <w:sz w:val="20"/>
                <w:szCs w:val="20"/>
                <w:color w:val="auto"/>
              </w:rPr>
            </w:pPr>
            <w:r>
              <w:rPr>
                <w:rFonts w:ascii="Arial" w:cs="Arial" w:eastAsia="Arial" w:hAnsi="Arial"/>
                <w:sz w:val="18"/>
                <w:szCs w:val="18"/>
                <w:color w:val="auto"/>
                <w:w w:val="90"/>
              </w:rPr>
              <w:t>($10,043,742)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($8,182,485)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588"/>
              <w:spacing w:after="0"/>
              <w:rPr>
                <w:sz w:val="20"/>
                <w:szCs w:val="20"/>
                <w:color w:val="auto"/>
              </w:rPr>
            </w:pPr>
            <w:r>
              <w:rPr>
                <w:rFonts w:ascii="Arial" w:cs="Arial" w:eastAsia="Arial" w:hAnsi="Arial"/>
                <w:sz w:val="18"/>
                <w:szCs w:val="18"/>
                <w:color w:val="auto"/>
              </w:rPr>
              <w:t>568,532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528,755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1,415,173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Loss on disposal of fixed assets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income from license and settlement agreement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(550,467)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Gain on sale of marketable securities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528"/>
              <w:spacing w:after="0"/>
              <w:rPr>
                <w:sz w:val="20"/>
                <w:szCs w:val="20"/>
                <w:color w:val="auto"/>
              </w:rPr>
            </w:pPr>
            <w:r>
              <w:rPr>
                <w:rFonts w:ascii="Arial" w:cs="Arial" w:eastAsia="Arial" w:hAnsi="Arial"/>
                <w:sz w:val="18"/>
                <w:szCs w:val="18"/>
                <w:color w:val="auto"/>
              </w:rPr>
              <w:t>(717,621)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Arial" w:cs="Arial" w:eastAsia="Arial" w:hAnsi="Arial"/>
                <w:sz w:val="18"/>
                <w:szCs w:val="18"/>
                <w:color w:val="auto"/>
              </w:rPr>
              <w:t>Receivables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588"/>
              <w:spacing w:after="0"/>
              <w:rPr>
                <w:sz w:val="20"/>
                <w:szCs w:val="20"/>
                <w:color w:val="auto"/>
              </w:rPr>
            </w:pPr>
            <w:r>
              <w:rPr>
                <w:rFonts w:ascii="Arial" w:cs="Arial" w:eastAsia="Arial" w:hAnsi="Arial"/>
                <w:sz w:val="18"/>
                <w:szCs w:val="18"/>
                <w:color w:val="auto"/>
              </w:rPr>
              <w:t>112,733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(361,935)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current assets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(74,242)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106,271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(265,240)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Arial" w:cs="Arial" w:eastAsia="Arial" w:hAnsi="Arial"/>
                <w:sz w:val="18"/>
                <w:szCs w:val="18"/>
                <w:color w:val="auto"/>
              </w:rPr>
              <w:t>Accrued wind-down expenses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528"/>
              <w:spacing w:after="0"/>
              <w:rPr>
                <w:sz w:val="20"/>
                <w:szCs w:val="20"/>
                <w:color w:val="auto"/>
              </w:rPr>
            </w:pPr>
            <w:r>
              <w:rPr>
                <w:rFonts w:ascii="Arial" w:cs="Arial" w:eastAsia="Arial" w:hAnsi="Arial"/>
                <w:sz w:val="18"/>
                <w:szCs w:val="18"/>
                <w:color w:val="auto"/>
              </w:rPr>
              <w:t>(352,091)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(236,486)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(8,413)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Arial" w:cs="Arial" w:eastAsia="Arial" w:hAnsi="Arial"/>
                <w:sz w:val="18"/>
                <w:szCs w:val="18"/>
                <w:color w:val="auto"/>
              </w:rPr>
              <w:t>Deferred rent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528"/>
              <w:spacing w:after="0"/>
              <w:rPr>
                <w:sz w:val="20"/>
                <w:szCs w:val="20"/>
                <w:color w:val="auto"/>
              </w:rPr>
            </w:pPr>
            <w:r>
              <w:rPr>
                <w:rFonts w:ascii="Arial" w:cs="Arial" w:eastAsia="Arial" w:hAnsi="Arial"/>
                <w:sz w:val="18"/>
                <w:szCs w:val="18"/>
                <w:color w:val="auto"/>
              </w:rPr>
              <w:t>(109,134)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Deposits and other long-term liabilities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(81,181)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(10,105,693)</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(7,868,586)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8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Proceeds from the sale of marketable securities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3,076,691</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plant and equipment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(307,554)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(1,111,357)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Acquisition of other assets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528"/>
              <w:spacing w:after="0"/>
              <w:rPr>
                <w:sz w:val="20"/>
                <w:szCs w:val="20"/>
                <w:color w:val="auto"/>
              </w:rPr>
            </w:pPr>
            <w:r>
              <w:rPr>
                <w:rFonts w:ascii="Arial" w:cs="Arial" w:eastAsia="Arial" w:hAnsi="Arial"/>
                <w:sz w:val="18"/>
                <w:szCs w:val="18"/>
                <w:color w:val="auto"/>
              </w:rPr>
              <w:t>(49,375)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(68,375)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8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2,719,762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(1,179,732)</w:t>
            </w:r>
          </w:p>
        </w:tc>
        <w:tc>
          <w:tcPr>
            <w:tcW w:w="0" w:type="dxa"/>
            <w:vAlign w:val="bottom"/>
          </w:tcPr>
          <w:p>
            <w:pPr>
              <w:spacing w:after="0"/>
              <w:rPr>
                <w:sz w:val="1"/>
                <w:szCs w:val="1"/>
                <w:color w:val="auto"/>
              </w:rPr>
            </w:pPr>
          </w:p>
        </w:tc>
      </w:tr>
      <w:tr>
        <w:trPr>
          <w:trHeight w:val="345"/>
        </w:trPr>
        <w:tc>
          <w:tcPr>
            <w:tcW w:w="68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3,547,376</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33,421,534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Proceeds from the exercise of stock options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588"/>
              <w:spacing w:after="0"/>
              <w:rPr>
                <w:sz w:val="20"/>
                <w:szCs w:val="20"/>
                <w:color w:val="auto"/>
              </w:rPr>
            </w:pPr>
            <w:r>
              <w:rPr>
                <w:rFonts w:ascii="Arial" w:cs="Arial" w:eastAsia="Arial" w:hAnsi="Arial"/>
                <w:sz w:val="18"/>
                <w:szCs w:val="18"/>
                <w:color w:val="auto"/>
              </w:rPr>
              <w:t>210,273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exercise of warrants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1,093,750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Proceeds of capital lease obligations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588"/>
              <w:spacing w:after="0"/>
              <w:rPr>
                <w:sz w:val="20"/>
                <w:szCs w:val="20"/>
                <w:color w:val="auto"/>
              </w:rPr>
            </w:pPr>
            <w:r>
              <w:rPr>
                <w:rFonts w:ascii="Arial" w:cs="Arial" w:eastAsia="Arial" w:hAnsi="Arial"/>
                <w:sz w:val="18"/>
                <w:szCs w:val="18"/>
                <w:color w:val="auto"/>
              </w:rPr>
              <w:t>51,105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debt obligations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(130,000)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345"/>
        </w:trPr>
        <w:tc>
          <w:tcPr>
            <w:tcW w:w="688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6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4,772,504</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34,414,616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8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(2,613,427)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25,366,298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588"/>
              <w:spacing w:after="0"/>
              <w:rPr>
                <w:sz w:val="20"/>
                <w:szCs w:val="20"/>
                <w:color w:val="auto"/>
              </w:rPr>
            </w:pPr>
            <w:r>
              <w:rPr>
                <w:rFonts w:ascii="Arial" w:cs="Arial" w:eastAsia="Arial" w:hAnsi="Arial"/>
                <w:sz w:val="18"/>
                <w:szCs w:val="18"/>
                <w:color w:val="auto"/>
              </w:rPr>
              <w:t>51,795,529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34,540,908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8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49,182,102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59,907,206</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688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67,372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Stock issued for licensing agreements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68"/>
              <w:spacing w:after="0"/>
              <w:rPr>
                <w:sz w:val="20"/>
                <w:szCs w:val="20"/>
                <w:color w:val="auto"/>
              </w:rPr>
            </w:pPr>
            <w:r>
              <w:rPr>
                <w:rFonts w:ascii="Arial" w:cs="Arial" w:eastAsia="Arial" w:hAnsi="Arial"/>
                <w:sz w:val="18"/>
                <w:szCs w:val="18"/>
                <w:color w:val="auto"/>
              </w:rPr>
              <w:t>10,000(1)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jc w:val="both"/>
        <w:ind w:left="460" w:right="24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Under terms of a license agreement with the California Institute of Technology (Cal Tech), annual fees of $5,000 were due on each of two patents to which StemCells holds a license from Cal Tech, payable in cash or stock at the Company’s choice. The Company elected to pay the fees in stock and issued 3,865 unregistered shares to Cal Tech.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2007 and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The terms “StemCells,” the “Company,” “our,” “we” and “us” as used in this report refer to StemCells, Inc. 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six months ended June 30, 2007 are not necessarily indicative of the results that may be expected for the entire fiscal year ending December 31, 2007.</w:t>
      </w:r>
    </w:p>
    <w:p>
      <w:pPr>
        <w:spacing w:after="0" w:line="70" w:lineRule="exact"/>
        <w:rPr>
          <w:sz w:val="20"/>
          <w:szCs w:val="20"/>
          <w:color w:val="auto"/>
        </w:rPr>
      </w:pPr>
    </w:p>
    <w:p>
      <w:pPr>
        <w:ind w:right="80" w:firstLine="222"/>
        <w:spacing w:after="0" w:line="312" w:lineRule="auto"/>
        <w:rPr>
          <w:sz w:val="20"/>
          <w:szCs w:val="20"/>
          <w:color w:val="auto"/>
        </w:rPr>
      </w:pPr>
      <w:r>
        <w:rPr>
          <w:rFonts w:ascii="Arial" w:cs="Arial" w:eastAsia="Arial" w:hAnsi="Arial"/>
          <w:sz w:val="16"/>
          <w:szCs w:val="16"/>
          <w:color w:val="auto"/>
        </w:rPr>
        <w:t>The balance sheet at December 31, 2006 has been derived from the audited financial statements at that date but does not include all of the information and footnotes required for complete financial statements in accordance with accounting principles generally accepted in the United States of America. For the complete financial statements, refer to the audited financial statements and footnotes thereto as of December 31, 2006, included on Form 10-K.</w:t>
      </w:r>
    </w:p>
    <w:p>
      <w:pPr>
        <w:spacing w:after="0" w:line="39"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 has incurred significant operating losses and negative cash flows since inception. It has not achieved profitability and may not be able to realize sufficient revenues to achieve or sustain profitability in the future. The Company has limited capital resources and will need to raise additional capital from time to time to sustain its product development efforts, acquisition of technologies and intellectual property rights, preclinical and clinical testing of anticipated products, pursuit of regulatory approvals, acquisition of capital equipment, laboratory and office facilities, establishment of production capabilities, general and administrative expenses and other working capital requirements. To fund its operations, the Company relies on cash balances, proceeds from equity and debt offerings, proceeds from the transfer or sale of intellectual property rights, equipment, facilities or investments, and on government grants and collaborative arrangements. The Company cannot be certain that such funding will be available when needed.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Significant estimates include the following:</w:t>
      </w:r>
    </w:p>
    <w:p>
      <w:pPr>
        <w:spacing w:after="0" w:line="73" w:lineRule="exact"/>
        <w:rPr>
          <w:sz w:val="20"/>
          <w:szCs w:val="20"/>
          <w:color w:val="auto"/>
        </w:rPr>
      </w:pPr>
    </w:p>
    <w:p>
      <w:pPr>
        <w:ind w:left="560" w:hanging="444"/>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Accrued wind-down expenses (See Note 4).</w:t>
      </w:r>
    </w:p>
    <w:p>
      <w:pPr>
        <w:spacing w:after="0" w:line="130" w:lineRule="exact"/>
        <w:rPr>
          <w:rFonts w:ascii="Arial" w:cs="Arial" w:eastAsia="Arial" w:hAnsi="Arial"/>
          <w:sz w:val="18"/>
          <w:szCs w:val="18"/>
          <w:b w:val="1"/>
          <w:bCs w:val="1"/>
          <w:color w:val="auto"/>
        </w:rPr>
      </w:pPr>
    </w:p>
    <w:p>
      <w:pPr>
        <w:ind w:left="560" w:right="420" w:hanging="444"/>
        <w:spacing w:after="0" w:line="308" w:lineRule="auto"/>
        <w:tabs>
          <w:tab w:leader="none" w:pos="5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 xml:space="preserve">The grant date fair value of share-based awards recognized as compensation expense in accordance with the provisions of Statement of Financial Accounting Standards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(SFAS 123R). See “Stock-Based Compensation”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color w:val="auto"/>
        </w:rPr>
        <w:t xml:space="preserve">In accordance with Statement of Financial Accounting Standards (SFAS)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has classified its investment in equity securities as available-for-sale marketable securities in the accompanying consolidated financial statements (See Note 2). The marketable securities are stated at fair market value, with unrealized gains and losses reported in other comprehensive income.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Management reviews securities with unrealized losses for other than temporary impairment. A decline in the fair value of securities that is deemed other than temporary is charged to earnings when so deemed.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260" w:firstLine="222"/>
        <w:spacing w:after="0" w:line="297" w:lineRule="auto"/>
        <w:rPr>
          <w:sz w:val="20"/>
          <w:szCs w:val="20"/>
          <w:color w:val="auto"/>
        </w:rPr>
      </w:pPr>
      <w:r>
        <w:rPr>
          <w:rFonts w:ascii="Arial" w:cs="Arial" w:eastAsia="Arial" w:hAnsi="Arial"/>
          <w:sz w:val="16"/>
          <w:szCs w:val="16"/>
          <w:color w:val="auto"/>
        </w:rPr>
        <w:t xml:space="preserve">The Company has computed net loss per common share according to the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which requires disclosure of basic and diluted earnings per share. Basic earnings per share excludes any dilutive effects of options, warrants and convertible securities, and is computed using the weighted average number of common shares outstanding during the period. Diluted earnings per share includes the impact of potentially dilutive securities and is computed using the weighted average of common and diluted equivalent stock options, warrants and convertible securities outstanding during the period. Stock options, warrants and convertible securities that are anti-dilutive are excluded from the calculation of diluted loss per common share.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5"/>
          </w:tcPr>
          <w:p>
            <w:pPr>
              <w:jc w:val="right"/>
              <w:ind w:right="874"/>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5"/>
          </w:tcPr>
          <w:p>
            <w:pPr>
              <w:jc w:val="right"/>
              <w:ind w:right="954"/>
              <w:spacing w:after="0"/>
              <w:rPr>
                <w:sz w:val="20"/>
                <w:szCs w:val="20"/>
                <w:color w:val="auto"/>
              </w:rPr>
            </w:pPr>
            <w:r>
              <w:rPr>
                <w:rFonts w:ascii="Arial" w:cs="Arial" w:eastAsia="Arial" w:hAnsi="Arial"/>
                <w:sz w:val="14"/>
                <w:szCs w:val="14"/>
                <w:color w:val="auto"/>
              </w:rPr>
              <w:t>Six months ended</w:t>
            </w:r>
          </w:p>
        </w:tc>
      </w:tr>
      <w:tr>
        <w:trPr>
          <w:trHeight w:val="167"/>
        </w:trPr>
        <w:tc>
          <w:tcPr>
            <w:tcW w:w="4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June 30,</w:t>
            </w:r>
          </w:p>
        </w:tc>
        <w:tc>
          <w:tcPr>
            <w:tcW w:w="10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June 30,</w:t>
            </w:r>
          </w:p>
        </w:tc>
        <w:tc>
          <w:tcPr>
            <w:tcW w:w="1060" w:type="dxa"/>
            <w:vAlign w:val="bottom"/>
            <w:tcBorders>
              <w:bottom w:val="single" w:sz="8" w:color="auto"/>
            </w:tcBorders>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color w:val="auto"/>
              </w:rPr>
              <w:t>2007</w:t>
            </w:r>
          </w:p>
        </w:tc>
        <w:tc>
          <w:tcPr>
            <w:tcW w:w="1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color w:val="auto"/>
              </w:rPr>
              <w:t>2006</w:t>
            </w:r>
          </w:p>
        </w:tc>
        <w:tc>
          <w:tcPr>
            <w:tcW w:w="4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color w:val="auto"/>
              </w:rPr>
              <w:t>2007</w:t>
            </w:r>
          </w:p>
        </w:tc>
        <w:tc>
          <w:tcPr>
            <w:tcW w:w="1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color w:val="auto"/>
              </w:rPr>
              <w:t>2006</w:t>
            </w: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5,423,990)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7"/>
              </w:rPr>
              <w:t>3,989,359)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10,043,742)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7"/>
              </w:rPr>
              <w:t>8,182,485)</w:t>
            </w:r>
          </w:p>
        </w:tc>
      </w:tr>
      <w:tr>
        <w:trPr>
          <w:trHeight w:val="323"/>
        </w:trPr>
        <w:tc>
          <w:tcPr>
            <w:tcW w:w="4780" w:type="dxa"/>
            <w:vAlign w:val="bottom"/>
          </w:tcPr>
          <w:p>
            <w:pPr>
              <w:spacing w:after="0"/>
              <w:rPr>
                <w:sz w:val="20"/>
                <w:szCs w:val="20"/>
                <w:color w:val="auto"/>
              </w:rPr>
            </w:pPr>
            <w:r>
              <w:rPr>
                <w:rFonts w:ascii="Arial" w:cs="Arial" w:eastAsia="Arial" w:hAnsi="Arial"/>
                <w:sz w:val="18"/>
                <w:szCs w:val="18"/>
                <w:color w:val="auto"/>
              </w:rPr>
              <w:t>Weighted average shares used in computing net loss per</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share, basic and diluted.</w:t>
            </w:r>
          </w:p>
        </w:tc>
        <w:tc>
          <w:tcPr>
            <w:tcW w:w="280" w:type="dxa"/>
            <w:vAlign w:val="bottom"/>
          </w:tcPr>
          <w:p>
            <w:pPr>
              <w:spacing w:after="0"/>
              <w:rPr>
                <w:sz w:val="20"/>
                <w:szCs w:val="20"/>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w w:val="86"/>
              </w:rPr>
              <w:t>79,787,273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w w:val="86"/>
              </w:rPr>
              <w:t>77,105,128</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w w:val="88"/>
              </w:rPr>
              <w:t>79,180,107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w w:val="86"/>
              </w:rPr>
              <w:t>71,306,311</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0.05)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0.11)</w:t>
            </w:r>
          </w:p>
        </w:tc>
      </w:tr>
    </w:tbl>
    <w:p>
      <w:pPr>
        <w:spacing w:after="0" w:line="94" w:lineRule="exact"/>
        <w:rPr>
          <w:sz w:val="20"/>
          <w:szCs w:val="20"/>
          <w:color w:val="auto"/>
        </w:rPr>
      </w:pPr>
    </w:p>
    <w:p>
      <w:pPr>
        <w:jc w:val="both"/>
        <w:ind w:right="200" w:firstLine="222"/>
        <w:spacing w:after="0" w:line="308" w:lineRule="auto"/>
        <w:rPr>
          <w:sz w:val="20"/>
          <w:szCs w:val="20"/>
          <w:color w:val="auto"/>
        </w:rPr>
      </w:pPr>
      <w:r>
        <w:rPr>
          <w:rFonts w:ascii="Arial" w:cs="Arial" w:eastAsia="Arial" w:hAnsi="Arial"/>
          <w:sz w:val="17"/>
          <w:szCs w:val="17"/>
          <w:color w:val="auto"/>
        </w:rPr>
        <w:t>The Company has excluded outstanding stock options and warrants from the calculation of diluted loss per common share because all such securities are anti-dilutive for all applicable periods presented. These outstanding securities consist of the following potential common shares: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140" w:type="dxa"/>
            <w:vAlign w:val="bottom"/>
          </w:tcPr>
          <w:p>
            <w:pPr>
              <w:spacing w:after="0"/>
              <w:rPr>
                <w:sz w:val="14"/>
                <w:szCs w:val="14"/>
                <w:color w:val="auto"/>
              </w:rPr>
            </w:pPr>
          </w:p>
        </w:tc>
        <w:tc>
          <w:tcPr>
            <w:tcW w:w="328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color w:val="auto"/>
              </w:rPr>
              <w:t>Outstanding at June 30,</w:t>
            </w:r>
          </w:p>
        </w:tc>
      </w:tr>
      <w:tr>
        <w:trPr>
          <w:trHeight w:val="142"/>
        </w:trPr>
        <w:tc>
          <w:tcPr>
            <w:tcW w:w="8140" w:type="dxa"/>
            <w:vAlign w:val="bottom"/>
          </w:tcPr>
          <w:p>
            <w:pPr>
              <w:spacing w:after="0"/>
              <w:rPr>
                <w:sz w:val="12"/>
                <w:szCs w:val="12"/>
                <w:color w:val="auto"/>
              </w:rPr>
            </w:pPr>
          </w:p>
        </w:tc>
        <w:tc>
          <w:tcPr>
            <w:tcW w:w="1420" w:type="dxa"/>
            <w:vAlign w:val="bottom"/>
            <w:tcBorders>
              <w:bottom w:val="single" w:sz="8" w:color="auto"/>
            </w:tcBorders>
          </w:tcPr>
          <w:p>
            <w:pPr>
              <w:jc w:val="right"/>
              <w:ind w:right="477"/>
              <w:spacing w:after="0" w:line="142" w:lineRule="exact"/>
              <w:rPr>
                <w:sz w:val="20"/>
                <w:szCs w:val="20"/>
                <w:color w:val="auto"/>
              </w:rPr>
            </w:pPr>
            <w:r>
              <w:rPr>
                <w:rFonts w:ascii="Arial" w:cs="Arial" w:eastAsia="Arial" w:hAnsi="Arial"/>
                <w:sz w:val="14"/>
                <w:szCs w:val="14"/>
                <w:color w:val="auto"/>
              </w:rPr>
              <w:t>2007</w:t>
            </w:r>
          </w:p>
        </w:tc>
        <w:tc>
          <w:tcPr>
            <w:tcW w:w="50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2006</w:t>
            </w: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w:t>
            </w:r>
          </w:p>
        </w:tc>
        <w:tc>
          <w:tcPr>
            <w:tcW w:w="14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9,037,194</w:t>
            </w:r>
          </w:p>
        </w:tc>
        <w:tc>
          <w:tcPr>
            <w:tcW w:w="18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7,048,220</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Outstanding warrants</w:t>
            </w:r>
          </w:p>
        </w:tc>
        <w:tc>
          <w:tcPr>
            <w:tcW w:w="1420" w:type="dxa"/>
            <w:vAlign w:val="bottom"/>
          </w:tcPr>
          <w:p>
            <w:pPr>
              <w:jc w:val="right"/>
              <w:ind w:right="217"/>
              <w:spacing w:after="0"/>
              <w:rPr>
                <w:sz w:val="20"/>
                <w:szCs w:val="20"/>
                <w:color w:val="auto"/>
              </w:rPr>
            </w:pPr>
            <w:r>
              <w:rPr>
                <w:rFonts w:ascii="Arial" w:cs="Arial" w:eastAsia="Arial" w:hAnsi="Arial"/>
                <w:sz w:val="18"/>
                <w:szCs w:val="18"/>
                <w:color w:val="auto"/>
              </w:rPr>
              <w:t>1,355,000</w:t>
            </w:r>
          </w:p>
        </w:tc>
        <w:tc>
          <w:tcPr>
            <w:tcW w:w="186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1,930,658</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10,392,194</w:t>
            </w:r>
          </w:p>
        </w:tc>
        <w:tc>
          <w:tcPr>
            <w:tcW w:w="18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8,978,878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121" w:lineRule="exact"/>
        <w:rPr>
          <w:sz w:val="20"/>
          <w:szCs w:val="20"/>
          <w:color w:val="auto"/>
        </w:rPr>
      </w:pPr>
    </w:p>
    <w:p>
      <w:pPr>
        <w:ind w:right="520" w:firstLine="222"/>
        <w:spacing w:after="0" w:line="342" w:lineRule="auto"/>
        <w:rPr>
          <w:sz w:val="20"/>
          <w:szCs w:val="20"/>
          <w:color w:val="auto"/>
        </w:rPr>
      </w:pPr>
      <w:r>
        <w:rPr>
          <w:rFonts w:ascii="Arial" w:cs="Arial" w:eastAsia="Arial" w:hAnsi="Arial"/>
          <w:sz w:val="16"/>
          <w:szCs w:val="16"/>
          <w:color w:val="auto"/>
        </w:rPr>
        <w:t>The only component of other comprehensive income is unrealized gains and losses on available for sale securities (See Note 2). The following table summarizes the components of the Company’s comprehensive income for the three and six months ended June 30, 2007 and 2006.</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80" w:type="dxa"/>
            <w:vAlign w:val="bottom"/>
            <w:gridSpan w:val="3"/>
            <w:vMerge w:val="restart"/>
          </w:tcPr>
          <w:p>
            <w:pPr>
              <w:spacing w:after="0"/>
              <w:rPr>
                <w:sz w:val="20"/>
                <w:szCs w:val="20"/>
                <w:color w:val="auto"/>
              </w:rPr>
            </w:pPr>
            <w:r>
              <w:rPr>
                <w:rFonts w:ascii="Arial" w:cs="Arial" w:eastAsia="Arial" w:hAnsi="Arial"/>
                <w:sz w:val="14"/>
                <w:szCs w:val="14"/>
                <w:color w:val="auto"/>
              </w:rPr>
              <w:t>As of June 30,</w:t>
            </w:r>
          </w:p>
        </w:tc>
        <w:tc>
          <w:tcPr>
            <w:tcW w:w="31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4"/>
                <w:szCs w:val="14"/>
                <w:color w:val="auto"/>
              </w:rPr>
              <w:t>Three months ended June 30,</w:t>
            </w:r>
          </w:p>
        </w:tc>
        <w:tc>
          <w:tcPr>
            <w:tcW w:w="400" w:type="dxa"/>
            <w:vAlign w:val="bottom"/>
          </w:tcPr>
          <w:p>
            <w:pPr>
              <w:spacing w:after="0"/>
              <w:rPr>
                <w:sz w:val="14"/>
                <w:szCs w:val="14"/>
                <w:color w:val="auto"/>
              </w:rPr>
            </w:pPr>
          </w:p>
        </w:tc>
        <w:tc>
          <w:tcPr>
            <w:tcW w:w="322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42"/>
        </w:trPr>
        <w:tc>
          <w:tcPr>
            <w:tcW w:w="4680" w:type="dxa"/>
            <w:vAlign w:val="bottom"/>
            <w:gridSpan w:val="3"/>
            <w:vMerge w:val="continue"/>
          </w:tcPr>
          <w:p>
            <w:pPr>
              <w:spacing w:after="0"/>
              <w:rPr>
                <w:sz w:val="12"/>
                <w:szCs w:val="12"/>
                <w:color w:val="auto"/>
              </w:rPr>
            </w:pPr>
          </w:p>
        </w:tc>
        <w:tc>
          <w:tcPr>
            <w:tcW w:w="1360" w:type="dxa"/>
            <w:vAlign w:val="bottom"/>
          </w:tcPr>
          <w:p>
            <w:pPr>
              <w:jc w:val="right"/>
              <w:ind w:right="457"/>
              <w:spacing w:after="0" w:line="142" w:lineRule="exact"/>
              <w:rPr>
                <w:sz w:val="20"/>
                <w:szCs w:val="20"/>
                <w:color w:val="auto"/>
              </w:rPr>
            </w:pPr>
            <w:r>
              <w:rPr>
                <w:rFonts w:ascii="Arial" w:cs="Arial" w:eastAsia="Arial" w:hAnsi="Arial"/>
                <w:sz w:val="14"/>
                <w:szCs w:val="14"/>
                <w:color w:val="auto"/>
              </w:rPr>
              <w:t>2007</w:t>
            </w:r>
          </w:p>
        </w:tc>
        <w:tc>
          <w:tcPr>
            <w:tcW w:w="1760" w:type="dxa"/>
            <w:vAlign w:val="bottom"/>
            <w:gridSpan w:val="2"/>
          </w:tcPr>
          <w:p>
            <w:pPr>
              <w:jc w:val="right"/>
              <w:ind w:right="450"/>
              <w:spacing w:after="0" w:line="142" w:lineRule="exact"/>
              <w:rPr>
                <w:sz w:val="20"/>
                <w:szCs w:val="20"/>
                <w:color w:val="auto"/>
              </w:rPr>
            </w:pPr>
            <w:r>
              <w:rPr>
                <w:rFonts w:ascii="Arial" w:cs="Arial" w:eastAsia="Arial" w:hAnsi="Arial"/>
                <w:sz w:val="14"/>
                <w:szCs w:val="14"/>
                <w:color w:val="auto"/>
              </w:rPr>
              <w:t>2006</w:t>
            </w:r>
          </w:p>
        </w:tc>
        <w:tc>
          <w:tcPr>
            <w:tcW w:w="400" w:type="dxa"/>
            <w:vAlign w:val="bottom"/>
          </w:tcPr>
          <w:p>
            <w:pPr>
              <w:spacing w:after="0"/>
              <w:rPr>
                <w:sz w:val="12"/>
                <w:szCs w:val="12"/>
                <w:color w:val="auto"/>
              </w:rPr>
            </w:pPr>
          </w:p>
        </w:tc>
        <w:tc>
          <w:tcPr>
            <w:tcW w:w="1460" w:type="dxa"/>
            <w:vAlign w:val="bottom"/>
          </w:tcPr>
          <w:p>
            <w:pPr>
              <w:jc w:val="right"/>
              <w:ind w:right="522"/>
              <w:spacing w:after="0" w:line="142" w:lineRule="exact"/>
              <w:rPr>
                <w:sz w:val="20"/>
                <w:szCs w:val="20"/>
                <w:color w:val="auto"/>
              </w:rPr>
            </w:pPr>
            <w:r>
              <w:rPr>
                <w:rFonts w:ascii="Arial" w:cs="Arial" w:eastAsia="Arial" w:hAnsi="Arial"/>
                <w:sz w:val="14"/>
                <w:szCs w:val="14"/>
                <w:color w:val="auto"/>
              </w:rPr>
              <w:t>2007</w:t>
            </w:r>
          </w:p>
        </w:tc>
        <w:tc>
          <w:tcPr>
            <w:tcW w:w="1760" w:type="dxa"/>
            <w:vAlign w:val="bottom"/>
            <w:gridSpan w:val="2"/>
          </w:tcPr>
          <w:p>
            <w:pPr>
              <w:jc w:val="right"/>
              <w:ind w:right="450"/>
              <w:spacing w:after="0" w:line="142" w:lineRule="exact"/>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($5,423,990)</w:t>
            </w:r>
          </w:p>
        </w:tc>
        <w:tc>
          <w:tcPr>
            <w:tcW w:w="4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($3,989,359)</w:t>
            </w:r>
          </w:p>
        </w:tc>
        <w:tc>
          <w:tcPr>
            <w:tcW w:w="4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8"/>
                <w:szCs w:val="18"/>
                <w:color w:val="auto"/>
              </w:rPr>
              <w:t>($10,043,742)</w:t>
            </w:r>
          </w:p>
        </w:tc>
        <w:tc>
          <w:tcPr>
            <w:tcW w:w="38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($8,182,485)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tcPr>
          <w:p>
            <w:pPr>
              <w:spacing w:after="0" w:line="201" w:lineRule="exact"/>
              <w:rPr>
                <w:sz w:val="20"/>
                <w:szCs w:val="20"/>
                <w:color w:val="auto"/>
              </w:rPr>
            </w:pPr>
            <w:r>
              <w:rPr>
                <w:rFonts w:ascii="Arial" w:cs="Arial" w:eastAsia="Arial" w:hAnsi="Arial"/>
                <w:sz w:val="18"/>
                <w:szCs w:val="18"/>
                <w:color w:val="auto"/>
              </w:rPr>
              <w:t>Other comprehensive loss (unrealized loss on marketable</w:t>
            </w:r>
          </w:p>
        </w:tc>
        <w:tc>
          <w:tcPr>
            <w:tcW w:w="1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securities)</w:t>
            </w:r>
          </w:p>
        </w:tc>
        <w:tc>
          <w:tcPr>
            <w:tcW w:w="1360" w:type="dxa"/>
            <w:vAlign w:val="bottom"/>
          </w:tcPr>
          <w:p>
            <w:pPr>
              <w:jc w:val="right"/>
              <w:ind w:right="97"/>
              <w:spacing w:after="0"/>
              <w:rPr>
                <w:sz w:val="20"/>
                <w:szCs w:val="20"/>
                <w:color w:val="auto"/>
              </w:rPr>
            </w:pPr>
            <w:r>
              <w:rPr>
                <w:rFonts w:ascii="Arial" w:cs="Arial" w:eastAsia="Arial" w:hAnsi="Arial"/>
                <w:sz w:val="18"/>
                <w:szCs w:val="18"/>
                <w:color w:val="auto"/>
              </w:rPr>
              <w:t>(332,099)</w:t>
            </w:r>
          </w:p>
        </w:tc>
        <w:tc>
          <w:tcPr>
            <w:tcW w:w="1760" w:type="dxa"/>
            <w:vAlign w:val="bottom"/>
            <w:gridSpan w:val="2"/>
          </w:tcPr>
          <w:p>
            <w:pPr>
              <w:jc w:val="right"/>
              <w:ind w:right="90"/>
              <w:spacing w:after="0"/>
              <w:rPr>
                <w:sz w:val="20"/>
                <w:szCs w:val="20"/>
                <w:color w:val="auto"/>
              </w:rPr>
            </w:pPr>
            <w:r>
              <w:rPr>
                <w:rFonts w:ascii="Arial" w:cs="Arial" w:eastAsia="Arial" w:hAnsi="Arial"/>
                <w:sz w:val="18"/>
                <w:szCs w:val="18"/>
                <w:color w:val="auto"/>
              </w:rPr>
              <w:t>(422,939)</w:t>
            </w:r>
          </w:p>
        </w:tc>
        <w:tc>
          <w:tcPr>
            <w:tcW w:w="1860" w:type="dxa"/>
            <w:vAlign w:val="bottom"/>
            <w:gridSpan w:val="2"/>
          </w:tcPr>
          <w:p>
            <w:pPr>
              <w:jc w:val="right"/>
              <w:ind w:right="122"/>
              <w:spacing w:after="0"/>
              <w:rPr>
                <w:sz w:val="20"/>
                <w:szCs w:val="20"/>
                <w:color w:val="auto"/>
              </w:rPr>
            </w:pPr>
            <w:r>
              <w:rPr>
                <w:rFonts w:ascii="Arial" w:cs="Arial" w:eastAsia="Arial" w:hAnsi="Arial"/>
                <w:sz w:val="18"/>
                <w:szCs w:val="18"/>
                <w:color w:val="auto"/>
              </w:rPr>
              <w:t>(3,184,232)</w:t>
            </w:r>
          </w:p>
        </w:tc>
        <w:tc>
          <w:tcPr>
            <w:tcW w:w="1760" w:type="dxa"/>
            <w:vAlign w:val="bottom"/>
            <w:gridSpan w:val="2"/>
          </w:tcPr>
          <w:p>
            <w:pPr>
              <w:jc w:val="right"/>
              <w:ind w:right="110"/>
              <w:spacing w:after="0"/>
              <w:rPr>
                <w:sz w:val="20"/>
                <w:szCs w:val="20"/>
                <w:color w:val="auto"/>
              </w:rPr>
            </w:pPr>
            <w:r>
              <w:rPr>
                <w:rFonts w:ascii="Arial" w:cs="Arial" w:eastAsia="Arial" w:hAnsi="Arial"/>
                <w:sz w:val="18"/>
                <w:szCs w:val="18"/>
                <w:color w:val="auto"/>
              </w:rPr>
              <w:t>(1,723,266)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3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($5,756,089)</w:t>
            </w:r>
          </w:p>
        </w:tc>
        <w:tc>
          <w:tcPr>
            <w:tcW w:w="17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($4,412,298)</w:t>
            </w:r>
          </w:p>
        </w:tc>
        <w:tc>
          <w:tcPr>
            <w:tcW w:w="186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($13,227,974)</w:t>
            </w:r>
          </w:p>
        </w:tc>
        <w:tc>
          <w:tcPr>
            <w:tcW w:w="17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($9,905,751)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 December 2004, the Financial Accounting Standards Board (FASB) issued SFAS 123R. SFAS 123R requires all share-based payments to employees, or to non-employee directors as compensation for service on the Board of Directors, to be recognized as compensation expense in the consolidated financial statements based on the fair values of such payments. The Company maintains shareholder approved stock-based compensation plans, pursuant to which it grants stock-based compensation to its employees, and to non-employee directors for Board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service. These grants are primarily in the form of options that allow a grantee to purchase a fixed number of shares of the Company’s common stock at a fixed exercise price equal to the market price of the shares at the date of the grant (“qualified stock option grants”) with a contractual term of ten years. The options may vest on a single date or in tranches over a period of time, but normally they do not vest unless the grantee is still employed by or a director of the Company on the vesting date. The compensation expense for these grants will be recognized over the requisite service period which is typically the period over which the stock-based compensation awards vest. In March 2005, the Securities and Exchange Commission (SEC) issued Staff Accounting Bulletin No. 107 (SAB 107), which provides guidance on the implementation of SFAS 123R. The Company applied the principles of SAB 107 in conjunction with its adoption of SFAS 123R.</w:t>
      </w:r>
    </w:p>
    <w:p>
      <w:pPr>
        <w:spacing w:after="0" w:line="81" w:lineRule="exact"/>
        <w:rPr>
          <w:sz w:val="20"/>
          <w:szCs w:val="20"/>
          <w:color w:val="auto"/>
        </w:rPr>
      </w:pPr>
    </w:p>
    <w:p>
      <w:pPr>
        <w:ind w:right="200" w:firstLine="222"/>
        <w:spacing w:after="0" w:line="302" w:lineRule="auto"/>
        <w:rPr>
          <w:sz w:val="20"/>
          <w:szCs w:val="20"/>
          <w:color w:val="auto"/>
        </w:rPr>
      </w:pPr>
      <w:r>
        <w:rPr>
          <w:rFonts w:ascii="Arial" w:cs="Arial" w:eastAsia="Arial" w:hAnsi="Arial"/>
          <w:sz w:val="16"/>
          <w:szCs w:val="16"/>
          <w:color w:val="auto"/>
        </w:rPr>
        <w:t>The Company adopted SFAS 123R effective January 1, 2006, using the modified-prospective transition method. Under this transition method, compensation expense will be recognized based on the grant date fair value estimated in accordance with the provisions of SFAS 123R for all new grants effective January 1, 2006, and for options granted prior to but not vested as of December 31, 2005. The following table summarizes the stock option related compensation expense recognized by the company in accordance with SFAS 123R, for the three and six month period in 2007 and 2006: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80" w:type="dxa"/>
            <w:vAlign w:val="bottom"/>
          </w:tcPr>
          <w:p>
            <w:pPr>
              <w:spacing w:after="0"/>
              <w:rPr>
                <w:sz w:val="14"/>
                <w:szCs w:val="14"/>
                <w:color w:val="auto"/>
              </w:rPr>
            </w:pPr>
          </w:p>
        </w:tc>
        <w:tc>
          <w:tcPr>
            <w:tcW w:w="304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4"/>
                <w:szCs w:val="14"/>
                <w:color w:val="auto"/>
              </w:rPr>
              <w:t>Three months ended June 30,</w:t>
            </w:r>
          </w:p>
        </w:tc>
        <w:tc>
          <w:tcPr>
            <w:tcW w:w="420" w:type="dxa"/>
            <w:vAlign w:val="bottom"/>
          </w:tcPr>
          <w:p>
            <w:pPr>
              <w:spacing w:after="0"/>
              <w:rPr>
                <w:sz w:val="14"/>
                <w:szCs w:val="14"/>
                <w:color w:val="auto"/>
              </w:rPr>
            </w:pPr>
          </w:p>
        </w:tc>
        <w:tc>
          <w:tcPr>
            <w:tcW w:w="288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42"/>
        </w:trPr>
        <w:tc>
          <w:tcPr>
            <w:tcW w:w="5080" w:type="dxa"/>
            <w:vAlign w:val="bottom"/>
            <w:vMerge w:val="restart"/>
          </w:tcPr>
          <w:p>
            <w:pPr>
              <w:spacing w:after="0"/>
              <w:rPr>
                <w:sz w:val="20"/>
                <w:szCs w:val="20"/>
                <w:color w:val="auto"/>
              </w:rPr>
            </w:pPr>
            <w:r>
              <w:rPr>
                <w:rFonts w:ascii="Arial" w:cs="Arial" w:eastAsia="Arial" w:hAnsi="Arial"/>
                <w:sz w:val="18"/>
                <w:szCs w:val="18"/>
                <w:color w:val="auto"/>
              </w:rPr>
              <w:t>Compensation expense for stock options granted</w:t>
            </w:r>
          </w:p>
        </w:tc>
        <w:tc>
          <w:tcPr>
            <w:tcW w:w="1240" w:type="dxa"/>
            <w:vAlign w:val="bottom"/>
          </w:tcPr>
          <w:p>
            <w:pPr>
              <w:jc w:val="right"/>
              <w:ind w:right="382"/>
              <w:spacing w:after="0" w:line="142" w:lineRule="exact"/>
              <w:rPr>
                <w:sz w:val="20"/>
                <w:szCs w:val="20"/>
                <w:color w:val="auto"/>
              </w:rPr>
            </w:pPr>
            <w:r>
              <w:rPr>
                <w:rFonts w:ascii="Arial" w:cs="Arial" w:eastAsia="Arial" w:hAnsi="Arial"/>
                <w:sz w:val="14"/>
                <w:szCs w:val="14"/>
                <w:color w:val="auto"/>
              </w:rPr>
              <w:t>2007</w:t>
            </w:r>
          </w:p>
        </w:tc>
        <w:tc>
          <w:tcPr>
            <w:tcW w:w="1800" w:type="dxa"/>
            <w:vAlign w:val="bottom"/>
            <w:gridSpan w:val="2"/>
          </w:tcPr>
          <w:p>
            <w:pPr>
              <w:jc w:val="right"/>
              <w:ind w:right="390"/>
              <w:spacing w:after="0" w:line="142" w:lineRule="exact"/>
              <w:rPr>
                <w:sz w:val="20"/>
                <w:szCs w:val="20"/>
                <w:color w:val="auto"/>
              </w:rPr>
            </w:pPr>
            <w:r>
              <w:rPr>
                <w:rFonts w:ascii="Arial" w:cs="Arial" w:eastAsia="Arial" w:hAnsi="Arial"/>
                <w:sz w:val="14"/>
                <w:szCs w:val="14"/>
                <w:color w:val="auto"/>
              </w:rPr>
              <w:t>2006</w:t>
            </w:r>
          </w:p>
        </w:tc>
        <w:tc>
          <w:tcPr>
            <w:tcW w:w="420" w:type="dxa"/>
            <w:vAlign w:val="bottom"/>
          </w:tcPr>
          <w:p>
            <w:pPr>
              <w:spacing w:after="0"/>
              <w:rPr>
                <w:sz w:val="12"/>
                <w:szCs w:val="12"/>
                <w:color w:val="auto"/>
              </w:rPr>
            </w:pPr>
          </w:p>
        </w:tc>
        <w:tc>
          <w:tcPr>
            <w:tcW w:w="1280" w:type="dxa"/>
            <w:vAlign w:val="bottom"/>
          </w:tcPr>
          <w:p>
            <w:pPr>
              <w:jc w:val="right"/>
              <w:ind w:right="422"/>
              <w:spacing w:after="0" w:line="142" w:lineRule="exact"/>
              <w:rPr>
                <w:sz w:val="20"/>
                <w:szCs w:val="20"/>
                <w:color w:val="auto"/>
              </w:rPr>
            </w:pPr>
            <w:r>
              <w:rPr>
                <w:rFonts w:ascii="Arial" w:cs="Arial" w:eastAsia="Arial" w:hAnsi="Arial"/>
                <w:sz w:val="14"/>
                <w:szCs w:val="14"/>
                <w:color w:val="auto"/>
              </w:rPr>
              <w:t>2007</w:t>
            </w:r>
          </w:p>
        </w:tc>
        <w:tc>
          <w:tcPr>
            <w:tcW w:w="1600" w:type="dxa"/>
            <w:vAlign w:val="bottom"/>
            <w:gridSpan w:val="2"/>
          </w:tcPr>
          <w:p>
            <w:pPr>
              <w:jc w:val="right"/>
              <w:ind w:right="330"/>
              <w:spacing w:after="0" w:line="142" w:lineRule="exact"/>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224"/>
        </w:trPr>
        <w:tc>
          <w:tcPr>
            <w:tcW w:w="5080" w:type="dxa"/>
            <w:vAlign w:val="bottom"/>
            <w:vMerge w:val="continue"/>
          </w:tcPr>
          <w:p>
            <w:pPr>
              <w:spacing w:after="0"/>
              <w:rPr>
                <w:sz w:val="19"/>
                <w:szCs w:val="19"/>
                <w:color w:val="auto"/>
              </w:rPr>
            </w:pPr>
          </w:p>
        </w:tc>
        <w:tc>
          <w:tcPr>
            <w:tcW w:w="1240" w:type="dxa"/>
            <w:vAlign w:val="bottom"/>
            <w:tcBorders>
              <w:top w:val="single" w:sz="8" w:color="auto"/>
            </w:tcBorders>
          </w:tcPr>
          <w:p>
            <w:pPr>
              <w:jc w:val="right"/>
              <w:ind w:right="242"/>
              <w:spacing w:after="0"/>
              <w:rPr>
                <w:sz w:val="20"/>
                <w:szCs w:val="20"/>
                <w:color w:val="auto"/>
              </w:rPr>
            </w:pPr>
            <w:r>
              <w:rPr>
                <w:rFonts w:ascii="Arial" w:cs="Arial" w:eastAsia="Arial" w:hAnsi="Arial"/>
                <w:sz w:val="18"/>
                <w:szCs w:val="18"/>
                <w:color w:val="auto"/>
              </w:rPr>
              <w:t>$644,000</w:t>
            </w:r>
          </w:p>
        </w:tc>
        <w:tc>
          <w:tcPr>
            <w:tcW w:w="540" w:type="dxa"/>
            <w:vAlign w:val="bottom"/>
          </w:tcPr>
          <w:p>
            <w:pPr>
              <w:spacing w:after="0"/>
              <w:rPr>
                <w:sz w:val="19"/>
                <w:szCs w:val="19"/>
                <w:color w:val="auto"/>
              </w:rPr>
            </w:pPr>
          </w:p>
        </w:tc>
        <w:tc>
          <w:tcPr>
            <w:tcW w:w="12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$519,000</w:t>
            </w:r>
          </w:p>
        </w:tc>
        <w:tc>
          <w:tcPr>
            <w:tcW w:w="420" w:type="dxa"/>
            <w:vAlign w:val="bottom"/>
          </w:tcPr>
          <w:p>
            <w:pPr>
              <w:spacing w:after="0"/>
              <w:rPr>
                <w:sz w:val="19"/>
                <w:szCs w:val="19"/>
                <w:color w:val="auto"/>
              </w:rPr>
            </w:pPr>
          </w:p>
        </w:tc>
        <w:tc>
          <w:tcPr>
            <w:tcW w:w="1280" w:type="dxa"/>
            <w:vAlign w:val="bottom"/>
            <w:tcBorders>
              <w:top w:val="single" w:sz="8" w:color="auto"/>
            </w:tcBorders>
          </w:tcPr>
          <w:p>
            <w:pPr>
              <w:jc w:val="right"/>
              <w:ind w:right="182"/>
              <w:spacing w:after="0"/>
              <w:rPr>
                <w:sz w:val="20"/>
                <w:szCs w:val="20"/>
                <w:color w:val="auto"/>
              </w:rPr>
            </w:pPr>
            <w:r>
              <w:rPr>
                <w:rFonts w:ascii="Arial" w:cs="Arial" w:eastAsia="Arial" w:hAnsi="Arial"/>
                <w:sz w:val="18"/>
                <w:szCs w:val="18"/>
                <w:color w:val="auto"/>
              </w:rPr>
              <w:t>$1,262,000</w:t>
            </w:r>
          </w:p>
        </w:tc>
        <w:tc>
          <w:tcPr>
            <w:tcW w:w="460" w:type="dxa"/>
            <w:vAlign w:val="bottom"/>
          </w:tcPr>
          <w:p>
            <w:pPr>
              <w:spacing w:after="0"/>
              <w:rPr>
                <w:sz w:val="19"/>
                <w:szCs w:val="19"/>
                <w:color w:val="auto"/>
              </w:rPr>
            </w:pP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$908,000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stock option related compensation expense was recognized on a straight line basis over the vesting period of each grant net of estimated forfeitures. The Company’s estimated forfeiture rates are based on its historical experience within separate groups of employees. The estimated fair value of the options granted during 2007 and prior years was calculated using a Black Scholes Merton option pricing model (Black Scholes model). The following summarizes the weighted average fair value per share of options granted during the period and assumptions used in the Black Scholes model to calculate the fair value: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2760" w:type="dxa"/>
            <w:vAlign w:val="bottom"/>
            <w:gridSpan w:val="3"/>
          </w:tcPr>
          <w:p>
            <w:pPr>
              <w:jc w:val="right"/>
              <w:ind w:right="728"/>
              <w:spacing w:after="0"/>
              <w:rPr>
                <w:sz w:val="20"/>
                <w:szCs w:val="20"/>
                <w:color w:val="auto"/>
              </w:rPr>
            </w:pPr>
            <w:r>
              <w:rPr>
                <w:rFonts w:ascii="Arial" w:cs="Arial" w:eastAsia="Arial" w:hAnsi="Arial"/>
                <w:sz w:val="14"/>
                <w:szCs w:val="14"/>
                <w:color w:val="auto"/>
              </w:rPr>
              <w:t>Three months ended</w:t>
            </w:r>
          </w:p>
        </w:tc>
      </w:tr>
      <w:tr>
        <w:trPr>
          <w:trHeight w:val="167"/>
        </w:trPr>
        <w:tc>
          <w:tcPr>
            <w:tcW w:w="86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1068"/>
              <w:spacing w:after="0"/>
              <w:rPr>
                <w:sz w:val="20"/>
                <w:szCs w:val="20"/>
                <w:color w:val="auto"/>
              </w:rPr>
            </w:pPr>
            <w:r>
              <w:rPr>
                <w:rFonts w:ascii="Arial" w:cs="Arial" w:eastAsia="Arial" w:hAnsi="Arial"/>
                <w:sz w:val="14"/>
                <w:szCs w:val="14"/>
                <w:color w:val="auto"/>
              </w:rPr>
              <w:t>June 30,</w:t>
            </w:r>
          </w:p>
        </w:tc>
      </w:tr>
      <w:tr>
        <w:trPr>
          <w:trHeight w:val="142"/>
        </w:trPr>
        <w:tc>
          <w:tcPr>
            <w:tcW w:w="8660" w:type="dxa"/>
            <w:vAlign w:val="bottom"/>
          </w:tcPr>
          <w:p>
            <w:pPr>
              <w:spacing w:after="0"/>
              <w:rPr>
                <w:sz w:val="12"/>
                <w:szCs w:val="12"/>
                <w:color w:val="auto"/>
              </w:rPr>
            </w:pPr>
          </w:p>
        </w:tc>
        <w:tc>
          <w:tcPr>
            <w:tcW w:w="106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color w:val="auto"/>
              </w:rPr>
              <w:t>2007</w:t>
            </w:r>
          </w:p>
        </w:tc>
        <w:tc>
          <w:tcPr>
            <w:tcW w:w="540" w:type="dxa"/>
            <w:vAlign w:val="bottom"/>
          </w:tcPr>
          <w:p>
            <w:pPr>
              <w:spacing w:after="0"/>
              <w:rPr>
                <w:sz w:val="12"/>
                <w:szCs w:val="12"/>
                <w:color w:val="auto"/>
              </w:rPr>
            </w:pPr>
          </w:p>
        </w:tc>
        <w:tc>
          <w:tcPr>
            <w:tcW w:w="116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2006</w:t>
            </w: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per share of options granted</w:t>
            </w:r>
          </w:p>
        </w:tc>
        <w:tc>
          <w:tcPr>
            <w:tcW w:w="10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$ 2.01</w:t>
            </w:r>
          </w:p>
        </w:tc>
        <w:tc>
          <w:tcPr>
            <w:tcW w:w="17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2.43</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Assumptions:</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Risk – free interest rate</w:t>
            </w:r>
            <w:r>
              <w:rPr>
                <w:rFonts w:ascii="Arial" w:cs="Arial" w:eastAsia="Arial" w:hAnsi="Arial"/>
                <w:sz w:val="15"/>
                <w:szCs w:val="15"/>
                <w:color w:val="auto"/>
              </w:rPr>
              <w:t>(1)</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4.68%</w:t>
            </w:r>
          </w:p>
        </w:tc>
        <w:tc>
          <w:tcPr>
            <w:tcW w:w="17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5.08%</w:t>
            </w: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Volatility</w:t>
            </w:r>
            <w:r>
              <w:rPr>
                <w:rFonts w:ascii="Arial" w:cs="Arial" w:eastAsia="Arial" w:hAnsi="Arial"/>
                <w:sz w:val="15"/>
                <w:szCs w:val="15"/>
                <w:color w:val="auto"/>
              </w:rPr>
              <w:t>(2)</w:t>
            </w: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98.17%</w:t>
            </w:r>
          </w:p>
        </w:tc>
        <w:tc>
          <w:tcPr>
            <w:tcW w:w="1700" w:type="dxa"/>
            <w:vAlign w:val="bottom"/>
            <w:gridSpan w:val="2"/>
          </w:tcPr>
          <w:p>
            <w:pPr>
              <w:jc w:val="right"/>
              <w:ind w:right="108"/>
              <w:spacing w:after="0"/>
              <w:rPr>
                <w:sz w:val="20"/>
                <w:szCs w:val="20"/>
                <w:color w:val="auto"/>
              </w:rPr>
            </w:pPr>
            <w:r>
              <w:rPr>
                <w:rFonts w:ascii="Arial" w:cs="Arial" w:eastAsia="Arial" w:hAnsi="Arial"/>
                <w:sz w:val="18"/>
                <w:szCs w:val="18"/>
                <w:color w:val="auto"/>
              </w:rPr>
              <w:t>110.76%</w:t>
            </w: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yield</w:t>
            </w:r>
            <w:r>
              <w:rPr>
                <w:rFonts w:ascii="Arial" w:cs="Arial" w:eastAsia="Arial" w:hAnsi="Arial"/>
                <w:sz w:val="15"/>
                <w:szCs w:val="15"/>
                <w:color w:val="auto"/>
              </w:rPr>
              <w:t>(3)</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0%</w:t>
            </w:r>
          </w:p>
        </w:tc>
        <w:tc>
          <w:tcPr>
            <w:tcW w:w="17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w:t>
            </w:r>
          </w:p>
        </w:tc>
      </w:tr>
      <w:tr>
        <w:trPr>
          <w:trHeight w:val="230"/>
        </w:trPr>
        <w:tc>
          <w:tcPr>
            <w:tcW w:w="8660" w:type="dxa"/>
            <w:vAlign w:val="bottom"/>
          </w:tcPr>
          <w:p>
            <w:pPr>
              <w:ind w:left="220"/>
              <w:spacing w:after="0"/>
              <w:rPr>
                <w:sz w:val="20"/>
                <w:szCs w:val="20"/>
                <w:color w:val="auto"/>
              </w:rPr>
            </w:pPr>
            <w:r>
              <w:rPr>
                <w:rFonts w:ascii="Arial" w:cs="Arial" w:eastAsia="Arial" w:hAnsi="Arial"/>
                <w:sz w:val="18"/>
                <w:szCs w:val="18"/>
                <w:color w:val="auto"/>
              </w:rPr>
              <w:t>Expected term (years until exercise)</w:t>
            </w:r>
            <w:r>
              <w:rPr>
                <w:rFonts w:ascii="Arial" w:cs="Arial" w:eastAsia="Arial" w:hAnsi="Arial"/>
                <w:sz w:val="15"/>
                <w:szCs w:val="15"/>
                <w:color w:val="auto"/>
              </w:rPr>
              <w:t>(4)</w:t>
            </w:r>
          </w:p>
        </w:tc>
        <w:tc>
          <w:tcPr>
            <w:tcW w:w="1060" w:type="dxa"/>
            <w:vAlign w:val="bottom"/>
          </w:tcPr>
          <w:p>
            <w:pPr>
              <w:jc w:val="right"/>
              <w:ind w:right="255"/>
              <w:spacing w:after="0"/>
              <w:rPr>
                <w:sz w:val="20"/>
                <w:szCs w:val="20"/>
                <w:color w:val="auto"/>
              </w:rPr>
            </w:pPr>
            <w:r>
              <w:rPr>
                <w:rFonts w:ascii="Arial" w:cs="Arial" w:eastAsia="Arial" w:hAnsi="Arial"/>
                <w:sz w:val="18"/>
                <w:szCs w:val="18"/>
                <w:color w:val="auto"/>
              </w:rPr>
              <w:t>6.25</w:t>
            </w:r>
          </w:p>
        </w:tc>
        <w:tc>
          <w:tcPr>
            <w:tcW w:w="1700" w:type="dxa"/>
            <w:vAlign w:val="bottom"/>
            <w:gridSpan w:val="2"/>
          </w:tcPr>
          <w:p>
            <w:pPr>
              <w:jc w:val="right"/>
              <w:ind w:right="268"/>
              <w:spacing w:after="0"/>
              <w:rPr>
                <w:sz w:val="20"/>
                <w:szCs w:val="20"/>
                <w:color w:val="auto"/>
              </w:rPr>
            </w:pPr>
            <w:r>
              <w:rPr>
                <w:rFonts w:ascii="Arial" w:cs="Arial" w:eastAsia="Arial" w:hAnsi="Arial"/>
                <w:sz w:val="18"/>
                <w:szCs w:val="18"/>
                <w:color w:val="auto"/>
              </w:rPr>
              <w:t>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5660" w:right="2120" w:hanging="5652"/>
        <w:spacing w:after="0" w:line="481" w:lineRule="auto"/>
        <w:tabs>
          <w:tab w:leader="none" w:pos="44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risk-free interest rate is based on U.S. Treasury debt securities with maturities close to the expected term of the option.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580" w:hanging="43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volatility is based on historical volatility of the Company’s stock factoring in daily share price observations. In computing expected volatility, the length of the historical period used is equal to the length of the expected term of the option.</w:t>
      </w:r>
    </w:p>
    <w:p>
      <w:pPr>
        <w:spacing w:after="0" w:line="75" w:lineRule="exact"/>
        <w:rPr>
          <w:rFonts w:ascii="Arial" w:cs="Arial" w:eastAsia="Arial" w:hAnsi="Arial"/>
          <w:sz w:val="18"/>
          <w:szCs w:val="18"/>
          <w:color w:val="auto"/>
        </w:rPr>
      </w:pPr>
    </w:p>
    <w:p>
      <w:pPr>
        <w:ind w:left="660" w:right="580" w:hanging="43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cash dividends have been declared on the Company’s common stock since the Company’s inception, and the Company currently does not anticipate paying cash dividends over the expected term of the option.</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term is equal to the average of the contractual life of the stock option and its vesting period.</w:t>
      </w:r>
    </w:p>
    <w:p>
      <w:pPr>
        <w:spacing w:after="0" w:line="117" w:lineRule="exact"/>
        <w:rPr>
          <w:sz w:val="20"/>
          <w:szCs w:val="20"/>
          <w:color w:val="auto"/>
        </w:rPr>
      </w:pPr>
    </w:p>
    <w:p>
      <w:pPr>
        <w:ind w:right="100" w:firstLine="215"/>
        <w:spacing w:after="0" w:line="286" w:lineRule="auto"/>
        <w:rPr>
          <w:sz w:val="20"/>
          <w:szCs w:val="20"/>
          <w:color w:val="auto"/>
        </w:rPr>
      </w:pPr>
      <w:r>
        <w:rPr>
          <w:rFonts w:ascii="Arial" w:cs="Arial" w:eastAsia="Arial" w:hAnsi="Arial"/>
          <w:sz w:val="17"/>
          <w:szCs w:val="17"/>
          <w:color w:val="auto"/>
        </w:rPr>
        <w:t>At June 30, 2007, approximately $5,905,000 of unrecognized compensation expense related to stock options is expected to be recognized over a weighted average period of approximately 1.4 years. The resulting effect on net loss and net loss per share attributable to common stockholders is not likely to be representative of the effects in future periods, due to changes in forfeiture rates, additional grants and subsequent periods of vesting.</w:t>
      </w:r>
    </w:p>
    <w:p>
      <w:pPr>
        <w:spacing w:after="0" w:line="57"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Company has four active stock option plans that were authorized to award 14,000,000 shares in aggregate. A total of 4,555,344 shares were available for grant from these four plans at June 30, 2007.</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information about stock option activity for the three months ended June 30, 2007: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4"/>
              </w:rPr>
              <w:t>Weighted</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9"/>
        </w:trPr>
        <w:tc>
          <w:tcPr>
            <w:tcW w:w="5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5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ind w:left="240"/>
              <w:spacing w:after="0" w:line="149" w:lineRule="exact"/>
              <w:rPr>
                <w:sz w:val="20"/>
                <w:szCs w:val="20"/>
                <w:color w:val="auto"/>
              </w:rPr>
            </w:pPr>
            <w:r>
              <w:rPr>
                <w:rFonts w:ascii="Arial" w:cs="Arial" w:eastAsia="Arial" w:hAnsi="Arial"/>
                <w:sz w:val="14"/>
                <w:szCs w:val="14"/>
                <w:color w:val="auto"/>
              </w:rPr>
              <w:t>Weighted</w:t>
            </w:r>
          </w:p>
        </w:tc>
        <w:tc>
          <w:tcPr>
            <w:tcW w:w="4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remaining</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5360" w:type="dxa"/>
            <w:vAlign w:val="bottom"/>
          </w:tcPr>
          <w:p>
            <w:pPr>
              <w:spacing w:after="0"/>
              <w:rPr>
                <w:sz w:val="12"/>
                <w:szCs w:val="12"/>
                <w:color w:val="auto"/>
              </w:rPr>
            </w:pPr>
          </w:p>
        </w:tc>
        <w:tc>
          <w:tcPr>
            <w:tcW w:w="130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Number of</w:t>
            </w:r>
          </w:p>
        </w:tc>
        <w:tc>
          <w:tcPr>
            <w:tcW w:w="4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4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3"/>
              </w:rPr>
              <w:t>contractual</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293"/>
              <w:spacing w:after="0" w:line="149" w:lineRule="exact"/>
              <w:rPr>
                <w:sz w:val="20"/>
                <w:szCs w:val="20"/>
                <w:color w:val="auto"/>
              </w:rPr>
            </w:pPr>
            <w:r>
              <w:rPr>
                <w:rFonts w:ascii="Arial" w:cs="Arial" w:eastAsia="Arial" w:hAnsi="Arial"/>
                <w:sz w:val="14"/>
                <w:szCs w:val="14"/>
                <w:color w:val="auto"/>
                <w:w w:val="99"/>
              </w:rPr>
              <w:t>Aggregate</w:t>
            </w:r>
          </w:p>
        </w:tc>
      </w:tr>
      <w:tr>
        <w:trPr>
          <w:trHeight w:val="167"/>
        </w:trPr>
        <w:tc>
          <w:tcPr>
            <w:tcW w:w="5360" w:type="dxa"/>
            <w:vAlign w:val="bottom"/>
          </w:tcPr>
          <w:p>
            <w:pPr>
              <w:spacing w:after="0"/>
              <w:rPr>
                <w:sz w:val="14"/>
                <w:szCs w:val="14"/>
                <w:color w:val="auto"/>
              </w:rPr>
            </w:pPr>
          </w:p>
        </w:tc>
        <w:tc>
          <w:tcPr>
            <w:tcW w:w="13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options</w:t>
            </w:r>
          </w:p>
        </w:tc>
        <w:tc>
          <w:tcPr>
            <w:tcW w:w="4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exercise price</w:t>
            </w:r>
          </w:p>
        </w:tc>
        <w:tc>
          <w:tcPr>
            <w:tcW w:w="4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term years)</w:t>
            </w:r>
          </w:p>
        </w:tc>
        <w:tc>
          <w:tcPr>
            <w:tcW w:w="460" w:type="dxa"/>
            <w:vAlign w:val="bottom"/>
          </w:tcPr>
          <w:p>
            <w:pPr>
              <w:spacing w:after="0"/>
              <w:rPr>
                <w:sz w:val="14"/>
                <w:szCs w:val="14"/>
                <w:color w:val="auto"/>
              </w:rPr>
            </w:pPr>
          </w:p>
        </w:tc>
        <w:tc>
          <w:tcPr>
            <w:tcW w:w="136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4"/>
                <w:szCs w:val="14"/>
                <w:color w:val="auto"/>
              </w:rPr>
              <w:t>intrinsic value</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2007</w:t>
            </w:r>
          </w:p>
        </w:tc>
        <w:tc>
          <w:tcPr>
            <w:tcW w:w="13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8,607,859</w:t>
            </w:r>
          </w:p>
        </w:tc>
        <w:tc>
          <w:tcPr>
            <w:tcW w:w="14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$2.88</w:t>
            </w:r>
          </w:p>
        </w:tc>
        <w:tc>
          <w:tcPr>
            <w:tcW w:w="14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1"/>
              </w:rPr>
              <w:t>6.16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7"/>
              </w:rPr>
              <w:t>4,181,124</w:t>
            </w: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194"/>
              <w:spacing w:after="0"/>
              <w:rPr>
                <w:sz w:val="20"/>
                <w:szCs w:val="20"/>
                <w:color w:val="auto"/>
              </w:rPr>
            </w:pPr>
            <w:r>
              <w:rPr>
                <w:rFonts w:ascii="Arial" w:cs="Arial" w:eastAsia="Arial" w:hAnsi="Arial"/>
                <w:sz w:val="18"/>
                <w:szCs w:val="18"/>
                <w:color w:val="auto"/>
              </w:rPr>
              <w:t>459,500</w:t>
            </w:r>
          </w:p>
        </w:tc>
        <w:tc>
          <w:tcPr>
            <w:tcW w:w="1460" w:type="dxa"/>
            <w:vAlign w:val="bottom"/>
            <w:gridSpan w:val="2"/>
          </w:tcPr>
          <w:p>
            <w:pPr>
              <w:ind w:left="720"/>
              <w:spacing w:after="0"/>
              <w:rPr>
                <w:sz w:val="20"/>
                <w:szCs w:val="20"/>
                <w:color w:val="auto"/>
              </w:rPr>
            </w:pPr>
            <w:r>
              <w:rPr>
                <w:rFonts w:ascii="Arial" w:cs="Arial" w:eastAsia="Arial" w:hAnsi="Arial"/>
                <w:sz w:val="18"/>
                <w:szCs w:val="18"/>
                <w:color w:val="auto"/>
              </w:rPr>
              <w:t>$2.48</w:t>
            </w:r>
          </w:p>
        </w:tc>
        <w:tc>
          <w:tcPr>
            <w:tcW w:w="1480" w:type="dxa"/>
            <w:vAlign w:val="bottom"/>
            <w:gridSpan w:val="2"/>
          </w:tcPr>
          <w:p>
            <w:pPr>
              <w:jc w:val="center"/>
              <w:ind w:left="390"/>
              <w:spacing w:after="0"/>
              <w:rPr>
                <w:sz w:val="20"/>
                <w:szCs w:val="20"/>
                <w:color w:val="auto"/>
              </w:rPr>
            </w:pPr>
            <w:r>
              <w:rPr>
                <w:rFonts w:ascii="Arial" w:cs="Arial" w:eastAsia="Arial" w:hAnsi="Arial"/>
                <w:sz w:val="18"/>
                <w:szCs w:val="18"/>
                <w:color w:val="auto"/>
                <w:w w:val="91"/>
              </w:rPr>
              <w:t>9.88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w:t>
            </w: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(5,999)</w:t>
            </w:r>
          </w:p>
        </w:tc>
        <w:tc>
          <w:tcPr>
            <w:tcW w:w="14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$1.56</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6,719</w:t>
            </w: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(24,166)</w:t>
            </w:r>
          </w:p>
        </w:tc>
        <w:tc>
          <w:tcPr>
            <w:tcW w:w="1460" w:type="dxa"/>
            <w:vAlign w:val="bottom"/>
            <w:gridSpan w:val="2"/>
          </w:tcPr>
          <w:p>
            <w:pPr>
              <w:ind w:left="720"/>
              <w:spacing w:after="0"/>
              <w:rPr>
                <w:sz w:val="20"/>
                <w:szCs w:val="20"/>
                <w:color w:val="auto"/>
              </w:rPr>
            </w:pPr>
            <w:r>
              <w:rPr>
                <w:rFonts w:ascii="Arial" w:cs="Arial" w:eastAsia="Arial" w:hAnsi="Arial"/>
                <w:sz w:val="18"/>
                <w:szCs w:val="18"/>
                <w:color w:val="auto"/>
              </w:rPr>
              <w:t>$3.19</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2007</w:t>
            </w:r>
          </w:p>
        </w:tc>
        <w:tc>
          <w:tcPr>
            <w:tcW w:w="13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9,037,194</w:t>
            </w:r>
          </w:p>
        </w:tc>
        <w:tc>
          <w:tcPr>
            <w:tcW w:w="14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$2.86</w:t>
            </w:r>
          </w:p>
        </w:tc>
        <w:tc>
          <w:tcPr>
            <w:tcW w:w="14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1"/>
              </w:rPr>
              <w:t>6.10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8"/>
              </w:rPr>
              <w:t>3,211,096(1)</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Exercisable at June 30, 2007</w:t>
            </w:r>
          </w:p>
        </w:tc>
        <w:tc>
          <w:tcPr>
            <w:tcW w:w="1300" w:type="dxa"/>
            <w:vAlign w:val="bottom"/>
          </w:tcPr>
          <w:p>
            <w:pPr>
              <w:jc w:val="right"/>
              <w:ind w:right="194"/>
              <w:spacing w:after="0"/>
              <w:rPr>
                <w:sz w:val="20"/>
                <w:szCs w:val="20"/>
                <w:color w:val="auto"/>
              </w:rPr>
            </w:pPr>
            <w:r>
              <w:rPr>
                <w:rFonts w:ascii="Arial" w:cs="Arial" w:eastAsia="Arial" w:hAnsi="Arial"/>
                <w:sz w:val="18"/>
                <w:szCs w:val="18"/>
                <w:color w:val="auto"/>
              </w:rPr>
              <w:t>5,095,220</w:t>
            </w:r>
          </w:p>
        </w:tc>
        <w:tc>
          <w:tcPr>
            <w:tcW w:w="1460" w:type="dxa"/>
            <w:vAlign w:val="bottom"/>
            <w:gridSpan w:val="2"/>
          </w:tcPr>
          <w:p>
            <w:pPr>
              <w:ind w:left="720"/>
              <w:spacing w:after="0"/>
              <w:rPr>
                <w:sz w:val="20"/>
                <w:szCs w:val="20"/>
                <w:color w:val="auto"/>
              </w:rPr>
            </w:pPr>
            <w:r>
              <w:rPr>
                <w:rFonts w:ascii="Arial" w:cs="Arial" w:eastAsia="Arial" w:hAnsi="Arial"/>
                <w:sz w:val="18"/>
                <w:szCs w:val="18"/>
                <w:color w:val="auto"/>
              </w:rPr>
              <w:t>$3.10</w:t>
            </w:r>
          </w:p>
        </w:tc>
        <w:tc>
          <w:tcPr>
            <w:tcW w:w="1480" w:type="dxa"/>
            <w:vAlign w:val="bottom"/>
            <w:gridSpan w:val="2"/>
          </w:tcPr>
          <w:p>
            <w:pPr>
              <w:jc w:val="center"/>
              <w:ind w:left="390"/>
              <w:spacing w:after="0"/>
              <w:rPr>
                <w:sz w:val="20"/>
                <w:szCs w:val="20"/>
                <w:color w:val="auto"/>
              </w:rPr>
            </w:pPr>
            <w:r>
              <w:rPr>
                <w:rFonts w:ascii="Arial" w:cs="Arial" w:eastAsia="Arial" w:hAnsi="Arial"/>
                <w:sz w:val="18"/>
                <w:szCs w:val="18"/>
                <w:color w:val="auto"/>
                <w:w w:val="91"/>
              </w:rPr>
              <w:t>3.94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w w:val="88"/>
              </w:rPr>
              <w:t>2,392,703(1)</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June 30, 2007 (2)</w:t>
            </w:r>
          </w:p>
        </w:tc>
        <w:tc>
          <w:tcPr>
            <w:tcW w:w="13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8,377,155</w:t>
            </w:r>
          </w:p>
        </w:tc>
        <w:tc>
          <w:tcPr>
            <w:tcW w:w="14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$2.88</w:t>
            </w:r>
          </w:p>
        </w:tc>
        <w:tc>
          <w:tcPr>
            <w:tcW w:w="14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1"/>
              </w:rPr>
              <w:t>5.95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8"/>
              </w:rPr>
              <w:t>3,104,360(1)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intrinsic values are calculated using the Company’s closing stock price of $ 2.31 on June 30,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These calculations include options already vested at June 30, 2007 and options expected to vest net of estimated forfeitures after June 30, 2007.</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changes to the Company’s unvested options during the three-month period ended June 30, 2007 is presented below: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95"/>
              </w:rPr>
              <w:t>Number of securities</w:t>
            </w: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color w:val="auto"/>
                <w:w w:val="94"/>
              </w:rPr>
              <w:t>underlying unvested</w:t>
            </w:r>
          </w:p>
        </w:tc>
        <w:tc>
          <w:tcPr>
            <w:tcW w:w="480" w:type="dxa"/>
            <w:vAlign w:val="bottom"/>
          </w:tcPr>
          <w:p>
            <w:pPr>
              <w:spacing w:after="0"/>
              <w:rPr>
                <w:sz w:val="12"/>
                <w:szCs w:val="12"/>
                <w:color w:val="auto"/>
              </w:rPr>
            </w:pPr>
          </w:p>
        </w:tc>
        <w:tc>
          <w:tcPr>
            <w:tcW w:w="13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Weighted average</w:t>
            </w:r>
          </w:p>
        </w:tc>
      </w:tr>
      <w:tr>
        <w:trPr>
          <w:trHeight w:val="167"/>
        </w:trPr>
        <w:tc>
          <w:tcPr>
            <w:tcW w:w="20" w:type="dxa"/>
            <w:vAlign w:val="bottom"/>
          </w:tcPr>
          <w:p>
            <w:pPr>
              <w:spacing w:after="0"/>
              <w:rPr>
                <w:sz w:val="14"/>
                <w:szCs w:val="14"/>
                <w:color w:val="auto"/>
              </w:rPr>
            </w:pPr>
          </w:p>
        </w:tc>
        <w:tc>
          <w:tcPr>
            <w:tcW w:w="7400" w:type="dxa"/>
            <w:vAlign w:val="bottom"/>
            <w:tcBorders>
              <w:bottom w:val="single" w:sz="8" w:color="auto"/>
            </w:tcBorders>
          </w:tcPr>
          <w:p>
            <w:pPr>
              <w:ind w:left="3180"/>
              <w:spacing w:after="0"/>
              <w:rPr>
                <w:sz w:val="20"/>
                <w:szCs w:val="20"/>
                <w:color w:val="auto"/>
              </w:rPr>
            </w:pPr>
            <w:r>
              <w:rPr>
                <w:rFonts w:ascii="Arial" w:cs="Arial" w:eastAsia="Arial" w:hAnsi="Arial"/>
                <w:sz w:val="14"/>
                <w:szCs w:val="14"/>
                <w:color w:val="auto"/>
              </w:rPr>
              <w:t>Unvested Options</w:t>
            </w:r>
          </w:p>
        </w:tc>
        <w:tc>
          <w:tcPr>
            <w:tcW w:w="48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options</w:t>
            </w:r>
          </w:p>
        </w:tc>
        <w:tc>
          <w:tcPr>
            <w:tcW w:w="480" w:type="dxa"/>
            <w:vAlign w:val="bottom"/>
          </w:tcPr>
          <w:p>
            <w:pPr>
              <w:spacing w:after="0"/>
              <w:rPr>
                <w:sz w:val="14"/>
                <w:szCs w:val="14"/>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grant date fair value</w:t>
            </w: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Unvested options at March 31, 2007</w:t>
            </w:r>
          </w:p>
        </w:tc>
        <w:tc>
          <w:tcPr>
            <w:tcW w:w="22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3,722,000</w:t>
            </w:r>
          </w:p>
        </w:tc>
        <w:tc>
          <w:tcPr>
            <w:tcW w:w="17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$2.12</w:t>
            </w: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Granted this period</w:t>
            </w:r>
          </w:p>
        </w:tc>
        <w:tc>
          <w:tcPr>
            <w:tcW w:w="2220" w:type="dxa"/>
            <w:vAlign w:val="bottom"/>
            <w:gridSpan w:val="2"/>
          </w:tcPr>
          <w:p>
            <w:pPr>
              <w:jc w:val="right"/>
              <w:ind w:right="428"/>
              <w:spacing w:after="0"/>
              <w:rPr>
                <w:sz w:val="20"/>
                <w:szCs w:val="20"/>
                <w:color w:val="auto"/>
              </w:rPr>
            </w:pPr>
            <w:r>
              <w:rPr>
                <w:rFonts w:ascii="Arial" w:cs="Arial" w:eastAsia="Arial" w:hAnsi="Arial"/>
                <w:sz w:val="18"/>
                <w:szCs w:val="18"/>
                <w:color w:val="auto"/>
              </w:rPr>
              <w:t>459,500</w:t>
            </w:r>
          </w:p>
        </w:tc>
        <w:tc>
          <w:tcPr>
            <w:tcW w:w="1780" w:type="dxa"/>
            <w:vAlign w:val="bottom"/>
            <w:gridSpan w:val="2"/>
          </w:tcPr>
          <w:p>
            <w:pPr>
              <w:jc w:val="right"/>
              <w:ind w:right="408"/>
              <w:spacing w:after="0"/>
              <w:rPr>
                <w:sz w:val="20"/>
                <w:szCs w:val="20"/>
                <w:color w:val="auto"/>
              </w:rPr>
            </w:pPr>
            <w:r>
              <w:rPr>
                <w:rFonts w:ascii="Arial" w:cs="Arial" w:eastAsia="Arial" w:hAnsi="Arial"/>
                <w:sz w:val="18"/>
                <w:szCs w:val="18"/>
                <w:color w:val="auto"/>
              </w:rPr>
              <w:t>$2.01</w:t>
            </w: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Vested this period</w:t>
            </w:r>
          </w:p>
        </w:tc>
        <w:tc>
          <w:tcPr>
            <w:tcW w:w="22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(219,526)</w:t>
            </w:r>
          </w:p>
        </w:tc>
        <w:tc>
          <w:tcPr>
            <w:tcW w:w="17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$2.45</w:t>
            </w: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Forfeited this period</w:t>
            </w:r>
          </w:p>
        </w:tc>
        <w:tc>
          <w:tcPr>
            <w:tcW w:w="2220" w:type="dxa"/>
            <w:vAlign w:val="bottom"/>
            <w:gridSpan w:val="2"/>
          </w:tcPr>
          <w:p>
            <w:pPr>
              <w:jc w:val="right"/>
              <w:ind w:right="368"/>
              <w:spacing w:after="0"/>
              <w:rPr>
                <w:sz w:val="20"/>
                <w:szCs w:val="20"/>
                <w:color w:val="auto"/>
              </w:rPr>
            </w:pPr>
            <w:r>
              <w:rPr>
                <w:rFonts w:ascii="Arial" w:cs="Arial" w:eastAsia="Arial" w:hAnsi="Arial"/>
                <w:sz w:val="18"/>
                <w:szCs w:val="18"/>
                <w:color w:val="auto"/>
              </w:rPr>
              <w:t>(20,000)</w:t>
            </w:r>
          </w:p>
        </w:tc>
        <w:tc>
          <w:tcPr>
            <w:tcW w:w="1780" w:type="dxa"/>
            <w:vAlign w:val="bottom"/>
            <w:gridSpan w:val="2"/>
          </w:tcPr>
          <w:p>
            <w:pPr>
              <w:jc w:val="right"/>
              <w:ind w:right="408"/>
              <w:spacing w:after="0"/>
              <w:rPr>
                <w:sz w:val="20"/>
                <w:szCs w:val="20"/>
                <w:color w:val="auto"/>
              </w:rPr>
            </w:pPr>
            <w:r>
              <w:rPr>
                <w:rFonts w:ascii="Arial" w:cs="Arial" w:eastAsia="Arial" w:hAnsi="Arial"/>
                <w:sz w:val="18"/>
                <w:szCs w:val="18"/>
                <w:color w:val="auto"/>
              </w:rPr>
              <w:t>$2.34</w:t>
            </w: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Unvested options at June 30, 2007</w:t>
            </w:r>
          </w:p>
        </w:tc>
        <w:tc>
          <w:tcPr>
            <w:tcW w:w="22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3,941,974</w:t>
            </w:r>
          </w:p>
        </w:tc>
        <w:tc>
          <w:tcPr>
            <w:tcW w:w="17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$2.09</w:t>
            </w:r>
          </w:p>
        </w:tc>
      </w:tr>
    </w:tbl>
    <w:p>
      <w:pPr>
        <w:spacing w:after="0" w:line="94" w:lineRule="exact"/>
        <w:rPr>
          <w:sz w:val="20"/>
          <w:szCs w:val="20"/>
          <w:color w:val="auto"/>
        </w:rPr>
      </w:pPr>
    </w:p>
    <w:p>
      <w:pPr>
        <w:ind w:right="40" w:firstLine="222"/>
        <w:spacing w:after="0" w:line="302" w:lineRule="auto"/>
        <w:rPr>
          <w:sz w:val="20"/>
          <w:szCs w:val="20"/>
          <w:color w:val="auto"/>
        </w:rPr>
      </w:pPr>
      <w:r>
        <w:rPr>
          <w:rFonts w:ascii="Arial" w:cs="Arial" w:eastAsia="Arial" w:hAnsi="Arial"/>
          <w:sz w:val="16"/>
          <w:szCs w:val="16"/>
          <w:color w:val="auto"/>
        </w:rPr>
        <w:t xml:space="preserve">The Company accounts for stock options granted to non-employees in accordance with SFAS 123 and Emerging Issues Task Force (EITF) 96-18 — </w:t>
      </w:r>
      <w:r>
        <w:rPr>
          <w:rFonts w:ascii="Arial" w:cs="Arial" w:eastAsia="Arial" w:hAnsi="Arial"/>
          <w:sz w:val="16"/>
          <w:szCs w:val="16"/>
          <w:i w:val="1"/>
          <w:iCs w:val="1"/>
          <w:color w:val="auto"/>
        </w:rPr>
        <w:t xml:space="preserve">“Accounting For Equity Instruments That Are Issued To Other Than Employees For Acquiring, Or In Conjunction With Selling, Goods Or Services,”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accordingly, recognizes as expense the estimated fair value of such options as calculated using the Black Scholes model. The fair value is re-measured at each reporting date during the service period and is amortized over the vesting period of each option or the recipient’s contractual arrangement, if shorter.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Appreciation Rights</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In July 2006, the Company, pursuant to the 2006 Equity Incentive Plan, granted cash-settled Stock Appreciation Rights (SARs) to certain employees. The SARs give the holder the right, upon exercise, to the difference between the price per share of the Company’s common stock at the time of exercise and the exercise price of the SAR. The exercise price of the SARs is equal to the market price of the Company’s common shares at the date of grant. The SARs vest on the same schedule as the Company’s qualified options issued to employees, i.e., 25% on the first anniversary of the grant date and then 1/48</w:t>
      </w:r>
      <w:r>
        <w:rPr>
          <w:rFonts w:ascii="Arial" w:cs="Arial" w:eastAsia="Arial" w:hAnsi="Arial"/>
          <w:sz w:val="13"/>
          <w:szCs w:val="13"/>
          <w:color w:val="auto"/>
        </w:rPr>
        <w:t>th</w:t>
      </w:r>
      <w:r>
        <w:rPr>
          <w:rFonts w:ascii="Arial" w:cs="Arial" w:eastAsia="Arial" w:hAnsi="Arial"/>
          <w:sz w:val="16"/>
          <w:szCs w:val="16"/>
          <w:color w:val="auto"/>
        </w:rPr>
        <w:t xml:space="preserve"> every month thereafter. The Company recognizes compensation expense for the SARs over the requisite service period which is typically the period over which the awards vest. Compensation expense is based on the fair value of SARs which is calculated using the Black Scholes model. The share-based compensation liability for the cost of the requisite service that has been rendered to the reporting date is re-measured at each reporting date through the date of settlement. The following table presents the activity of the Company’s SARs awards for the six month periods ended June 30, 2007 and 2006.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2007</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916"/>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tcPr>
          <w:p>
            <w:pPr>
              <w:ind w:left="60"/>
              <w:spacing w:after="0" w:line="123" w:lineRule="exact"/>
              <w:rPr>
                <w:sz w:val="20"/>
                <w:szCs w:val="20"/>
                <w:color w:val="auto"/>
              </w:rPr>
            </w:pPr>
            <w:r>
              <w:rPr>
                <w:rFonts w:ascii="Arial" w:cs="Arial" w:eastAsia="Arial" w:hAnsi="Arial"/>
                <w:sz w:val="14"/>
                <w:szCs w:val="14"/>
                <w:color w:val="auto"/>
              </w:rPr>
              <w:t>Weighted</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color w:val="auto"/>
              </w:rPr>
              <w:t>Average Exercise</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Average Exercise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SARs</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Price</w:t>
            </w:r>
          </w:p>
        </w:tc>
        <w:tc>
          <w:tcPr>
            <w:tcW w:w="620" w:type="dxa"/>
            <w:vAlign w:val="bottom"/>
          </w:tcPr>
          <w:p>
            <w:pPr>
              <w:spacing w:after="0"/>
              <w:rPr>
                <w:sz w:val="14"/>
                <w:szCs w:val="14"/>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SARs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1,564,599</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2.00</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Canceled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1,564,599</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2.00</w:t>
            </w:r>
          </w:p>
        </w:tc>
        <w:tc>
          <w:tcPr>
            <w:tcW w:w="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SARs exercisable at June 30</w:t>
            </w: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w:t>
            </w:r>
          </w:p>
        </w:tc>
        <w:tc>
          <w:tcPr>
            <w:tcW w:w="8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2"/>
            <w:vMerge w:val="restart"/>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6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For the three-month period ended June 30, 2007, we recorded approximately $55,000 as compensation expense related to SARs granted. At June 30, 2007, approximately $1,654,000 of unrecognized compensation expense related to SARs is expected to be recognized over a weighted average period of approximately 1.65 years. The resulting effect on net loss and net loss per share attributable to common stockholders is not likely to be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representative of the effects in future periods, due to changes in the fair value calculation which is dependent on the stock price, volatility, interest and forfeiture rates, additional grants and subsequent periods of vesting.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The Company currently recognizes revenues resulting from the licensing and use of our technology and intellectual property. Such licensing agreements may contain multiple elements, such as upfront fees, payments related to the achievement of particular milestones and royalties. Revenue from upfront fees for licensing agreements that contain multiple elements are deferred and recognized on a straight-line basis over the term of the agreement, fees associated with substantive at risk performance-based milestones are recognized as revenue upon completion of the scientific or regulatory event specified in the agreement, and royalties received are recognized as earned.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 xml:space="preserve">In June 2006, the FASB issued Interpretation No. 48, </w:t>
      </w:r>
      <w:r>
        <w:rPr>
          <w:rFonts w:ascii="Arial" w:cs="Arial" w:eastAsia="Arial" w:hAnsi="Arial"/>
          <w:sz w:val="16"/>
          <w:szCs w:val="16"/>
          <w:i w:val="1"/>
          <w:iCs w:val="1"/>
          <w:color w:val="auto"/>
        </w:rPr>
        <w:t>“Accounting for Uncertainty in Income Taxes—an Interpretation of FASB Statement No. 109”</w:t>
      </w:r>
      <w:r>
        <w:rPr>
          <w:rFonts w:ascii="Arial" w:cs="Arial" w:eastAsia="Arial" w:hAnsi="Arial"/>
          <w:sz w:val="16"/>
          <w:szCs w:val="16"/>
          <w:color w:val="auto"/>
        </w:rPr>
        <w:t xml:space="preserve"> (“FIN 48”). FIN 48 clarifies the accounting for uncertainty in income taxes recognized in an entity’s financial statements in accordance with SFAS No. 109, “Accounting for Income Taxes,” and prescribes a recognition threshold and measurement attribute for the financial statement recognition and measurement of a tax position taken or expected to be taken in a tax return. Additionally, FIN 48 provides guidance on subsequent derecognition of tax positions, financial statement classification, recognition of interest and penalties, accounting in interim periods, and disclosure and transition requirements. The Company adopted the provisions of FIN 48 on January 1, 2007. Previously, the Company had accounted for tax contingencies in accordance with Statement of Financial Accounting Standards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As required by FIN 48,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 At the adoption date, the Company applied FIN 48 to all tax positions for which the statute of limitations remained open. The amount of unrecognized tax benefits as of January 1, 2007 was zero. There have been no material changes in unrecognized tax benefits since January 1, 2007. The Company is subject to income taxes in the U.S. federal jurisdiction and various state jurisdictions. As of January 1, 2007, due to the carry forward of unutilized net operating losses and research and development credits, the Company is subject to U.S. Federal income tax examinations for the tax years 1992 through 2006, and to state income tax examinations for the tax years 1999 through 2006.</w:t>
      </w:r>
    </w:p>
    <w:p>
      <w:pPr>
        <w:spacing w:after="0" w:line="64" w:lineRule="exact"/>
        <w:rPr>
          <w:sz w:val="20"/>
          <w:szCs w:val="20"/>
          <w:color w:val="auto"/>
        </w:rPr>
      </w:pPr>
    </w:p>
    <w:p>
      <w:pPr>
        <w:jc w:val="both"/>
        <w:ind w:right="260" w:firstLine="222"/>
        <w:spacing w:after="0" w:line="264" w:lineRule="auto"/>
        <w:rPr>
          <w:sz w:val="20"/>
          <w:szCs w:val="20"/>
          <w:color w:val="auto"/>
        </w:rPr>
      </w:pPr>
      <w:r>
        <w:rPr>
          <w:rFonts w:ascii="Arial" w:cs="Arial" w:eastAsia="Arial" w:hAnsi="Arial"/>
          <w:sz w:val="18"/>
          <w:szCs w:val="18"/>
          <w:color w:val="auto"/>
        </w:rPr>
        <w:t>The Company recognizes accrued interest related to unrecognized tax benefits in interest expense and penalties in operating expense. No amounts were accrued for the payment of interest and penalties at January 1, 2007. The Company’s adoption of FIN 48 did not have a material effect on the Company’s financial condition, results of operations or cash flows (See Note 7).</w:t>
      </w:r>
    </w:p>
    <w:p>
      <w:pPr>
        <w:spacing w:after="0" w:line="73"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 xml:space="preserve">In September 2006, the FASB issued FASB Statement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157), which defines fair value, establishes a framework for measuring fair value under GAAP, and expands disclosures about fair value measurements. SFAS 157 applies to other accounting pronouncements that require or permit fair value measurements. The new guidance is effective for financial statements issued for fiscal years beginning after November 15, 2007, and for interim periods within those fiscal years. The Company is currently evaluating the requirements of SFAS 157; however, it does not believe that its adoption will have a material effect on its consolidated financial statements.</w:t>
      </w:r>
    </w:p>
    <w:p>
      <w:pPr>
        <w:spacing w:after="0" w:line="64"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In February 2007, the FASB issued Statement No. 159, “</w:t>
      </w:r>
      <w:r>
        <w:rPr>
          <w:rFonts w:ascii="Arial" w:cs="Arial" w:eastAsia="Arial" w:hAnsi="Arial"/>
          <w:sz w:val="16"/>
          <w:szCs w:val="16"/>
          <w:i w:val="1"/>
          <w:iCs w:val="1"/>
          <w:color w:val="auto"/>
        </w:rPr>
        <w:t>The Fair Value Option for Financial Assets and Financial Liabilities — Including an amendment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FASB Statement No. 115” </w:t>
      </w:r>
      <w:r>
        <w:rPr>
          <w:rFonts w:ascii="Arial" w:cs="Arial" w:eastAsia="Arial" w:hAnsi="Arial"/>
          <w:sz w:val="16"/>
          <w:szCs w:val="16"/>
          <w:color w:val="auto"/>
        </w:rPr>
        <w:t>(SFAS 159). SFAS 159 provides companies with an option to report selected financial assets and liabilities at fair value. SFAS</w:t>
      </w:r>
      <w:r>
        <w:rPr>
          <w:rFonts w:ascii="Arial" w:cs="Arial" w:eastAsia="Arial" w:hAnsi="Arial"/>
          <w:sz w:val="16"/>
          <w:szCs w:val="16"/>
          <w:i w:val="1"/>
          <w:iCs w:val="1"/>
          <w:color w:val="auto"/>
        </w:rPr>
        <w:t xml:space="preserve"> </w:t>
      </w:r>
      <w:r>
        <w:rPr>
          <w:rFonts w:ascii="Arial" w:cs="Arial" w:eastAsia="Arial" w:hAnsi="Arial"/>
          <w:sz w:val="16"/>
          <w:szCs w:val="16"/>
          <w:color w:val="auto"/>
        </w:rPr>
        <w:t>159’s objectives are to reduce both complexity in accounting for financial instruments and the volatility in earnings caused by measuring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related assets and liabilities differently. SFAS 159 is effective as of the beginning of an entity’s first fiscal year beginning after November 15, 2007. The Company is currently evaluating the potential impact, if any, that the adoption of SFAS159 will have on its condensed consolidated financial statements.</w:t>
      </w:r>
    </w:p>
    <w:p>
      <w:pPr>
        <w:spacing w:after="0" w:line="16" w:lineRule="exact"/>
        <w:rPr>
          <w:sz w:val="20"/>
          <w:szCs w:val="20"/>
          <w:color w:val="auto"/>
        </w:rPr>
      </w:pPr>
    </w:p>
    <w:p>
      <w:pPr>
        <w:ind w:right="40" w:firstLine="225"/>
        <w:spacing w:after="0" w:line="289" w:lineRule="auto"/>
        <w:rPr>
          <w:sz w:val="20"/>
          <w:szCs w:val="20"/>
          <w:color w:val="auto"/>
        </w:rPr>
      </w:pPr>
      <w:r>
        <w:rPr>
          <w:rFonts w:ascii="Arial" w:cs="Arial" w:eastAsia="Arial" w:hAnsi="Arial"/>
          <w:sz w:val="16"/>
          <w:szCs w:val="16"/>
          <w:color w:val="auto"/>
        </w:rPr>
        <w:t>In June 2007, the Financial Accounting Standards Board ratified a consensus opinion reached by the Emerging Issues Task Force (EITF) on EITF Issue 07-3, “Accounting for Nonrefundable Advance Payments for Goods or Services Received for Use in Future Research and Development Activities.” The guidance in EITF Issue 07-3 requires the Company to defer and capitalize nonrefundable advance payments made for goods or services to be used in research and development activities until the goods have been delivered or the related services have been performed. If the goods are no longer expected to be delivered nor the services expected to be performed, the Company would be required to expense the related capitalized advance payments. The consensus in EITF Issue 07-3 is effective for fiscal years, and interim periods within those fiscal years, beginning after December 15, 2007 and is to be applied prospectively to new contracts entered into on or after December 15, 2007. Early adoption is not permitted. Retrospective application of EITF Issue 07-3 is also not permitted. The Company intends to adopt EITF Issue 07-3 effective January 1, 2008. The impact of applying this consensus will depend on the terms of the Company’s future research and development contractual arrangements entered into on or after December 15, 2007.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RENEURON LICENSE AND SETTLEMENT AGREEMENT</w:t>
      </w:r>
    </w:p>
    <w:p>
      <w:pPr>
        <w:spacing w:after="0" w:line="121"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color w:val="auto"/>
        </w:rPr>
        <w:t>In July 2005, the Company entered into a license and settlement agreement with ReNeuron Limited, a wholly owned subsidiary of ReNeuron Group plc, a publicly listed UK corporation (collectively referred to as “ReNeuron”). As part of the agreement, the Company granted ReNeuron a license that allows ReNeuron to exploit their “c-mycER” conditionally immortalized adult human neural stem cell technology for therapy and other purposes. In return for the license, StemCells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StemCells or ReNeuron might have had against the other in connection with any putative infringement of certain of each party’s patent rights prior to the effective date of the agreement. As of December 31, 2006, the Company held 9,274,837 shares of ReNeuron common stock with fair value of approximately $7,266,000. In February 2007, the Company sold 5,275,000 ordinary shares of ReNeuron for net proceeds of approximately $3,077,000. The Company recorded approximately $718,000 as realized gain for this transaction. In February 2007, ReNeuron issued additional shares of common stock to the Company as a consequence of certain anti-dilution provisions in the agreement. StemCells was entitled to approximately 822,000 shares net of approximately 12,000 shares transferred to Neurospheres Ltd., (Neurospheres) an Alberta corporation from which StemCells has licensed some of the patent rights that are subject to the agreement with ReNeuron. The Company recorded approximately $550,000 as other income for the additional shares. As of June 30, 2007, the Company owned approximately 4,822,000 ordinary shares of ReNeuron with a fair market value of approximately $2,273,000.</w:t>
      </w:r>
    </w:p>
    <w:p>
      <w:pPr>
        <w:spacing w:after="0" w:line="7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Changes in market value as a result of changes in market price per share or the exchange rate between the US dollar and the British pound are accounted for under “other comprehensive income (loss)” if deemed temporary and are not recorded as “other income or loss” until the shares are disposed of and a gain or loss realized. The unrealized gain as of June 30, 2007 is approximately $4,000. A decline in the fair value of securities that is deemed other than temporary would be charged to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LEASES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had undertaken direct financing transactions with the State of Rhode Island and received proceeds from the issuance of industrial revenue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bonds totaling $5,000,000 to finance the construction of a pilot manufacturing facility related to its former encapsulated cell technology. The related leases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structured such that lease payments will fully fund all semiannual interest payments and annual principal payments through maturity in August 2014. Interest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rates vary with the respective bonds’ maturities, ranging currently from 8.2% to 9.5%. The outstanding principal at June 30, 2007 was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$1,221,000. The bonds contain certain restrictive covenants, which limit among other things, the payment of cash dividends and the sale of the related assets.</w:t>
      </w:r>
    </w:p>
    <w:p>
      <w:pPr>
        <w:spacing w:after="0" w:line="126"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Company entered into a fifteen-year lease for a laboratory facility in Rhode Island in connection with a sale and leaseback arrangement in 1997. The lease has escalating rent payments and accordingly, the Company is recognizing rent expense on a straight-line basis. At December 31, 2006 and June 30, 2007, the Company had deferred rent liability for this facility of approximately $1,238,000 and $1,253,000 respectively; the deferred rent liability is presented as part of the wind-down accrual.</w:t>
      </w:r>
    </w:p>
    <w:p>
      <w:pPr>
        <w:spacing w:after="0" w:line="79" w:lineRule="exact"/>
        <w:rPr>
          <w:sz w:val="20"/>
          <w:szCs w:val="20"/>
          <w:color w:val="auto"/>
        </w:rPr>
      </w:pPr>
    </w:p>
    <w:p>
      <w:pPr>
        <w:ind w:right="60" w:firstLine="215"/>
        <w:spacing w:after="0" w:line="257" w:lineRule="auto"/>
        <w:rPr>
          <w:sz w:val="20"/>
          <w:szCs w:val="20"/>
          <w:color w:val="auto"/>
        </w:rPr>
      </w:pPr>
      <w:r>
        <w:rPr>
          <w:rFonts w:ascii="Arial" w:cs="Arial" w:eastAsia="Arial" w:hAnsi="Arial"/>
          <w:sz w:val="18"/>
          <w:szCs w:val="18"/>
          <w:color w:val="auto"/>
        </w:rPr>
        <w:t>Although the Company previously discontinued activities relating to encapsulated cell technology, the Company remains obligated under the leases for the pilot manufacturing facility and the laboratory facility. The Company has succeeded in subleasing the pilot manufacturing facility and part of the laboratory facility. The aggregate income received by the Company is significantly less than the Company’s aggregate obligations under the leases, and the Company’s continued receipt of rental income is dependent on the financial ability of the occupants to comply with their obligations under the subleases. The Company continues to seek to sublet the vacant portions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of the Rhode Island facilities, to assign or sell its interests in all of these properties, or to otherwise arrange for the termination of its obligations under the lease obligations on these facilities. There can be no assurance, however, that the Company will be able to dispose of these properties in a reasonable time, if at all, or to terminate its lease obligations without the payment of substantial consideration.</w:t>
      </w:r>
    </w:p>
    <w:p>
      <w:pPr>
        <w:spacing w:after="0" w:line="73" w:lineRule="exact"/>
        <w:rPr>
          <w:sz w:val="20"/>
          <w:szCs w:val="20"/>
          <w:color w:val="auto"/>
        </w:rPr>
      </w:pPr>
    </w:p>
    <w:p>
      <w:pPr>
        <w:jc w:val="both"/>
        <w:ind w:right="460" w:firstLine="215"/>
        <w:spacing w:after="0" w:line="288" w:lineRule="auto"/>
        <w:rPr>
          <w:sz w:val="20"/>
          <w:szCs w:val="20"/>
          <w:color w:val="auto"/>
        </w:rPr>
      </w:pPr>
      <w:r>
        <w:rPr>
          <w:rFonts w:ascii="Arial" w:cs="Arial" w:eastAsia="Arial" w:hAnsi="Arial"/>
          <w:sz w:val="16"/>
          <w:szCs w:val="16"/>
          <w:color w:val="auto"/>
        </w:rPr>
        <w:t>As of February 1, 2001, the Company entered into a 5-year lease for 40,000 square feet of an approximately 68,000 square foot facility located in the Stanford Research Park in Palo Alto, California. The facility includes space for animals, laboratories and offices. On December 19, 2002, the Company negotiated an amendment to the lease, which resulted in reducing the average annual rent over the remaining term of the lease from approximately</w:t>
      </w:r>
    </w:p>
    <w:p>
      <w:pPr>
        <w:ind w:right="40"/>
        <w:spacing w:after="0" w:line="251" w:lineRule="auto"/>
        <w:rPr>
          <w:sz w:val="20"/>
          <w:szCs w:val="20"/>
          <w:color w:val="auto"/>
        </w:rPr>
      </w:pPr>
      <w:r>
        <w:rPr>
          <w:rFonts w:ascii="Arial" w:cs="Arial" w:eastAsia="Arial" w:hAnsi="Arial"/>
          <w:sz w:val="18"/>
          <w:szCs w:val="18"/>
          <w:color w:val="auto"/>
        </w:rPr>
        <w:t>$3.7 million to $2.0 million. As part of the amendment, the Company issued a letter of credit on January 2, 2003 for $503,079, which was an addition to the letter of credit in the amount of $275,000 issued at commencement of the lease, to serve as a deposit for the duration of the lease. The Company negotiated an amendment to the lease effective April 1, 2005, which extends the term of the lease through March 31, 2010, includes a reduction in the rent per square foot, and provides for an expansion of the leased premises by approximately 28,000 additional square feet. The average annual rent due from the Company under its lease for the period commencing April 1, 2005 to March 31, 2010 is approximately $2 million before subtenant income. The lease has escalating rent payments, which the Company is recognizing on a straight-line basis. At June 30, 2007, the Company had deferred rent liability for this facility of approximately $851,000. At June 30, 2007, the Company has a space-sharing agreement covering in total approximately 11,000 square feet of this facility. The Company receives the amount of base rent plus the proportionate share of the operating expenses that it pays for such space over the term of these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RELOCATION TO CALIFORNIA FROM RHODE ISLAND</w:t>
      </w:r>
    </w:p>
    <w:p>
      <w:pPr>
        <w:spacing w:after="0" w:line="121"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In October 1999, the Company relocated to California from Rhode Island and established a wind down reserve for the estimated lease payments and operating costs of the Rhode Island facilities through an expected disposal date of June 30, 2000. The Company did not fully sublet the Rhode Island facilities in 2000. Even though the Company intends to dispose of the facility at the earliest possible time, the Company’s management cannot determine with certainty a fixed date by which such disposal will occur. In light of this uncertainty, the Company periodically re-evaluates and adjusts the reserve. The Company considers various factors such as the Company’s lease payments through to the end of the lease, operating expenses, the current real estate market in Rhode Island, and estimated subtenant income based on actual and projected occupancy. At December 31, 2006, the reserve was approximately $5,512,000. For the three and six -month periods ended June 30, 2007, the Company incurred approximately $ 342,000 and $723,000 respectively in operating expenses, which was recorded against the reserve. After evaluating the afore-mentioned factors, the Company re-valued the reserve to approximately $5,145,000 at June 30, 2007 by recording an additional $222,000 and $134,000 at March 31, 2007 and June 30, 2007, respectively as wind-down expenses.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reserve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80" w:type="dxa"/>
            <w:vAlign w:val="bottom"/>
          </w:tcPr>
          <w:p>
            <w:pPr>
              <w:jc w:val="center"/>
              <w:ind w:right="114"/>
              <w:spacing w:after="0"/>
              <w:rPr>
                <w:sz w:val="20"/>
                <w:szCs w:val="20"/>
                <w:color w:val="auto"/>
              </w:rPr>
            </w:pPr>
            <w:r>
              <w:rPr>
                <w:rFonts w:ascii="Arial" w:cs="Arial" w:eastAsia="Arial" w:hAnsi="Arial"/>
                <w:sz w:val="14"/>
                <w:szCs w:val="14"/>
                <w:color w:val="auto"/>
                <w:w w:val="91"/>
              </w:rPr>
              <w:t>January to</w:t>
            </w:r>
          </w:p>
        </w:tc>
        <w:tc>
          <w:tcPr>
            <w:tcW w:w="1700" w:type="dxa"/>
            <w:vAlign w:val="bottom"/>
          </w:tcPr>
          <w:p>
            <w:pPr>
              <w:jc w:val="center"/>
              <w:spacing w:after="0"/>
              <w:rPr>
                <w:sz w:val="20"/>
                <w:szCs w:val="20"/>
                <w:color w:val="auto"/>
              </w:rPr>
            </w:pPr>
            <w:r>
              <w:rPr>
                <w:rFonts w:ascii="Arial" w:cs="Arial" w:eastAsia="Arial" w:hAnsi="Arial"/>
                <w:sz w:val="14"/>
                <w:szCs w:val="14"/>
                <w:color w:val="auto"/>
              </w:rPr>
              <w:t>April to</w:t>
            </w:r>
          </w:p>
        </w:tc>
        <w:tc>
          <w:tcPr>
            <w:tcW w:w="1720" w:type="dxa"/>
            <w:vAlign w:val="bottom"/>
          </w:tcPr>
          <w:p>
            <w:pPr>
              <w:jc w:val="center"/>
              <w:spacing w:after="0"/>
              <w:rPr>
                <w:sz w:val="20"/>
                <w:szCs w:val="20"/>
                <w:color w:val="auto"/>
              </w:rPr>
            </w:pPr>
            <w:r>
              <w:rPr>
                <w:rFonts w:ascii="Arial" w:cs="Arial" w:eastAsia="Arial" w:hAnsi="Arial"/>
                <w:sz w:val="14"/>
                <w:szCs w:val="14"/>
                <w:color w:val="auto"/>
                <w:w w:val="88"/>
              </w:rPr>
              <w:t>January to</w:t>
            </w:r>
          </w:p>
        </w:tc>
        <w:tc>
          <w:tcPr>
            <w:tcW w:w="1560" w:type="dxa"/>
            <w:vAlign w:val="bottom"/>
          </w:tcPr>
          <w:p>
            <w:pPr>
              <w:jc w:val="center"/>
              <w:ind w:left="134"/>
              <w:spacing w:after="0"/>
              <w:rPr>
                <w:sz w:val="20"/>
                <w:szCs w:val="20"/>
                <w:color w:val="auto"/>
              </w:rPr>
            </w:pPr>
            <w:r>
              <w:rPr>
                <w:rFonts w:ascii="Arial" w:cs="Arial" w:eastAsia="Arial" w:hAnsi="Arial"/>
                <w:sz w:val="14"/>
                <w:szCs w:val="14"/>
                <w:color w:val="auto"/>
                <w:w w:val="88"/>
              </w:rPr>
              <w:t>January to</w:t>
            </w: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480" w:type="dxa"/>
            <w:vAlign w:val="bottom"/>
          </w:tcPr>
          <w:p>
            <w:pPr>
              <w:jc w:val="center"/>
              <w:ind w:right="114"/>
              <w:spacing w:after="0" w:line="149" w:lineRule="exact"/>
              <w:rPr>
                <w:sz w:val="20"/>
                <w:szCs w:val="20"/>
                <w:color w:val="auto"/>
              </w:rPr>
            </w:pPr>
            <w:r>
              <w:rPr>
                <w:rFonts w:ascii="Arial" w:cs="Arial" w:eastAsia="Arial" w:hAnsi="Arial"/>
                <w:sz w:val="14"/>
                <w:szCs w:val="14"/>
                <w:color w:val="auto"/>
                <w:w w:val="96"/>
              </w:rPr>
              <w:t>March 31,</w:t>
            </w: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89"/>
              </w:rPr>
              <w:t>June 30,</w:t>
            </w: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89"/>
              </w:rPr>
              <w:t>June 30,</w:t>
            </w:r>
          </w:p>
        </w:tc>
        <w:tc>
          <w:tcPr>
            <w:tcW w:w="1560" w:type="dxa"/>
            <w:vAlign w:val="bottom"/>
          </w:tcPr>
          <w:p>
            <w:pPr>
              <w:jc w:val="center"/>
              <w:ind w:left="134"/>
              <w:spacing w:after="0" w:line="149" w:lineRule="exact"/>
              <w:rPr>
                <w:sz w:val="20"/>
                <w:szCs w:val="20"/>
                <w:color w:val="auto"/>
              </w:rPr>
            </w:pPr>
            <w:r>
              <w:rPr>
                <w:rFonts w:ascii="Arial" w:cs="Arial" w:eastAsia="Arial" w:hAnsi="Arial"/>
                <w:sz w:val="14"/>
                <w:szCs w:val="14"/>
                <w:color w:val="auto"/>
                <w:w w:val="89"/>
              </w:rPr>
              <w:t>December</w:t>
            </w: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4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w w:val="89"/>
              </w:rPr>
              <w:t>2007</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2007</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2007</w:t>
            </w:r>
          </w:p>
        </w:tc>
        <w:tc>
          <w:tcPr>
            <w:tcW w:w="1560" w:type="dxa"/>
            <w:vAlign w:val="bottom"/>
            <w:tcBorders>
              <w:bottom w:val="single" w:sz="8" w:color="auto"/>
            </w:tcBorders>
          </w:tcPr>
          <w:p>
            <w:pPr>
              <w:jc w:val="center"/>
              <w:ind w:left="134"/>
              <w:spacing w:after="0"/>
              <w:rPr>
                <w:sz w:val="20"/>
                <w:szCs w:val="20"/>
                <w:color w:val="auto"/>
              </w:rPr>
            </w:pPr>
            <w:r>
              <w:rPr>
                <w:rFonts w:ascii="Arial" w:cs="Arial" w:eastAsia="Arial" w:hAnsi="Arial"/>
                <w:sz w:val="14"/>
                <w:szCs w:val="14"/>
                <w:color w:val="auto"/>
                <w:w w:val="91"/>
              </w:rPr>
              <w:t>31, 2006</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reserve at beginning of period</w:t>
            </w:r>
          </w:p>
        </w:tc>
        <w:tc>
          <w:tcPr>
            <w:tcW w:w="14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$5,512,000</w:t>
            </w:r>
          </w:p>
        </w:tc>
        <w:tc>
          <w:tcPr>
            <w:tcW w:w="170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$5,353,000</w:t>
            </w:r>
          </w:p>
        </w:tc>
        <w:tc>
          <w:tcPr>
            <w:tcW w:w="172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$5,512,000</w:t>
            </w:r>
          </w:p>
        </w:tc>
        <w:tc>
          <w:tcPr>
            <w:tcW w:w="15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$ 6,098,000</w:t>
            </w:r>
          </w:p>
        </w:tc>
      </w:tr>
      <w:tr>
        <w:trPr>
          <w:trHeight w:val="202"/>
        </w:trPr>
        <w:tc>
          <w:tcPr>
            <w:tcW w:w="20" w:type="dxa"/>
            <w:vAlign w:val="bottom"/>
          </w:tcPr>
          <w:p>
            <w:pPr>
              <w:spacing w:after="0"/>
              <w:rPr>
                <w:sz w:val="17"/>
                <w:szCs w:val="17"/>
                <w:color w:val="auto"/>
              </w:rPr>
            </w:pP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Less actual expenses recorded against estimated reserve</w:t>
            </w:r>
          </w:p>
        </w:tc>
        <w:tc>
          <w:tcPr>
            <w:tcW w:w="1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during the period</w:t>
            </w:r>
          </w:p>
        </w:tc>
        <w:tc>
          <w:tcPr>
            <w:tcW w:w="1480" w:type="dxa"/>
            <w:vAlign w:val="bottom"/>
          </w:tcPr>
          <w:p>
            <w:pPr>
              <w:jc w:val="right"/>
              <w:ind w:right="334"/>
              <w:spacing w:after="0"/>
              <w:rPr>
                <w:sz w:val="20"/>
                <w:szCs w:val="20"/>
                <w:color w:val="auto"/>
              </w:rPr>
            </w:pPr>
            <w:r>
              <w:rPr>
                <w:rFonts w:ascii="Arial" w:cs="Arial" w:eastAsia="Arial" w:hAnsi="Arial"/>
                <w:sz w:val="18"/>
                <w:szCs w:val="18"/>
                <w:color w:val="auto"/>
              </w:rPr>
              <w:t>(381,000)</w:t>
            </w:r>
          </w:p>
        </w:tc>
        <w:tc>
          <w:tcPr>
            <w:tcW w:w="1700" w:type="dxa"/>
            <w:vAlign w:val="bottom"/>
          </w:tcPr>
          <w:p>
            <w:pPr>
              <w:jc w:val="right"/>
              <w:ind w:right="334"/>
              <w:spacing w:after="0"/>
              <w:rPr>
                <w:sz w:val="20"/>
                <w:szCs w:val="20"/>
                <w:color w:val="auto"/>
              </w:rPr>
            </w:pPr>
            <w:r>
              <w:rPr>
                <w:rFonts w:ascii="Arial" w:cs="Arial" w:eastAsia="Arial" w:hAnsi="Arial"/>
                <w:sz w:val="18"/>
                <w:szCs w:val="18"/>
                <w:color w:val="auto"/>
              </w:rPr>
              <w:t>(342,000)</w:t>
            </w:r>
          </w:p>
        </w:tc>
        <w:tc>
          <w:tcPr>
            <w:tcW w:w="1720" w:type="dxa"/>
            <w:vAlign w:val="bottom"/>
          </w:tcPr>
          <w:p>
            <w:pPr>
              <w:jc w:val="right"/>
              <w:ind w:right="334"/>
              <w:spacing w:after="0"/>
              <w:rPr>
                <w:sz w:val="20"/>
                <w:szCs w:val="20"/>
                <w:color w:val="auto"/>
              </w:rPr>
            </w:pPr>
            <w:r>
              <w:rPr>
                <w:rFonts w:ascii="Arial" w:cs="Arial" w:eastAsia="Arial" w:hAnsi="Arial"/>
                <w:sz w:val="18"/>
                <w:szCs w:val="18"/>
                <w:color w:val="auto"/>
              </w:rPr>
              <w:t>(723,000)</w:t>
            </w:r>
          </w:p>
        </w:tc>
        <w:tc>
          <w:tcPr>
            <w:tcW w:w="1560" w:type="dxa"/>
            <w:vAlign w:val="bottom"/>
          </w:tcPr>
          <w:p>
            <w:pPr>
              <w:jc w:val="right"/>
              <w:ind w:right="134"/>
              <w:spacing w:after="0"/>
              <w:rPr>
                <w:sz w:val="20"/>
                <w:szCs w:val="20"/>
                <w:color w:val="auto"/>
              </w:rPr>
            </w:pPr>
            <w:r>
              <w:rPr>
                <w:rFonts w:ascii="Arial" w:cs="Arial" w:eastAsia="Arial" w:hAnsi="Arial"/>
                <w:sz w:val="18"/>
                <w:szCs w:val="18"/>
                <w:color w:val="auto"/>
              </w:rPr>
              <w:t>(1,295,000)</w:t>
            </w: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Additional expense recorded to revise estimated reserve at</w:t>
            </w:r>
          </w:p>
        </w:tc>
        <w:tc>
          <w:tcPr>
            <w:tcW w:w="14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period-end</w:t>
            </w:r>
          </w:p>
        </w:tc>
        <w:tc>
          <w:tcPr>
            <w:tcW w:w="14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222,000</w:t>
            </w:r>
          </w:p>
        </w:tc>
        <w:tc>
          <w:tcPr>
            <w:tcW w:w="17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134,000</w:t>
            </w:r>
          </w:p>
        </w:tc>
        <w:tc>
          <w:tcPr>
            <w:tcW w:w="172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356,000</w:t>
            </w:r>
          </w:p>
        </w:tc>
        <w:tc>
          <w:tcPr>
            <w:tcW w:w="15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709,000</w:t>
            </w: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Revised reserve at period-end</w:t>
            </w:r>
          </w:p>
        </w:tc>
        <w:tc>
          <w:tcPr>
            <w:tcW w:w="1480" w:type="dxa"/>
            <w:vAlign w:val="bottom"/>
          </w:tcPr>
          <w:p>
            <w:pPr>
              <w:jc w:val="right"/>
              <w:ind w:right="394"/>
              <w:spacing w:after="0"/>
              <w:rPr>
                <w:sz w:val="20"/>
                <w:szCs w:val="20"/>
                <w:color w:val="auto"/>
              </w:rPr>
            </w:pPr>
            <w:r>
              <w:rPr>
                <w:rFonts w:ascii="Arial" w:cs="Arial" w:eastAsia="Arial" w:hAnsi="Arial"/>
                <w:sz w:val="18"/>
                <w:szCs w:val="18"/>
                <w:color w:val="auto"/>
              </w:rPr>
              <w:t>5,353,000</w:t>
            </w:r>
          </w:p>
        </w:tc>
        <w:tc>
          <w:tcPr>
            <w:tcW w:w="1700" w:type="dxa"/>
            <w:vAlign w:val="bottom"/>
          </w:tcPr>
          <w:p>
            <w:pPr>
              <w:jc w:val="right"/>
              <w:ind w:right="394"/>
              <w:spacing w:after="0"/>
              <w:rPr>
                <w:sz w:val="20"/>
                <w:szCs w:val="20"/>
                <w:color w:val="auto"/>
              </w:rPr>
            </w:pPr>
            <w:r>
              <w:rPr>
                <w:rFonts w:ascii="Arial" w:cs="Arial" w:eastAsia="Arial" w:hAnsi="Arial"/>
                <w:sz w:val="18"/>
                <w:szCs w:val="18"/>
                <w:color w:val="auto"/>
              </w:rPr>
              <w:t>5,145,000</w:t>
            </w:r>
          </w:p>
        </w:tc>
        <w:tc>
          <w:tcPr>
            <w:tcW w:w="1720" w:type="dxa"/>
            <w:vAlign w:val="bottom"/>
          </w:tcPr>
          <w:p>
            <w:pPr>
              <w:jc w:val="right"/>
              <w:ind w:right="394"/>
              <w:spacing w:after="0"/>
              <w:rPr>
                <w:sz w:val="20"/>
                <w:szCs w:val="20"/>
                <w:color w:val="auto"/>
              </w:rPr>
            </w:pPr>
            <w:r>
              <w:rPr>
                <w:rFonts w:ascii="Arial" w:cs="Arial" w:eastAsia="Arial" w:hAnsi="Arial"/>
                <w:sz w:val="18"/>
                <w:szCs w:val="18"/>
                <w:color w:val="auto"/>
              </w:rPr>
              <w:t>5,145,000</w:t>
            </w:r>
          </w:p>
        </w:tc>
        <w:tc>
          <w:tcPr>
            <w:tcW w:w="1560" w:type="dxa"/>
            <w:vAlign w:val="bottom"/>
          </w:tcPr>
          <w:p>
            <w:pPr>
              <w:jc w:val="right"/>
              <w:ind w:right="194"/>
              <w:spacing w:after="0"/>
              <w:rPr>
                <w:sz w:val="20"/>
                <w:szCs w:val="20"/>
                <w:color w:val="auto"/>
              </w:rPr>
            </w:pPr>
            <w:r>
              <w:rPr>
                <w:rFonts w:ascii="Arial" w:cs="Arial" w:eastAsia="Arial" w:hAnsi="Arial"/>
                <w:sz w:val="18"/>
                <w:szCs w:val="18"/>
                <w:color w:val="auto"/>
              </w:rPr>
              <w:t>5,512,000</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Add deferred rent at period end (See Note 3)</w:t>
            </w:r>
          </w:p>
        </w:tc>
        <w:tc>
          <w:tcPr>
            <w:tcW w:w="14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1,246,000</w:t>
            </w:r>
          </w:p>
        </w:tc>
        <w:tc>
          <w:tcPr>
            <w:tcW w:w="17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1,253,000</w:t>
            </w:r>
          </w:p>
        </w:tc>
        <w:tc>
          <w:tcPr>
            <w:tcW w:w="172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1,253,000</w:t>
            </w:r>
          </w:p>
        </w:tc>
        <w:tc>
          <w:tcPr>
            <w:tcW w:w="15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1,238,000</w:t>
            </w:r>
          </w:p>
        </w:tc>
      </w:tr>
      <w:tr>
        <w:trPr>
          <w:trHeight w:val="209"/>
        </w:trPr>
        <w:tc>
          <w:tcPr>
            <w:tcW w:w="4960" w:type="dxa"/>
            <w:vAlign w:val="bottom"/>
            <w:gridSpan w:val="2"/>
          </w:tcPr>
          <w:p>
            <w:pPr>
              <w:spacing w:after="0"/>
              <w:rPr>
                <w:sz w:val="20"/>
                <w:szCs w:val="20"/>
                <w:color w:val="auto"/>
              </w:rPr>
            </w:pPr>
            <w:r>
              <w:rPr>
                <w:rFonts w:ascii="Arial" w:cs="Arial" w:eastAsia="Arial" w:hAnsi="Arial"/>
                <w:sz w:val="18"/>
                <w:szCs w:val="18"/>
                <w:color w:val="auto"/>
                <w:w w:val="99"/>
              </w:rPr>
              <w:t>Total accrued wind-down expenses at period-end (current and</w:t>
            </w: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non current portion)</w:t>
            </w:r>
          </w:p>
        </w:tc>
        <w:tc>
          <w:tcPr>
            <w:tcW w:w="148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$6,599,000</w:t>
            </w:r>
          </w:p>
        </w:tc>
        <w:tc>
          <w:tcPr>
            <w:tcW w:w="170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$6,398,000</w:t>
            </w:r>
          </w:p>
        </w:tc>
        <w:tc>
          <w:tcPr>
            <w:tcW w:w="172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$6,398,000</w:t>
            </w:r>
          </w:p>
        </w:tc>
        <w:tc>
          <w:tcPr>
            <w:tcW w:w="15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$ 6,750,000</w:t>
            </w: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expenses</w:t>
            </w:r>
          </w:p>
        </w:tc>
        <w:tc>
          <w:tcPr>
            <w:tcW w:w="14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Current portion</w:t>
            </w:r>
          </w:p>
        </w:tc>
        <w:tc>
          <w:tcPr>
            <w:tcW w:w="148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$1,363,000</w:t>
            </w:r>
          </w:p>
        </w:tc>
        <w:tc>
          <w:tcPr>
            <w:tcW w:w="170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$1,053,000</w:t>
            </w:r>
          </w:p>
        </w:tc>
        <w:tc>
          <w:tcPr>
            <w:tcW w:w="172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$1,053,000</w:t>
            </w:r>
          </w:p>
        </w:tc>
        <w:tc>
          <w:tcPr>
            <w:tcW w:w="15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$ 1,252,000</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 current portion</w:t>
            </w:r>
          </w:p>
        </w:tc>
        <w:tc>
          <w:tcPr>
            <w:tcW w:w="14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5,236,000</w:t>
            </w:r>
          </w:p>
        </w:tc>
        <w:tc>
          <w:tcPr>
            <w:tcW w:w="17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5,345,000</w:t>
            </w:r>
          </w:p>
        </w:tc>
        <w:tc>
          <w:tcPr>
            <w:tcW w:w="172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5,345,000</w:t>
            </w:r>
          </w:p>
        </w:tc>
        <w:tc>
          <w:tcPr>
            <w:tcW w:w="15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5,498,000</w:t>
            </w: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 Accrued wind-down expenses</w:t>
            </w:r>
          </w:p>
        </w:tc>
        <w:tc>
          <w:tcPr>
            <w:tcW w:w="148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$6,599,000</w:t>
            </w:r>
          </w:p>
        </w:tc>
        <w:tc>
          <w:tcPr>
            <w:tcW w:w="170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$6,398,000</w:t>
            </w:r>
          </w:p>
        </w:tc>
        <w:tc>
          <w:tcPr>
            <w:tcW w:w="172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$6,398,000</w:t>
            </w:r>
          </w:p>
        </w:tc>
        <w:tc>
          <w:tcPr>
            <w:tcW w:w="15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$ 6,750,000</w:t>
            </w: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480" w:type="dxa"/>
            <w:vAlign w:val="bottom"/>
          </w:tcPr>
          <w:p>
            <w:pPr>
              <w:jc w:val="right"/>
              <w:ind w:right="554"/>
              <w:spacing w:after="0"/>
              <w:rPr>
                <w:sz w:val="20"/>
                <w:szCs w:val="20"/>
                <w:color w:val="auto"/>
              </w:rPr>
            </w:pPr>
            <w:r>
              <w:rPr>
                <w:rFonts w:ascii="Arial" w:cs="Arial" w:eastAsia="Arial" w:hAnsi="Arial"/>
                <w:sz w:val="18"/>
                <w:szCs w:val="18"/>
                <w:color w:val="auto"/>
              </w:rPr>
              <w:t>13</w:t>
            </w: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GRANTS</w:t>
      </w:r>
    </w:p>
    <w:p>
      <w:pPr>
        <w:spacing w:after="0" w:line="121"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color w:val="auto"/>
        </w:rPr>
        <w:t>In September 2004, the National Institutes of Health (NIH) awarded the Company a Small Business Technology Transfer grant of $464,000 for studies in Alzheimer’s disease, consisting of approximately $308,000 for the first year and approximately $156,000 for the remainder of the grant term, September 30, 2005 through March 31, 2006. The studies have been conducted by Dr. George A. Carlson of the McLaughlin Research Institute (MRI) in Great Falls, Montana, which will receive approximately $222,000 of the total award. The remaining $242,000 has been recognized by the Company as grant revenue as and when resources were expended for this study. For the six-month period ended June 30, 2006, the Company recognized approximately $38,000, after which; the Company had drawn down in full its share of the grant. The Company had no grant revenue for the six-month period ended June 30, 2007.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121"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On December 29, 2006, the Company filed a Prospectus Supplement announcing the entry of a sales agreement with Cantor Fitzgerald &amp; Co. (Cantor) under which up to 10,000,000 shares may be sold from time to time under a shelf registration statement. For the six-month period ended June 30, 2007, the Company sold approximately 1,217,000 shares under this sales agreement at an average price of $3.13 per share and received net proceeds of approximately $3,614,000. Cantor is paid compensation equal to 5.0% of the gross proceeds pursuant to the terms of the agreement.</w:t>
      </w:r>
    </w:p>
    <w:p>
      <w:pPr>
        <w:spacing w:after="0" w:line="63" w:lineRule="exact"/>
        <w:rPr>
          <w:sz w:val="20"/>
          <w:szCs w:val="20"/>
          <w:color w:val="auto"/>
        </w:rPr>
      </w:pPr>
    </w:p>
    <w:p>
      <w:pPr>
        <w:ind w:right="40" w:firstLine="225"/>
        <w:spacing w:after="0" w:line="342" w:lineRule="auto"/>
        <w:rPr>
          <w:sz w:val="20"/>
          <w:szCs w:val="20"/>
          <w:color w:val="auto"/>
        </w:rPr>
      </w:pPr>
      <w:r>
        <w:rPr>
          <w:rFonts w:ascii="Arial" w:cs="Arial" w:eastAsia="Arial" w:hAnsi="Arial"/>
          <w:sz w:val="16"/>
          <w:szCs w:val="16"/>
          <w:color w:val="auto"/>
        </w:rPr>
        <w:t>In April 2007, a warrant issued as part of a June 16, 2004 financing arrangement, was exercised to purchase an aggregate of 575,658 shares of the Company’s common stock at $1.90 per share. The Company issued 575,658 shares of its common stock and received proceeds of approximately $1,094,000.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firstLine="215"/>
        <w:spacing w:after="0" w:line="286" w:lineRule="auto"/>
        <w:rPr>
          <w:sz w:val="20"/>
          <w:szCs w:val="20"/>
          <w:color w:val="auto"/>
        </w:rPr>
      </w:pPr>
      <w:r>
        <w:rPr>
          <w:rFonts w:ascii="Arial" w:cs="Arial" w:eastAsia="Arial" w:hAnsi="Arial"/>
          <w:sz w:val="17"/>
          <w:szCs w:val="17"/>
          <w:color w:val="auto"/>
        </w:rPr>
        <w:t>At December 31, 2006, the Company had net operating loss carryforwards for Federal income tax purposes of approximately $118,560,000 expiring in the years 2007 through 2026 and net operating loss carry forwards for state income tax purposes of approximately $11,747,000 which expire in the years 2009 through 2016. The Company did not provide for a tax benefit, because it is more likely than not, that any such benefit would not be realized.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ind w:right="320" w:firstLine="222"/>
        <w:spacing w:after="0" w:line="342" w:lineRule="auto"/>
        <w:rPr>
          <w:sz w:val="20"/>
          <w:szCs w:val="20"/>
          <w:color w:val="auto"/>
        </w:rPr>
      </w:pPr>
      <w:r>
        <w:rPr>
          <w:rFonts w:ascii="Arial" w:cs="Arial" w:eastAsia="Arial" w:hAnsi="Arial"/>
          <w:sz w:val="16"/>
          <w:szCs w:val="16"/>
          <w:color w:val="auto"/>
        </w:rPr>
        <w:t>The following discussion of our financial condition and the results of our operations for the three and six-month periods ended June 30, 2007 and 2006 should be read in conjunction with the accompanying unaudited condensed consolidated financial statements and the related footnotes thereto.</w:t>
      </w:r>
    </w:p>
    <w:p>
      <w:pPr>
        <w:spacing w:after="0" w:line="16"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will permit us to proceed with clinical testing of proposed products despite the novel and unproven nature of our technology; the risk that our initial clinical trial and any other trial could be substantially delayed beyond its expected dates or cause us to incur substantial unanticipated costs; uncertainties regarding our ability to obtain the capital resources needed to continue our current research and development operations and to conduct the research, preclinical development and clinical trials necessary for regulatory approvals; the uncertainty regarding our ability to obtain a corporate partner or partners if needed to support the development and commercialization of our cell-based therapeutics programs; the uncertainty regarding the outcome of our Phase I clinical trial in NCL and any other trials we may conduct in the future; the uncertainty regarding the validity and enforceability of our issued patents; the uncertainty whether any products that may be generated in our cell-based therapeutics programs will prove clinically effective and not cause tumors or other side effects; the uncertainty whether we will achieve revenues from product sales or become profitable; uncertainties regarding our obligations in regard to our former encapsulated cell therapy facilities in Rhode Island; obsolescence of our technology; competition from third parties; intellectual property rights of third parties and litigation and other risks to which we are subject. All forward-looking statements attributable to us or to persons acting on our behalf are expressly qualified in their entirety by the cautionary statements and risk factors set forth in Item 1A (Risk Factors) and elsewhere in our Form 10-K for the year ended December 31, 2006 and the risk factors set forth in Part II, Item 1A (Risk Factors) and elsewhere in this Form 10-Q.</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Since our inception in 1988, we have been primarily engaged in research and development of human therapeutic products. Since the second half of 1999, our sole focus has been on our stem cell technology. We are currently conducting a Phase I clinical trial of our HuCNS-SC™ product (purified human neural stem cells) as a treatment for infantile and late infantile neuronal ceroid lipofuscinosis (NCL), a fatal neurodegenerative disease often referred to as Batten disease. Our Neural Program is also continuing basic research and preclinical development work for additional potential indications in the CNS field. In our Liver Program, we are engaged in preclinical development work on our human liver engrafting cell and plan to advance our liver program into clinical development as rapidly as we can. Our pancreas program is still in the discovery stage and further evaluation of the therapeutic potential of our candidate human pancreatic stem/progenitor cell will be required.</w:t>
      </w:r>
    </w:p>
    <w:p>
      <w:pPr>
        <w:spacing w:after="0" w:line="70"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We have not derived any revenues from the sale of any products apart from license revenue for the research use of certain of our patented cells and media, and we do not expect to receive revenues from product sales for at least several years. We have not commercialized any product and in order to do so we must, among other things, substantially increase our research and development expenditures as research continues, product development efforts accelerate and clinical trials are initiated. We had expenditures for screening and enrolling patients and for preparing HuCNS-SC doses for our Phase I clinical trial and will incur additional similar expenditures for any future clinical trials. We previously had expenditures for toxicology and other studies in preparation for submitting the Investigational New Drug application (IND) for our Phase I trial for NCL to the FDA and getting it cleared by the FDA, and will incur additional similar expenditures for any future INDs. We have incurred annual operating losses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39"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research collaborations, the on-going expenses to lease and maintain our facilities in Rhode Island and the increasing costs associated with our facility in California. To expand and provide high quality systems and support to our Research and Development programs, as well as to enhance our internal controls over financial reporting, we will need to hire more personnel, which will lead to higher operating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We believe the following critical accounting policies affect our more significant judgments and estimates used in the preparation of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The significant estimates include the accrued wind-down expenses related to our Rhode Island facilities and the grant date fair value of share based awards recognized as compensation expense in accordance with the provisions of SFAS 123R.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In December 2004, FASB issued SFAS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which is a revision of SFAS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and amends SFAS No. 95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SFAS 123R supersedes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and its related implementation guidance. SFAS 123R covers a wide range of share-based compensation arrangements including stock options, restricted share plans, performance-based awards, share appreciation rights, and employee share purchase plans. The new standard is effective as of the beginning of the first interim or annual reporting period that begins after December 15, 2005. We adopted SFAS 123R effective January 1, 2006. Adoption of the expensing requirements has increased our losses.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560" w:firstLine="222"/>
        <w:spacing w:after="0" w:line="277" w:lineRule="auto"/>
        <w:rPr>
          <w:sz w:val="20"/>
          <w:szCs w:val="20"/>
          <w:color w:val="auto"/>
        </w:rPr>
      </w:pPr>
      <w:r>
        <w:rPr>
          <w:rFonts w:ascii="Arial" w:cs="Arial" w:eastAsia="Arial" w:hAnsi="Arial"/>
          <w:sz w:val="18"/>
          <w:szCs w:val="18"/>
          <w:color w:val="auto"/>
        </w:rPr>
        <w:t>We expense all research and development costs as incurred. Research and development costs include costs of personnel, external services, supplies, facilities and miscellaneous other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and Exit Costs</w:t>
      </w:r>
    </w:p>
    <w:p>
      <w:pPr>
        <w:spacing w:after="0" w:line="121" w:lineRule="exact"/>
        <w:rPr>
          <w:sz w:val="20"/>
          <w:szCs w:val="20"/>
          <w:color w:val="auto"/>
        </w:rPr>
      </w:pPr>
    </w:p>
    <w:p>
      <w:pPr>
        <w:ind w:right="260" w:firstLine="225"/>
        <w:spacing w:after="0" w:line="255" w:lineRule="auto"/>
        <w:rPr>
          <w:sz w:val="20"/>
          <w:szCs w:val="20"/>
          <w:color w:val="auto"/>
        </w:rPr>
      </w:pPr>
      <w:r>
        <w:rPr>
          <w:rFonts w:ascii="Arial" w:cs="Arial" w:eastAsia="Arial" w:hAnsi="Arial"/>
          <w:sz w:val="18"/>
          <w:szCs w:val="18"/>
          <w:color w:val="auto"/>
        </w:rPr>
        <w:t>In connection with the wind-down of our former encapsulated cell technology operations, our research and manufacturing operations in Lincoln, Rhode Island, and the relocation of our remaining research and development activities and corporate headquarters to California in October 1999, we provided a reserve for our estimate of the exit cost obligation in accordance with EITF 94-3 “</w:t>
      </w:r>
      <w:r>
        <w:rPr>
          <w:rFonts w:ascii="Arial" w:cs="Arial" w:eastAsia="Arial" w:hAnsi="Arial"/>
          <w:sz w:val="18"/>
          <w:szCs w:val="18"/>
          <w:i w:val="1"/>
          <w:iCs w:val="1"/>
          <w:color w:val="auto"/>
        </w:rPr>
        <w:t>Other Cost to Exit an Activity.</w:t>
      </w:r>
      <w:r>
        <w:rPr>
          <w:rFonts w:ascii="Arial" w:cs="Arial" w:eastAsia="Arial" w:hAnsi="Arial"/>
          <w:sz w:val="18"/>
          <w:szCs w:val="18"/>
          <w:color w:val="auto"/>
        </w:rPr>
        <w:t>” The reserve reflects estimates of the ongoing costs of our former research and administrative facility in Lincoln, which we hold on a lease that terminates on June 30, 2013. We are seeking to sublease, assign, sell or otherwise divest ourselves of our interest in the facility at the earliest possible time, but we cannot determine with certainty a fixed date by which such events will occur, if at all.</w:t>
      </w:r>
    </w:p>
    <w:p>
      <w:pPr>
        <w:spacing w:after="0" w:line="85" w:lineRule="exact"/>
        <w:rPr>
          <w:sz w:val="20"/>
          <w:szCs w:val="20"/>
          <w:color w:val="auto"/>
        </w:rPr>
      </w:pPr>
    </w:p>
    <w:p>
      <w:pPr>
        <w:jc w:val="both"/>
        <w:ind w:right="280" w:firstLine="225"/>
        <w:spacing w:after="0" w:line="264" w:lineRule="auto"/>
        <w:rPr>
          <w:sz w:val="20"/>
          <w:szCs w:val="20"/>
          <w:color w:val="auto"/>
        </w:rPr>
      </w:pPr>
      <w:r>
        <w:rPr>
          <w:rFonts w:ascii="Arial" w:cs="Arial" w:eastAsia="Arial" w:hAnsi="Arial"/>
          <w:sz w:val="18"/>
          <w:szCs w:val="18"/>
          <w:color w:val="auto"/>
        </w:rPr>
        <w:t>In determining the facility exit cost reserve amount, we are required to consider the Company’s lease payments through to the end of the lease term and estimate other relevant factors such as facility operating expenses, real estate market conditions in Rhode Island for similar facilities, occupancy rates and sublease rental rates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projected over the course of the leasehold. We re-evaluate the estimate each quarter, taking account of changes, if any, in each underlying factor. The process is inherently subjective because it involves projections over time – from the date of the estimate through the end of the lease – and it is not possible to determine any of the factors except the lease payments with certainty over that period.</w:t>
      </w:r>
    </w:p>
    <w:p>
      <w:pPr>
        <w:spacing w:after="0" w:line="73"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Management forms its best estimate on a quarterly basis, after considering actual sublease activity, reports from our broker/realtor about current and predicted real estate market conditions in Rhode Island, the likelihood of new subleases in the foreseeable future for the specific facility and significant changes in the actual or projected operating expenses of the property. We discount the projected net outflow over the term of the leasehold to arrive at the present value, and adjust the reserve to that figure. The estimated vacancy rate for the facility is an important assumption in determining the reserve because changes in this assumption have the greatest effect on estimated sublease income. In addition, the vacancy rate estimate is the variable most subject to change, while at the same time it involves the greatest judgment and uncertainty due to the absence of highly predictive information concerning the future of the local economy and future demand for specialized laboratory and office space in that area. The average vacancy rate of the facility for years 2001 through 2006 was approximately 67%, varying from 49% to 80%. As of June 30, 2007, based on current information available to management, the vacancy rate is projected to be 91% for the remainder of 2007, and approximately 75% for 2008 and 70% from 2009 through the end of the lease. These estimates are based on actual occupancy in 2007, expiration of subleases in 2007 and 2008, predicted lead time for acquiring new subtenants, historical vacancy rates for the area and assessments by our broker/realtor of future real estate market conditions. If the assumed vacancy rate for 2008 to the end of the Lease had been five percentage points higher or lower at June 30, 2007, then the reserve would have increased or decreased by approximately $236,000. Similarly, a 5% increase or decrease in the operating expenses for the facility from 2007 would have increased or decreased the reserve by approximately $117,000, and a 5% increase or decrease in the assumed average rental charge per square foot would have increased or decreased the reserve by approximately $71,000. Management does not wait for specific events to change its estimate, but instead uses its best efforts to anticipate them on a quarterly basis.</w:t>
      </w:r>
    </w:p>
    <w:p>
      <w:pPr>
        <w:spacing w:after="0" w:line="61" w:lineRule="exact"/>
        <w:rPr>
          <w:sz w:val="20"/>
          <w:szCs w:val="20"/>
          <w:color w:val="auto"/>
        </w:rPr>
      </w:pPr>
    </w:p>
    <w:p>
      <w:pPr>
        <w:ind w:right="360" w:firstLine="222"/>
        <w:spacing w:after="0" w:line="259" w:lineRule="auto"/>
        <w:rPr>
          <w:sz w:val="20"/>
          <w:szCs w:val="20"/>
          <w:color w:val="auto"/>
        </w:rPr>
      </w:pPr>
      <w:r>
        <w:rPr>
          <w:rFonts w:ascii="Arial" w:cs="Arial" w:eastAsia="Arial" w:hAnsi="Arial"/>
          <w:sz w:val="18"/>
          <w:szCs w:val="18"/>
          <w:color w:val="auto"/>
        </w:rPr>
        <w:t>The wind-down reserve at the end of December 31, 2006 was $5,512,000. For the three and six-month period ended June 30, 2007 we recorded actual expenses against this reserve of approximately $342,000 and $723,000 respectively. Based on management’s evaluation of the factors mentioned, and particularly the projected vacancy rates described above, we adjusted the reserve to $5,145,000 by recording an additional $134,000 and $356,000 for the three and six-month periods ended June 30, 2007.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In June 2006, the FASB issued Interpretation No. 48, “Accounting for Uncertainty in Income Taxes—an Interpretation of FASB Statement No. 109” (“FIN 48”). FIN 48 clarifies the accounting for uncertainty in income taxes recognized in an entity’s financial statements in accordance with SFAS No. 109, “Accounting for Income Taxes,” and prescribes a recognition threshold and measurement attribute for the financial statement recognition and measurement of a tax position taken or expected to be taken in a tax return. Additionally, FIN 48 provides guidance on subsequent derecognition of tax positions, financial statement classification, recognition of interest and penalties, accounting in interim periods, and disclosure and transition requirements. We adopted the provisions of FIN 48 on January 1, 2007. Previously, we had accounted for tax contingencies in accordance with Statement of Financial Accounting Standards 5, “Accounting for Contingencies”. As required by FIN 48, we recognize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 At the adoption date, we applied FIN 48 to all tax positions for which the statute of limitations remained open. The amount of unrecognized tax benefits as of January 1, 2007 was zero. There have been no material changes in unrecognized tax benefits since January 1, 2007. As of January 1, 2007, due to the carry forward of unutilized net operating losses and research and development credits, the Company is subject to U.S. Federal income tax examinations for the tax years 1992 through 2006, and to state income tax examinations for the tax years 1999 through 2006.</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222"/>
        <w:spacing w:after="0" w:line="264" w:lineRule="auto"/>
        <w:rPr>
          <w:sz w:val="20"/>
          <w:szCs w:val="20"/>
          <w:color w:val="auto"/>
        </w:rPr>
      </w:pPr>
      <w:r>
        <w:rPr>
          <w:rFonts w:ascii="Arial" w:cs="Arial" w:eastAsia="Arial" w:hAnsi="Arial"/>
          <w:sz w:val="18"/>
          <w:szCs w:val="18"/>
          <w:color w:val="auto"/>
        </w:rPr>
        <w:t>We recognize accrued interest related to unrecognized tax benefits in interest expense and penalties in operating expense. No amounts were accrued for the payment of interest and penalties at January 1, 2007. Our adoption of FIN 48 did not have a material effect on our financial condition, results of operations or cash flows (See Note 7).</w:t>
      </w:r>
    </w:p>
    <w:p>
      <w:pPr>
        <w:spacing w:after="0" w:line="73"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 xml:space="preserve">In September 2006, the FASB issued FASB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which defines fair value, establishes a framework for measuring fair value under GAAP, and expands disclosures about fair value measurements. SFAS 157 applies to other accounting pronouncements that require or permit fair value measurements. The new guidance is effective for financial statements issued for fiscal years beginning after November 15, 2007, and for interim periods within those fiscal years. We are currently evaluating the requirements of SFAS 157; however, we do not believe that its adoption will have a material effect on our consolidated financial statements.</w:t>
      </w:r>
    </w:p>
    <w:p>
      <w:pPr>
        <w:spacing w:after="0" w:line="80"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In February 2007, the FASB issued Statement No. 159, “</w:t>
      </w:r>
      <w:r>
        <w:rPr>
          <w:rFonts w:ascii="Arial" w:cs="Arial" w:eastAsia="Arial" w:hAnsi="Arial"/>
          <w:sz w:val="16"/>
          <w:szCs w:val="16"/>
          <w:i w:val="1"/>
          <w:iCs w:val="1"/>
          <w:color w:val="auto"/>
        </w:rPr>
        <w:t>The Fair Value Option for Financial Assets and Financial Liabilities — Including an amendment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FASB Statement No. 115” </w:t>
      </w:r>
      <w:r>
        <w:rPr>
          <w:rFonts w:ascii="Arial" w:cs="Arial" w:eastAsia="Arial" w:hAnsi="Arial"/>
          <w:sz w:val="16"/>
          <w:szCs w:val="16"/>
          <w:color w:val="auto"/>
        </w:rPr>
        <w:t>(SFAS 159). SFAS 159 provides companies with an option to report selected financial assets and liabilities at fair value. SFAS</w:t>
      </w:r>
      <w:r>
        <w:rPr>
          <w:rFonts w:ascii="Arial" w:cs="Arial" w:eastAsia="Arial" w:hAnsi="Arial"/>
          <w:sz w:val="16"/>
          <w:szCs w:val="16"/>
          <w:i w:val="1"/>
          <w:iCs w:val="1"/>
          <w:color w:val="auto"/>
        </w:rPr>
        <w:t xml:space="preserve"> </w:t>
      </w:r>
      <w:r>
        <w:rPr>
          <w:rFonts w:ascii="Arial" w:cs="Arial" w:eastAsia="Arial" w:hAnsi="Arial"/>
          <w:sz w:val="16"/>
          <w:szCs w:val="16"/>
          <w:color w:val="auto"/>
        </w:rPr>
        <w:t>159’s objectives are to reduce both complexity in accounting for financial instruments and the volatility in earnings caused by measuring related assets and liabilities differently. SFAS 159 is effective as of the beginning of an entity’s first fiscal year beginning after November 15, 2007. We are currently evaluating the potential impact, if any, that the adoption of SFAS159 will have on our condensed consolidated financial statements</w:t>
      </w:r>
    </w:p>
    <w:p>
      <w:pPr>
        <w:spacing w:after="0" w:line="50"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In June 2007, the Financial Accounting Standards Board ratified a consensus opinion reached by the Emerging Issues Task Force (EITF) on EITF Issue 07-3, “Accounting for Nonrefundable Advance Payments for Goods or Services Received for Use in Future Research and Development Activities.” The guidance in EITF Issue 07-3 requires us to defer and capitalize nonrefundable advance payments made for goods or services to be used in research and development activities until the goods have been delivered or the related services have been performed. If the goods are no longer expected to be delivered nor the services expected to be performed, we would be required to expense the related capitalized advance payments. The consensus in EITF Issue 07-3 is effective for fiscal years, and interim periods within those fiscal years, beginning after December 15, 2007 and is to be applied prospectively to new contracts entered into on or after December 15, 2007. Early adoption is not permitted. Retrospective application of EITF Issue 07-3 is also not permitted. We intend to adopt EITF Issue 07-3 effective January 1, 2008. The impact of applying this consensus will depend on the terms of our future research and development contractual arrangements entered into on or after December 15, 2007.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June 30, 2007 and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for the three-month period ended June 30, 2007, as compared with the same period in 2006, is summarized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color w:val="auto"/>
              </w:rPr>
              <w:t>2007</w:t>
            </w:r>
          </w:p>
        </w:tc>
        <w:tc>
          <w:tcPr>
            <w:tcW w:w="186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color w:val="auto"/>
              </w:rPr>
              <w:t>2006</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 from previous year</w:t>
            </w:r>
          </w:p>
        </w:tc>
        <w:tc>
          <w:tcPr>
            <w:tcW w:w="5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160" w:type="dxa"/>
            <w:vAlign w:val="bottom"/>
            <w:tcBorders>
              <w:bottom w:val="single" w:sz="8" w:color="auto"/>
            </w:tcBorders>
          </w:tcPr>
          <w:p>
            <w:pPr>
              <w:jc w:val="right"/>
              <w:ind w:right="1399"/>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color w:val="auto"/>
              </w:rPr>
              <w:t>%</w:t>
            </w: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Revenue from licensing agreements</w:t>
            </w:r>
          </w:p>
        </w:tc>
        <w:tc>
          <w:tcPr>
            <w:tcW w:w="1200" w:type="dxa"/>
            <w:vAlign w:val="bottom"/>
          </w:tcPr>
          <w:p>
            <w:pPr>
              <w:jc w:val="right"/>
              <w:ind w:right="416"/>
              <w:spacing w:after="0"/>
              <w:rPr>
                <w:sz w:val="20"/>
                <w:szCs w:val="20"/>
                <w:color w:val="auto"/>
              </w:rPr>
            </w:pPr>
            <w:r>
              <w:rPr>
                <w:rFonts w:ascii="Arial" w:cs="Arial" w:eastAsia="Arial" w:hAnsi="Arial"/>
                <w:sz w:val="18"/>
                <w:szCs w:val="18"/>
                <w:color w:val="auto"/>
              </w:rPr>
              <w:t>$ 7,840</w:t>
            </w:r>
          </w:p>
        </w:tc>
        <w:tc>
          <w:tcPr>
            <w:tcW w:w="1860" w:type="dxa"/>
            <w:vAlign w:val="bottom"/>
          </w:tcPr>
          <w:p>
            <w:pPr>
              <w:jc w:val="right"/>
              <w:ind w:right="696"/>
              <w:spacing w:after="0"/>
              <w:rPr>
                <w:sz w:val="20"/>
                <w:szCs w:val="20"/>
                <w:color w:val="auto"/>
              </w:rPr>
            </w:pPr>
            <w:r>
              <w:rPr>
                <w:rFonts w:ascii="Arial" w:cs="Arial" w:eastAsia="Arial" w:hAnsi="Arial"/>
                <w:sz w:val="18"/>
                <w:szCs w:val="18"/>
                <w:color w:val="auto"/>
              </w:rPr>
              <w:t>$ 20,535</w:t>
            </w:r>
          </w:p>
        </w:tc>
        <w:tc>
          <w:tcPr>
            <w:tcW w:w="2160" w:type="dxa"/>
            <w:vAlign w:val="bottom"/>
          </w:tcPr>
          <w:p>
            <w:pPr>
              <w:jc w:val="right"/>
              <w:ind w:right="1039"/>
              <w:spacing w:after="0"/>
              <w:rPr>
                <w:sz w:val="20"/>
                <w:szCs w:val="20"/>
                <w:color w:val="auto"/>
              </w:rPr>
            </w:pPr>
            <w:r>
              <w:rPr>
                <w:rFonts w:ascii="Arial" w:cs="Arial" w:eastAsia="Arial" w:hAnsi="Arial"/>
                <w:sz w:val="18"/>
                <w:szCs w:val="18"/>
                <w:color w:val="auto"/>
              </w:rPr>
              <w:t>($12,695)</w:t>
            </w:r>
          </w:p>
        </w:tc>
        <w:tc>
          <w:tcPr>
            <w:tcW w:w="580" w:type="dxa"/>
            <w:vAlign w:val="bottom"/>
          </w:tcPr>
          <w:p>
            <w:pPr>
              <w:jc w:val="right"/>
              <w:ind w:right="36"/>
              <w:spacing w:after="0"/>
              <w:rPr>
                <w:sz w:val="20"/>
                <w:szCs w:val="20"/>
                <w:color w:val="auto"/>
              </w:rPr>
            </w:pPr>
            <w:r>
              <w:rPr>
                <w:rFonts w:ascii="Arial" w:cs="Arial" w:eastAsia="Arial" w:hAnsi="Arial"/>
                <w:sz w:val="18"/>
                <w:szCs w:val="18"/>
                <w:color w:val="auto"/>
                <w:w w:val="91"/>
              </w:rPr>
              <w:t>(62%)</w:t>
            </w:r>
          </w:p>
        </w:tc>
      </w:tr>
      <w:tr>
        <w:trPr>
          <w:trHeight w:val="209"/>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$7,840</w:t>
            </w:r>
          </w:p>
        </w:tc>
        <w:tc>
          <w:tcPr>
            <w:tcW w:w="186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$20,535</w:t>
            </w:r>
          </w:p>
        </w:tc>
        <w:tc>
          <w:tcPr>
            <w:tcW w:w="216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rPr>
              <w:t>($12,695)</w:t>
            </w:r>
          </w:p>
        </w:tc>
        <w:tc>
          <w:tcPr>
            <w:tcW w:w="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1"/>
              </w:rPr>
              <w:t>(62%)</w:t>
            </w:r>
          </w:p>
        </w:tc>
      </w:tr>
    </w:tbl>
    <w:p>
      <w:pPr>
        <w:spacing w:after="0" w:line="94"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Revenue for the three months ended June 30, 2007 and 2006 are solely comprised of amounts received from various licensees as part of our licensing agreements with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Operating expenses for the three-month period ended June 30, 2007, as compared with the same period in 2006, is summarized in the table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2007</w:t>
            </w:r>
          </w:p>
        </w:tc>
        <w:tc>
          <w:tcPr>
            <w:tcW w:w="198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color w:val="auto"/>
              </w:rPr>
              <w:t>2006</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 from previous year</w:t>
            </w:r>
          </w:p>
        </w:tc>
        <w:tc>
          <w:tcPr>
            <w:tcW w:w="5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20" w:type="dxa"/>
            <w:vAlign w:val="bottom"/>
            <w:tcBorders>
              <w:bottom w:val="single" w:sz="8" w:color="auto"/>
            </w:tcBorders>
          </w:tcPr>
          <w:p>
            <w:pPr>
              <w:jc w:val="right"/>
              <w:ind w:right="1416"/>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80" w:type="dxa"/>
            <w:vAlign w:val="bottom"/>
          </w:tcPr>
          <w:p>
            <w:pPr>
              <w:jc w:val="right"/>
              <w:ind w:right="373"/>
              <w:spacing w:after="0"/>
              <w:rPr>
                <w:sz w:val="20"/>
                <w:szCs w:val="20"/>
                <w:color w:val="auto"/>
              </w:rPr>
            </w:pPr>
            <w:r>
              <w:rPr>
                <w:rFonts w:ascii="Arial" w:cs="Arial" w:eastAsia="Arial" w:hAnsi="Arial"/>
                <w:sz w:val="18"/>
                <w:szCs w:val="18"/>
                <w:color w:val="auto"/>
              </w:rPr>
              <w:t>$4,498,204</w:t>
            </w:r>
          </w:p>
        </w:tc>
        <w:tc>
          <w:tcPr>
            <w:tcW w:w="1980" w:type="dxa"/>
            <w:vAlign w:val="bottom"/>
          </w:tcPr>
          <w:p>
            <w:pPr>
              <w:jc w:val="right"/>
              <w:ind w:right="634"/>
              <w:spacing w:after="0"/>
              <w:rPr>
                <w:sz w:val="20"/>
                <w:szCs w:val="20"/>
                <w:color w:val="auto"/>
              </w:rPr>
            </w:pPr>
            <w:r>
              <w:rPr>
                <w:rFonts w:ascii="Arial" w:cs="Arial" w:eastAsia="Arial" w:hAnsi="Arial"/>
                <w:sz w:val="18"/>
                <w:szCs w:val="18"/>
                <w:color w:val="auto"/>
              </w:rPr>
              <w:t>$3,187,513</w:t>
            </w:r>
          </w:p>
        </w:tc>
        <w:tc>
          <w:tcPr>
            <w:tcW w:w="2220" w:type="dxa"/>
            <w:vAlign w:val="bottom"/>
          </w:tcPr>
          <w:p>
            <w:pPr>
              <w:jc w:val="right"/>
              <w:ind w:right="1076"/>
              <w:spacing w:after="0"/>
              <w:rPr>
                <w:sz w:val="20"/>
                <w:szCs w:val="20"/>
                <w:color w:val="auto"/>
              </w:rPr>
            </w:pPr>
            <w:r>
              <w:rPr>
                <w:rFonts w:ascii="Arial" w:cs="Arial" w:eastAsia="Arial" w:hAnsi="Arial"/>
                <w:sz w:val="18"/>
                <w:szCs w:val="18"/>
                <w:color w:val="auto"/>
              </w:rPr>
              <w:t>$1,310,691</w:t>
            </w:r>
          </w:p>
        </w:tc>
        <w:tc>
          <w:tcPr>
            <w:tcW w:w="580" w:type="dxa"/>
            <w:vAlign w:val="bottom"/>
          </w:tcPr>
          <w:p>
            <w:pPr>
              <w:ind w:left="80"/>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1,408,657</w:t>
            </w:r>
          </w:p>
        </w:tc>
        <w:tc>
          <w:tcPr>
            <w:tcW w:w="198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1,412,513</w:t>
            </w:r>
          </w:p>
        </w:tc>
        <w:tc>
          <w:tcPr>
            <w:tcW w:w="2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rPr>
              <w:t>(3,856)</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1480" w:type="dxa"/>
            <w:vAlign w:val="bottom"/>
          </w:tcPr>
          <w:p>
            <w:pPr>
              <w:jc w:val="right"/>
              <w:ind w:right="373"/>
              <w:spacing w:after="0"/>
              <w:rPr>
                <w:sz w:val="20"/>
                <w:szCs w:val="20"/>
                <w:color w:val="auto"/>
              </w:rPr>
            </w:pPr>
            <w:r>
              <w:rPr>
                <w:rFonts w:ascii="Arial" w:cs="Arial" w:eastAsia="Arial" w:hAnsi="Arial"/>
                <w:sz w:val="18"/>
                <w:szCs w:val="18"/>
                <w:color w:val="auto"/>
              </w:rPr>
              <w:t>134,045</w:t>
            </w:r>
          </w:p>
        </w:tc>
        <w:tc>
          <w:tcPr>
            <w:tcW w:w="1980" w:type="dxa"/>
            <w:vAlign w:val="bottom"/>
          </w:tcPr>
          <w:p>
            <w:pPr>
              <w:jc w:val="right"/>
              <w:ind w:right="634"/>
              <w:spacing w:after="0"/>
              <w:rPr>
                <w:sz w:val="20"/>
                <w:szCs w:val="20"/>
                <w:color w:val="auto"/>
              </w:rPr>
            </w:pPr>
            <w:r>
              <w:rPr>
                <w:rFonts w:ascii="Arial" w:cs="Arial" w:eastAsia="Arial" w:hAnsi="Arial"/>
                <w:sz w:val="18"/>
                <w:szCs w:val="18"/>
                <w:color w:val="auto"/>
              </w:rPr>
              <w:t>174,901</w:t>
            </w:r>
          </w:p>
        </w:tc>
        <w:tc>
          <w:tcPr>
            <w:tcW w:w="2220" w:type="dxa"/>
            <w:vAlign w:val="bottom"/>
          </w:tcPr>
          <w:p>
            <w:pPr>
              <w:jc w:val="right"/>
              <w:ind w:right="1016"/>
              <w:spacing w:after="0"/>
              <w:rPr>
                <w:sz w:val="20"/>
                <w:szCs w:val="20"/>
                <w:color w:val="auto"/>
              </w:rPr>
            </w:pPr>
            <w:r>
              <w:rPr>
                <w:rFonts w:ascii="Arial" w:cs="Arial" w:eastAsia="Arial" w:hAnsi="Arial"/>
                <w:sz w:val="18"/>
                <w:szCs w:val="18"/>
                <w:color w:val="auto"/>
              </w:rPr>
              <w:t>(40,856)</w:t>
            </w:r>
          </w:p>
        </w:tc>
        <w:tc>
          <w:tcPr>
            <w:tcW w:w="580" w:type="dxa"/>
            <w:vAlign w:val="bottom"/>
          </w:tcPr>
          <w:p>
            <w:pPr>
              <w:ind w:left="20"/>
              <w:spacing w:after="0"/>
              <w:rPr>
                <w:sz w:val="20"/>
                <w:szCs w:val="20"/>
                <w:color w:val="auto"/>
              </w:rPr>
            </w:pPr>
            <w:r>
              <w:rPr>
                <w:rFonts w:ascii="Arial" w:cs="Arial" w:eastAsia="Arial" w:hAnsi="Arial"/>
                <w:sz w:val="18"/>
                <w:szCs w:val="18"/>
                <w:color w:val="auto"/>
              </w:rPr>
              <w:t>(23)%</w:t>
            </w:r>
          </w:p>
        </w:tc>
      </w:tr>
      <w:tr>
        <w:trPr>
          <w:trHeight w:val="209"/>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$6,040,906</w:t>
            </w:r>
          </w:p>
        </w:tc>
        <w:tc>
          <w:tcPr>
            <w:tcW w:w="198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$4,774,927</w:t>
            </w:r>
          </w:p>
        </w:tc>
        <w:tc>
          <w:tcPr>
            <w:tcW w:w="222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rPr>
              <w:t>$1,265,979</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27%</w:t>
            </w:r>
          </w:p>
        </w:tc>
      </w:tr>
      <w:tr>
        <w:trPr>
          <w:trHeight w:val="405"/>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480" w:type="dxa"/>
            <w:vAlign w:val="bottom"/>
          </w:tcPr>
          <w:p>
            <w:pPr>
              <w:jc w:val="right"/>
              <w:ind w:right="753"/>
              <w:spacing w:after="0"/>
              <w:rPr>
                <w:sz w:val="20"/>
                <w:szCs w:val="20"/>
                <w:color w:val="auto"/>
              </w:rPr>
            </w:pPr>
            <w:r>
              <w:rPr>
                <w:rFonts w:ascii="Arial" w:cs="Arial" w:eastAsia="Arial" w:hAnsi="Arial"/>
                <w:sz w:val="18"/>
                <w:szCs w:val="18"/>
                <w:color w:val="auto"/>
              </w:rPr>
              <w:t>18</w:t>
            </w:r>
          </w:p>
        </w:tc>
        <w:tc>
          <w:tcPr>
            <w:tcW w:w="1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Research and development expenses totaled approximately $4,498,000 for the three months ended June 30, 2007, compared with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$3,188,000 for the same period in 2006. The increase of $1,311,000, or approximately 41%, from 2006 to 2007 was primarily attributable to expansion of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operations in cell processing and clinical development, which consisted of an increase in personnel costs of approximately $298,000 and an increase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external services and clinical study costs of approximately $670,000 with the remainder due to increases in supplies, rent and other operating expenses.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2007, we had 42 full-time employees working in research and development and laboratory support services as compared to 36 at June 30, 2006.</w:t>
      </w:r>
    </w:p>
    <w:p>
      <w:pPr>
        <w:spacing w:after="0" w:line="126"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General and administrative expenses were approximately $1,409,000 for the three months ended June 30, 2007, compared with approximately $1,413,000 for the same period in 2006. For the three months ended June 30, 2007, there was a net increase in expenses, as compared to the same period in 2006, of approximately $188,000, of which approximately $128,000 was attributable to an increase in stock based compensation expense for grant of stock options and stock appreciation rights. This increase was offset by approximately $192,000 received from a subtenant in connection with the early termination of their sublease, resulting in a net decrease of approximately $4,000 in 2007 as compared to 2006.</w:t>
      </w:r>
    </w:p>
    <w:p>
      <w:pPr>
        <w:spacing w:after="0" w:line="64" w:lineRule="exact"/>
        <w:rPr>
          <w:sz w:val="20"/>
          <w:szCs w:val="20"/>
          <w:color w:val="auto"/>
        </w:rPr>
      </w:pPr>
    </w:p>
    <w:p>
      <w:pPr>
        <w:ind w:right="140" w:firstLine="225"/>
        <w:spacing w:after="0" w:line="270" w:lineRule="auto"/>
        <w:rPr>
          <w:sz w:val="20"/>
          <w:szCs w:val="20"/>
          <w:color w:val="auto"/>
        </w:rPr>
      </w:pPr>
      <w:r>
        <w:rPr>
          <w:rFonts w:ascii="Arial" w:cs="Arial" w:eastAsia="Arial" w:hAnsi="Arial"/>
          <w:sz w:val="17"/>
          <w:szCs w:val="17"/>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December 31, 2006, the reserve was approximately $5,512,000. For the three months ended June 30, 2007, expenses of approximately $342,000 net of subtenant income were recorded against this reserve (See Note 4). At June 30, 2007, we re-evaluated the estimate and adjusted the reserve to approximately $5,145,000 by recording an additional $134,000 as wind-down expenses. Wind-down expenses recorded against the reserve for the same period in 2006 were approximately $298,000 and additional expenses recorded to adjust the reserve were approximately $175,000.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Other income for the three-month period ended June 30, 2007, as compared with the same period in 2006, is summarized in the table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60" w:type="dxa"/>
            <w:vAlign w:val="bottom"/>
          </w:tcPr>
          <w:p>
            <w:pPr>
              <w:spacing w:after="0"/>
              <w:rPr>
                <w:sz w:val="14"/>
                <w:szCs w:val="14"/>
                <w:color w:val="auto"/>
              </w:rPr>
            </w:pPr>
          </w:p>
        </w:tc>
        <w:tc>
          <w:tcPr>
            <w:tcW w:w="13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2007</w:t>
            </w:r>
          </w:p>
        </w:tc>
        <w:tc>
          <w:tcPr>
            <w:tcW w:w="186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color w:val="auto"/>
              </w:rPr>
              <w:t>2006</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 from previous year</w:t>
            </w:r>
          </w:p>
        </w:tc>
        <w:tc>
          <w:tcPr>
            <w:tcW w:w="660" w:type="dxa"/>
            <w:vAlign w:val="bottom"/>
            <w:tcBorders>
              <w:bottom w:val="single" w:sz="8" w:color="auto"/>
            </w:tcBorders>
          </w:tcPr>
          <w:p>
            <w:pPr>
              <w:spacing w:after="0"/>
              <w:rPr>
                <w:sz w:val="14"/>
                <w:szCs w:val="14"/>
                <w:color w:val="auto"/>
              </w:rPr>
            </w:pPr>
          </w:p>
        </w:tc>
      </w:tr>
      <w:tr>
        <w:trPr>
          <w:trHeight w:val="142"/>
        </w:trPr>
        <w:tc>
          <w:tcPr>
            <w:tcW w:w="5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60" w:type="dxa"/>
            <w:vAlign w:val="bottom"/>
            <w:tcBorders>
              <w:bottom w:val="single" w:sz="8" w:color="auto"/>
            </w:tcBorders>
          </w:tcPr>
          <w:p>
            <w:pPr>
              <w:jc w:val="right"/>
              <w:ind w:right="1435"/>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w:t>
            </w: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3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License and settlement agreement, net</w:t>
            </w:r>
          </w:p>
        </w:tc>
        <w:tc>
          <w:tcPr>
            <w:tcW w:w="138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653"/>
              <w:spacing w:after="0"/>
              <w:rPr>
                <w:sz w:val="20"/>
                <w:szCs w:val="20"/>
                <w:color w:val="auto"/>
              </w:rPr>
            </w:pPr>
            <w:r>
              <w:rPr>
                <w:rFonts w:ascii="Arial" w:cs="Arial" w:eastAsia="Arial" w:hAnsi="Arial"/>
                <w:sz w:val="18"/>
                <w:szCs w:val="18"/>
                <w:color w:val="auto"/>
              </w:rPr>
              <w:t>$103,359</w:t>
            </w:r>
          </w:p>
        </w:tc>
        <w:tc>
          <w:tcPr>
            <w:tcW w:w="2260" w:type="dxa"/>
            <w:vAlign w:val="bottom"/>
          </w:tcPr>
          <w:p>
            <w:pPr>
              <w:jc w:val="right"/>
              <w:ind w:right="1055"/>
              <w:spacing w:after="0"/>
              <w:rPr>
                <w:sz w:val="20"/>
                <w:szCs w:val="20"/>
                <w:color w:val="auto"/>
              </w:rPr>
            </w:pPr>
            <w:r>
              <w:rPr>
                <w:rFonts w:ascii="Arial" w:cs="Arial" w:eastAsia="Arial" w:hAnsi="Arial"/>
                <w:sz w:val="18"/>
                <w:szCs w:val="18"/>
                <w:color w:val="auto"/>
              </w:rPr>
              <w:t>($103,359)</w:t>
            </w:r>
          </w:p>
        </w:tc>
        <w:tc>
          <w:tcPr>
            <w:tcW w:w="660" w:type="dxa"/>
            <w:vAlign w:val="bottom"/>
          </w:tcPr>
          <w:p>
            <w:pPr>
              <w:jc w:val="right"/>
              <w:ind w:right="33"/>
              <w:spacing w:after="0"/>
              <w:rPr>
                <w:sz w:val="20"/>
                <w:szCs w:val="20"/>
                <w:color w:val="auto"/>
              </w:rPr>
            </w:pPr>
            <w:r>
              <w:rPr>
                <w:rFonts w:ascii="Arial" w:cs="Arial" w:eastAsia="Arial" w:hAnsi="Arial"/>
                <w:sz w:val="18"/>
                <w:szCs w:val="18"/>
                <w:color w:val="auto"/>
                <w:w w:val="89"/>
              </w:rPr>
              <w:t>(100)%</w:t>
            </w:r>
          </w:p>
        </w:tc>
      </w:tr>
      <w:tr>
        <w:trPr>
          <w:trHeight w:val="216"/>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3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655,531</w:t>
            </w:r>
          </w:p>
        </w:tc>
        <w:tc>
          <w:tcPr>
            <w:tcW w:w="186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rPr>
              <w:t>703,551</w:t>
            </w:r>
          </w:p>
        </w:tc>
        <w:tc>
          <w:tcPr>
            <w:tcW w:w="2260" w:type="dxa"/>
            <w:vAlign w:val="bottom"/>
            <w:shd w:val="clear" w:color="auto" w:fill="CCEEFF"/>
          </w:tcPr>
          <w:p>
            <w:pPr>
              <w:jc w:val="right"/>
              <w:ind w:right="1055"/>
              <w:spacing w:after="0"/>
              <w:rPr>
                <w:sz w:val="20"/>
                <w:szCs w:val="20"/>
                <w:color w:val="auto"/>
              </w:rPr>
            </w:pPr>
            <w:r>
              <w:rPr>
                <w:rFonts w:ascii="Arial" w:cs="Arial" w:eastAsia="Arial" w:hAnsi="Arial"/>
                <w:sz w:val="18"/>
                <w:szCs w:val="18"/>
                <w:color w:val="auto"/>
              </w:rPr>
              <w:t>(48,020)</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380" w:type="dxa"/>
            <w:vAlign w:val="bottom"/>
          </w:tcPr>
          <w:p>
            <w:pPr>
              <w:jc w:val="right"/>
              <w:ind w:right="353"/>
              <w:spacing w:after="0"/>
              <w:rPr>
                <w:sz w:val="20"/>
                <w:szCs w:val="20"/>
                <w:color w:val="auto"/>
              </w:rPr>
            </w:pPr>
            <w:r>
              <w:rPr>
                <w:rFonts w:ascii="Arial" w:cs="Arial" w:eastAsia="Arial" w:hAnsi="Arial"/>
                <w:sz w:val="18"/>
                <w:szCs w:val="18"/>
                <w:color w:val="auto"/>
              </w:rPr>
              <w:t>(34,055)</w:t>
            </w:r>
          </w:p>
        </w:tc>
        <w:tc>
          <w:tcPr>
            <w:tcW w:w="1860" w:type="dxa"/>
            <w:vAlign w:val="bottom"/>
          </w:tcPr>
          <w:p>
            <w:pPr>
              <w:jc w:val="right"/>
              <w:ind w:right="593"/>
              <w:spacing w:after="0"/>
              <w:rPr>
                <w:sz w:val="20"/>
                <w:szCs w:val="20"/>
                <w:color w:val="auto"/>
              </w:rPr>
            </w:pPr>
            <w:r>
              <w:rPr>
                <w:rFonts w:ascii="Arial" w:cs="Arial" w:eastAsia="Arial" w:hAnsi="Arial"/>
                <w:sz w:val="18"/>
                <w:szCs w:val="18"/>
                <w:color w:val="auto"/>
              </w:rPr>
              <w:t>(38,505)</w:t>
            </w:r>
          </w:p>
        </w:tc>
        <w:tc>
          <w:tcPr>
            <w:tcW w:w="2260" w:type="dxa"/>
            <w:vAlign w:val="bottom"/>
          </w:tcPr>
          <w:p>
            <w:pPr>
              <w:jc w:val="right"/>
              <w:ind w:right="1115"/>
              <w:spacing w:after="0"/>
              <w:rPr>
                <w:sz w:val="20"/>
                <w:szCs w:val="20"/>
                <w:color w:val="auto"/>
              </w:rPr>
            </w:pPr>
            <w:r>
              <w:rPr>
                <w:rFonts w:ascii="Arial" w:cs="Arial" w:eastAsia="Arial" w:hAnsi="Arial"/>
                <w:sz w:val="18"/>
                <w:szCs w:val="18"/>
                <w:color w:val="auto"/>
              </w:rPr>
              <w:t>4,450</w:t>
            </w: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(12)%</w:t>
            </w:r>
          </w:p>
        </w:tc>
      </w:tr>
      <w:tr>
        <w:trPr>
          <w:trHeight w:val="216"/>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(12,400)</w:t>
            </w:r>
          </w:p>
        </w:tc>
        <w:tc>
          <w:tcPr>
            <w:tcW w:w="186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rPr>
              <w:t>(3,372)</w:t>
            </w:r>
          </w:p>
        </w:tc>
        <w:tc>
          <w:tcPr>
            <w:tcW w:w="2260" w:type="dxa"/>
            <w:vAlign w:val="bottom"/>
            <w:tcBorders>
              <w:bottom w:val="single" w:sz="8" w:color="auto"/>
            </w:tcBorders>
            <w:shd w:val="clear" w:color="auto" w:fill="CCEEFF"/>
          </w:tcPr>
          <w:p>
            <w:pPr>
              <w:jc w:val="right"/>
              <w:ind w:right="1055"/>
              <w:spacing w:after="0"/>
              <w:rPr>
                <w:sz w:val="20"/>
                <w:szCs w:val="20"/>
                <w:color w:val="auto"/>
              </w:rPr>
            </w:pPr>
            <w:r>
              <w:rPr>
                <w:rFonts w:ascii="Arial" w:cs="Arial" w:eastAsia="Arial" w:hAnsi="Arial"/>
                <w:sz w:val="18"/>
                <w:szCs w:val="18"/>
                <w:color w:val="auto"/>
              </w:rPr>
              <w:t>(9,028)</w:t>
            </w:r>
          </w:p>
        </w:tc>
        <w:tc>
          <w:tcPr>
            <w:tcW w:w="6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268%</w:t>
            </w:r>
          </w:p>
        </w:tc>
      </w:tr>
      <w:tr>
        <w:trPr>
          <w:trHeight w:val="439"/>
        </w:trPr>
        <w:tc>
          <w:tcPr>
            <w:tcW w:w="526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1380" w:type="dxa"/>
            <w:vAlign w:val="bottom"/>
          </w:tcPr>
          <w:p>
            <w:pPr>
              <w:jc w:val="right"/>
              <w:ind w:right="413"/>
              <w:spacing w:after="0"/>
              <w:rPr>
                <w:sz w:val="20"/>
                <w:szCs w:val="20"/>
                <w:color w:val="auto"/>
              </w:rPr>
            </w:pPr>
            <w:r>
              <w:rPr>
                <w:rFonts w:ascii="Arial" w:cs="Arial" w:eastAsia="Arial" w:hAnsi="Arial"/>
                <w:sz w:val="18"/>
                <w:szCs w:val="18"/>
                <w:color w:val="auto"/>
              </w:rPr>
              <w:t>$609,076</w:t>
            </w:r>
          </w:p>
        </w:tc>
        <w:tc>
          <w:tcPr>
            <w:tcW w:w="1860" w:type="dxa"/>
            <w:vAlign w:val="bottom"/>
          </w:tcPr>
          <w:p>
            <w:pPr>
              <w:jc w:val="right"/>
              <w:ind w:right="653"/>
              <w:spacing w:after="0"/>
              <w:rPr>
                <w:sz w:val="20"/>
                <w:szCs w:val="20"/>
                <w:color w:val="auto"/>
              </w:rPr>
            </w:pPr>
            <w:r>
              <w:rPr>
                <w:rFonts w:ascii="Arial" w:cs="Arial" w:eastAsia="Arial" w:hAnsi="Arial"/>
                <w:sz w:val="18"/>
                <w:szCs w:val="18"/>
                <w:color w:val="auto"/>
              </w:rPr>
              <w:t>$765,033</w:t>
            </w:r>
          </w:p>
        </w:tc>
        <w:tc>
          <w:tcPr>
            <w:tcW w:w="2260" w:type="dxa"/>
            <w:vAlign w:val="bottom"/>
          </w:tcPr>
          <w:p>
            <w:pPr>
              <w:jc w:val="right"/>
              <w:ind w:right="1055"/>
              <w:spacing w:after="0"/>
              <w:rPr>
                <w:sz w:val="20"/>
                <w:szCs w:val="20"/>
                <w:color w:val="auto"/>
              </w:rPr>
            </w:pPr>
            <w:r>
              <w:rPr>
                <w:rFonts w:ascii="Arial" w:cs="Arial" w:eastAsia="Arial" w:hAnsi="Arial"/>
                <w:sz w:val="18"/>
                <w:szCs w:val="18"/>
                <w:color w:val="auto"/>
              </w:rPr>
              <w:t>($155,957)</w:t>
            </w: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(20)%</w:t>
            </w:r>
          </w:p>
        </w:tc>
      </w:tr>
    </w:tbl>
    <w:p>
      <w:pPr>
        <w:spacing w:after="0" w:line="94" w:lineRule="exact"/>
        <w:rPr>
          <w:sz w:val="20"/>
          <w:szCs w:val="20"/>
          <w:color w:val="auto"/>
        </w:rPr>
      </w:pPr>
    </w:p>
    <w:p>
      <w:pPr>
        <w:ind w:right="440" w:firstLine="225"/>
        <w:spacing w:after="0" w:line="342" w:lineRule="auto"/>
        <w:rPr>
          <w:sz w:val="20"/>
          <w:szCs w:val="20"/>
          <w:color w:val="auto"/>
        </w:rPr>
      </w:pPr>
      <w:r>
        <w:rPr>
          <w:rFonts w:ascii="Arial" w:cs="Arial" w:eastAsia="Arial" w:hAnsi="Arial"/>
          <w:sz w:val="16"/>
          <w:szCs w:val="16"/>
          <w:color w:val="auto"/>
        </w:rPr>
        <w:t>Interest income for the three months ended June 30, 2007 and 2006 was approximately $655,000 and $704,000, respectively. The decrease in interest income for the 2007 period was primarily attributable to a lower average investment balance when compared to the three-month period in 2006.</w:t>
      </w:r>
    </w:p>
    <w:p>
      <w:pPr>
        <w:spacing w:after="0" w:line="16"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Interest expense for the three months ended June 30, 2007 and 2006 was approximately $34,000 and $39,000 respectively. The decrease in interest expense in 2007 was attributable to lower outstanding debt and capital lease balances in 2007 compared to 2006. Other income (expense) comprises primarily of state franchise tax paid.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June 30, 2007 and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for the six-month period ended June 30, 2007, as compared with the same period in 2006, is summarized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2007</w:t>
            </w:r>
          </w:p>
        </w:tc>
        <w:tc>
          <w:tcPr>
            <w:tcW w:w="188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color w:val="auto"/>
              </w:rPr>
              <w:t>2006</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 from previous year</w:t>
            </w:r>
          </w:p>
        </w:tc>
        <w:tc>
          <w:tcPr>
            <w:tcW w:w="5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140" w:type="dxa"/>
            <w:vAlign w:val="bottom"/>
            <w:tcBorders>
              <w:bottom w:val="single" w:sz="8" w:color="auto"/>
            </w:tcBorders>
          </w:tcPr>
          <w:p>
            <w:pPr>
              <w:jc w:val="right"/>
              <w:ind w:right="1379"/>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color w:val="auto"/>
              </w:rPr>
              <w:t>%</w:t>
            </w: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Revenue from grants and licensing agreements</w:t>
            </w:r>
          </w:p>
        </w:tc>
        <w:tc>
          <w:tcPr>
            <w:tcW w:w="128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rPr>
              <w:t>$13,786</w:t>
            </w:r>
          </w:p>
        </w:tc>
        <w:tc>
          <w:tcPr>
            <w:tcW w:w="188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rPr>
              <w:t>$62,085</w:t>
            </w:r>
          </w:p>
        </w:tc>
        <w:tc>
          <w:tcPr>
            <w:tcW w:w="2140" w:type="dxa"/>
            <w:vAlign w:val="bottom"/>
            <w:tcBorders>
              <w:bottom w:val="single" w:sz="8" w:color="auto"/>
            </w:tcBorders>
          </w:tcPr>
          <w:p>
            <w:pPr>
              <w:jc w:val="right"/>
              <w:ind w:right="1039"/>
              <w:spacing w:after="0"/>
              <w:rPr>
                <w:sz w:val="20"/>
                <w:szCs w:val="20"/>
                <w:color w:val="auto"/>
              </w:rPr>
            </w:pPr>
            <w:r>
              <w:rPr>
                <w:rFonts w:ascii="Arial" w:cs="Arial" w:eastAsia="Arial" w:hAnsi="Arial"/>
                <w:sz w:val="18"/>
                <w:szCs w:val="18"/>
                <w:color w:val="auto"/>
              </w:rPr>
              <w:t>($48,299)</w:t>
            </w: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1"/>
              </w:rPr>
              <w:t>(78%)</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8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$13,786</w:t>
            </w:r>
          </w:p>
        </w:tc>
        <w:tc>
          <w:tcPr>
            <w:tcW w:w="188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$62,085</w:t>
            </w:r>
          </w:p>
        </w:tc>
        <w:tc>
          <w:tcPr>
            <w:tcW w:w="214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rPr>
              <w:t>($48,299)</w:t>
            </w:r>
          </w:p>
        </w:tc>
        <w:tc>
          <w:tcPr>
            <w:tcW w:w="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1"/>
              </w:rPr>
              <w:t>(78%)</w:t>
            </w:r>
          </w:p>
        </w:tc>
      </w:tr>
    </w:tbl>
    <w:p>
      <w:pPr>
        <w:spacing w:after="0" w:line="94"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For the six months ended June 30, 2007 and 2006, revenue from grants and licensing agreements totaled approximately $14,000 and $62,000 respectively. The decrease in revenue from 2006 to 2007 was primarily attributable to the completed draw down by March 31, 2006 of a September 2004 Small Business Technology Transfer grant for studies in Alzheimer’s disease. The grant of $464,000 for studies in Alzheimer’s disease consisted of approximately $308,000 for the first year and approximately $156,000 for the remainder of the grant term, June 30, 2005 through June 30, 2006.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Operating expenses for the six-month period ended June 30, 2007, as compared with the same period in 2006, is summarized in the table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2007</w:t>
            </w:r>
          </w:p>
        </w:tc>
        <w:tc>
          <w:tcPr>
            <w:tcW w:w="198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color w:val="auto"/>
              </w:rPr>
              <w:t>2006</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 from previous year</w:t>
            </w:r>
          </w:p>
        </w:tc>
        <w:tc>
          <w:tcPr>
            <w:tcW w:w="54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00" w:type="dxa"/>
            <w:vAlign w:val="bottom"/>
            <w:tcBorders>
              <w:bottom w:val="single" w:sz="8" w:color="auto"/>
            </w:tcBorders>
          </w:tcPr>
          <w:p>
            <w:pPr>
              <w:jc w:val="right"/>
              <w:ind w:right="1396"/>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w:t>
            </w: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4"/>
              <w:spacing w:after="0"/>
              <w:rPr>
                <w:sz w:val="20"/>
                <w:szCs w:val="20"/>
                <w:color w:val="auto"/>
              </w:rPr>
            </w:pPr>
            <w:r>
              <w:rPr>
                <w:rFonts w:ascii="Arial" w:cs="Arial" w:eastAsia="Arial" w:hAnsi="Arial"/>
                <w:sz w:val="18"/>
                <w:szCs w:val="18"/>
                <w:color w:val="auto"/>
                <w:w w:val="97"/>
              </w:rPr>
              <w:t>8,517,342</w:t>
            </w:r>
          </w:p>
        </w:tc>
        <w:tc>
          <w:tcPr>
            <w:tcW w:w="1980" w:type="dxa"/>
            <w:vAlign w:val="bottom"/>
          </w:tcPr>
          <w:p>
            <w:pPr>
              <w:jc w:val="right"/>
              <w:ind w:right="634"/>
              <w:spacing w:after="0"/>
              <w:rPr>
                <w:sz w:val="20"/>
                <w:szCs w:val="20"/>
                <w:color w:val="auto"/>
              </w:rPr>
            </w:pPr>
            <w:r>
              <w:rPr>
                <w:rFonts w:ascii="Arial" w:cs="Arial" w:eastAsia="Arial" w:hAnsi="Arial"/>
                <w:sz w:val="18"/>
                <w:szCs w:val="18"/>
                <w:color w:val="auto"/>
              </w:rPr>
              <w:t>$5,879,394</w:t>
            </w:r>
          </w:p>
        </w:tc>
        <w:tc>
          <w:tcPr>
            <w:tcW w:w="2200" w:type="dxa"/>
            <w:vAlign w:val="bottom"/>
          </w:tcPr>
          <w:p>
            <w:pPr>
              <w:jc w:val="right"/>
              <w:ind w:right="1056"/>
              <w:spacing w:after="0"/>
              <w:rPr>
                <w:sz w:val="20"/>
                <w:szCs w:val="20"/>
                <w:color w:val="auto"/>
              </w:rPr>
            </w:pPr>
            <w:r>
              <w:rPr>
                <w:rFonts w:ascii="Arial" w:cs="Arial" w:eastAsia="Arial" w:hAnsi="Arial"/>
                <w:sz w:val="18"/>
                <w:szCs w:val="18"/>
                <w:color w:val="auto"/>
              </w:rPr>
              <w:t>$2,637,948</w:t>
            </w:r>
          </w:p>
        </w:tc>
        <w:tc>
          <w:tcPr>
            <w:tcW w:w="540" w:type="dxa"/>
            <w:vAlign w:val="bottom"/>
          </w:tcPr>
          <w:p>
            <w:pPr>
              <w:jc w:val="right"/>
              <w:ind w:right="94"/>
              <w:spacing w:after="0"/>
              <w:rPr>
                <w:sz w:val="20"/>
                <w:szCs w:val="20"/>
                <w:color w:val="auto"/>
              </w:rPr>
            </w:pPr>
            <w:r>
              <w:rPr>
                <w:rFonts w:ascii="Arial" w:cs="Arial" w:eastAsia="Arial" w:hAnsi="Arial"/>
                <w:sz w:val="18"/>
                <w:szCs w:val="18"/>
                <w:color w:val="auto"/>
                <w:w w:val="94"/>
              </w:rPr>
              <w:t>45%</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w w:val="97"/>
              </w:rPr>
              <w:t>3,673,205</w:t>
            </w:r>
          </w:p>
        </w:tc>
        <w:tc>
          <w:tcPr>
            <w:tcW w:w="198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3,089,837</w:t>
            </w:r>
          </w:p>
        </w:tc>
        <w:tc>
          <w:tcPr>
            <w:tcW w:w="220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rPr>
              <w:t>583,368</w:t>
            </w:r>
          </w:p>
        </w:tc>
        <w:tc>
          <w:tcPr>
            <w:tcW w:w="5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4"/>
              </w:rPr>
              <w:t>19%</w:t>
            </w:r>
          </w:p>
        </w:tc>
      </w:tr>
      <w:tr>
        <w:trPr>
          <w:trHeight w:val="230"/>
        </w:trPr>
        <w:tc>
          <w:tcPr>
            <w:tcW w:w="20" w:type="dxa"/>
            <w:vAlign w:val="bottom"/>
          </w:tcPr>
          <w:p>
            <w:pPr>
              <w:spacing w:after="0"/>
              <w:rPr>
                <w:sz w:val="20"/>
                <w:szCs w:val="20"/>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280" w:type="dxa"/>
            <w:vAlign w:val="bottom"/>
          </w:tcPr>
          <w:p>
            <w:pPr>
              <w:spacing w:after="0"/>
              <w:rPr>
                <w:sz w:val="20"/>
                <w:szCs w:val="20"/>
                <w:color w:val="auto"/>
              </w:rPr>
            </w:pPr>
          </w:p>
        </w:tc>
        <w:tc>
          <w:tcPr>
            <w:tcW w:w="1260" w:type="dxa"/>
            <w:vAlign w:val="bottom"/>
          </w:tcPr>
          <w:p>
            <w:pPr>
              <w:jc w:val="right"/>
              <w:ind w:right="374"/>
              <w:spacing w:after="0"/>
              <w:rPr>
                <w:sz w:val="20"/>
                <w:szCs w:val="20"/>
                <w:color w:val="auto"/>
              </w:rPr>
            </w:pPr>
            <w:r>
              <w:rPr>
                <w:rFonts w:ascii="Arial" w:cs="Arial" w:eastAsia="Arial" w:hAnsi="Arial"/>
                <w:sz w:val="18"/>
                <w:szCs w:val="18"/>
                <w:color w:val="auto"/>
              </w:rPr>
              <w:t>355,810</w:t>
            </w:r>
          </w:p>
        </w:tc>
        <w:tc>
          <w:tcPr>
            <w:tcW w:w="1980" w:type="dxa"/>
            <w:vAlign w:val="bottom"/>
          </w:tcPr>
          <w:p>
            <w:pPr>
              <w:jc w:val="right"/>
              <w:ind w:right="634"/>
              <w:spacing w:after="0"/>
              <w:rPr>
                <w:sz w:val="20"/>
                <w:szCs w:val="20"/>
                <w:color w:val="auto"/>
              </w:rPr>
            </w:pPr>
            <w:r>
              <w:rPr>
                <w:rFonts w:ascii="Arial" w:cs="Arial" w:eastAsia="Arial" w:hAnsi="Arial"/>
                <w:sz w:val="18"/>
                <w:szCs w:val="18"/>
                <w:color w:val="auto"/>
              </w:rPr>
              <w:t>331,018</w:t>
            </w:r>
          </w:p>
        </w:tc>
        <w:tc>
          <w:tcPr>
            <w:tcW w:w="2200" w:type="dxa"/>
            <w:vAlign w:val="bottom"/>
          </w:tcPr>
          <w:p>
            <w:pPr>
              <w:jc w:val="right"/>
              <w:ind w:right="1056"/>
              <w:spacing w:after="0"/>
              <w:rPr>
                <w:sz w:val="20"/>
                <w:szCs w:val="20"/>
                <w:color w:val="auto"/>
              </w:rPr>
            </w:pPr>
            <w:r>
              <w:rPr>
                <w:rFonts w:ascii="Arial" w:cs="Arial" w:eastAsia="Arial" w:hAnsi="Arial"/>
                <w:sz w:val="18"/>
                <w:szCs w:val="18"/>
                <w:color w:val="auto"/>
              </w:rPr>
              <w:t>24,792</w:t>
            </w:r>
          </w:p>
        </w:tc>
        <w:tc>
          <w:tcPr>
            <w:tcW w:w="540" w:type="dxa"/>
            <w:vAlign w:val="bottom"/>
          </w:tcPr>
          <w:p>
            <w:pPr>
              <w:jc w:val="right"/>
              <w:ind w:right="94"/>
              <w:spacing w:after="0"/>
              <w:rPr>
                <w:sz w:val="20"/>
                <w:szCs w:val="20"/>
                <w:color w:val="auto"/>
              </w:rPr>
            </w:pPr>
            <w:r>
              <w:rPr>
                <w:rFonts w:ascii="Arial" w:cs="Arial" w:eastAsia="Arial" w:hAnsi="Arial"/>
                <w:sz w:val="18"/>
                <w:szCs w:val="18"/>
                <w:color w:val="auto"/>
              </w:rPr>
              <w:t>7%</w:t>
            </w:r>
          </w:p>
        </w:tc>
      </w:tr>
      <w:tr>
        <w:trPr>
          <w:trHeight w:val="209"/>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w w:val="86"/>
              </w:rPr>
              <w:t>12,546,357</w:t>
            </w:r>
          </w:p>
        </w:tc>
        <w:tc>
          <w:tcPr>
            <w:tcW w:w="198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$9,300,249</w:t>
            </w:r>
          </w:p>
        </w:tc>
        <w:tc>
          <w:tcPr>
            <w:tcW w:w="220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rPr>
              <w:t>$3,246,108</w:t>
            </w:r>
          </w:p>
        </w:tc>
        <w:tc>
          <w:tcPr>
            <w:tcW w:w="5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4"/>
              </w:rPr>
              <w:t>35%</w:t>
            </w:r>
          </w:p>
        </w:tc>
      </w:tr>
    </w:tbl>
    <w:p>
      <w:pPr>
        <w:spacing w:after="0" w:line="94" w:lineRule="exact"/>
        <w:rPr>
          <w:sz w:val="20"/>
          <w:szCs w:val="20"/>
          <w:color w:val="auto"/>
        </w:rPr>
      </w:pPr>
    </w:p>
    <w:p>
      <w:pPr>
        <w:jc w:val="both"/>
        <w:ind w:right="60" w:firstLine="225"/>
        <w:spacing w:after="0" w:line="297" w:lineRule="auto"/>
        <w:rPr>
          <w:sz w:val="20"/>
          <w:szCs w:val="20"/>
          <w:color w:val="auto"/>
        </w:rPr>
      </w:pPr>
      <w:r>
        <w:rPr>
          <w:rFonts w:ascii="Arial" w:cs="Arial" w:eastAsia="Arial" w:hAnsi="Arial"/>
          <w:sz w:val="16"/>
          <w:szCs w:val="16"/>
          <w:color w:val="auto"/>
        </w:rPr>
        <w:t>Research and development expenses totaled approximately $8,517,000 for the six months ended June 30, 2007, compared with approximately $5,879,000 for the same period in 2006. The increase of $2,638,000, or approximately 45%, from 2006 to 2007 was primarily attributable to expansion of our operations in cell processing and clinical development, which consisted of an increase in personnel costs of approximately $652,000 and an increase in external services and clinical study costs of approximately $1,417,000 with the remainder due to increases in supplies, rent and other operating expenses. At June 30, 2007, we had 42 full-time employees working in research and development and laboratory support services as compared to 36 at June 30, 2006.</w:t>
      </w:r>
    </w:p>
    <w:p>
      <w:pPr>
        <w:spacing w:after="0" w:line="50"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General and administrative expenses were approximately $3,673,000 for the six months ended June 30, 2007, compared with approximately $3,090,000 for the same period in 2006. The increase of $583,000, or approximately 19%, from 2006 to 2007 was primarily attributable to an increase in personnel costs of approximately $513,000, of which approximately $411,000 was attributable to an increase in stock based compensation expense for grant of stock options and stock appreciation rights. The increase was also attributable to an increase in external services of $407,000 primarily for legal and recruiting fees. The increase in the afore mentioned expenses was partially offset by a net decrease in other operating expenses and approximately $192,000 received from a subtenant in connection with the early termination of their sublease.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December 31, 2006, the reserve was approximately $5,512,000. For the six months ended June 30, 2007, expenses of $723,000 net of subtenant income were recorded against this reserve (See Note 4). In the six month-period ended June 30, 2007, we re-evaluated the estimate at June 30, 2007 and adjusted the reserve to approximately $5,145,000 by recording in aggregate, an additional $356,000 as wind-down expenses. Wind-down expenses recorded against the reserve for the same period in 2006 were approximately $582,000 and additional expenses recorded to adjust the reserve were approximately $331,000.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income for the six-month period ended June 30, 2007, as compared with the same period in 2006, is summarized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color w:val="auto"/>
              </w:rPr>
              <w:t>2007</w:t>
            </w:r>
          </w:p>
        </w:tc>
        <w:tc>
          <w:tcPr>
            <w:tcW w:w="5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color w:val="auto"/>
              </w:rPr>
              <w:t>2006</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 from previous year</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20" w:type="dxa"/>
            <w:vAlign w:val="bottom"/>
            <w:tcBorders>
              <w:bottom w:val="single" w:sz="8" w:color="auto"/>
            </w:tcBorders>
          </w:tcPr>
          <w:p>
            <w:pPr>
              <w:jc w:val="right"/>
              <w:ind w:right="1414"/>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License and settlement agreement, net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93"/>
              <w:spacing w:after="0"/>
              <w:rPr>
                <w:sz w:val="20"/>
                <w:szCs w:val="20"/>
                <w:color w:val="auto"/>
              </w:rPr>
            </w:pPr>
            <w:r>
              <w:rPr>
                <w:rFonts w:ascii="Arial" w:cs="Arial" w:eastAsia="Arial" w:hAnsi="Arial"/>
                <w:sz w:val="18"/>
                <w:szCs w:val="18"/>
                <w:color w:val="auto"/>
              </w:rPr>
              <w:t>550,467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633"/>
              <w:spacing w:after="0"/>
              <w:rPr>
                <w:sz w:val="20"/>
                <w:szCs w:val="20"/>
                <w:color w:val="auto"/>
              </w:rPr>
            </w:pPr>
            <w:r>
              <w:rPr>
                <w:rFonts w:ascii="Arial" w:cs="Arial" w:eastAsia="Arial" w:hAnsi="Arial"/>
                <w:sz w:val="18"/>
                <w:szCs w:val="18"/>
                <w:color w:val="auto"/>
              </w:rPr>
              <w:t>103,359</w:t>
            </w:r>
          </w:p>
        </w:tc>
        <w:tc>
          <w:tcPr>
            <w:tcW w:w="2220" w:type="dxa"/>
            <w:vAlign w:val="bottom"/>
          </w:tcPr>
          <w:p>
            <w:pPr>
              <w:jc w:val="right"/>
              <w:ind w:right="1074"/>
              <w:spacing w:after="0"/>
              <w:rPr>
                <w:sz w:val="20"/>
                <w:szCs w:val="20"/>
                <w:color w:val="auto"/>
              </w:rPr>
            </w:pPr>
            <w:r>
              <w:rPr>
                <w:rFonts w:ascii="Arial" w:cs="Arial" w:eastAsia="Arial" w:hAnsi="Arial"/>
                <w:sz w:val="18"/>
                <w:szCs w:val="18"/>
                <w:color w:val="auto"/>
              </w:rPr>
              <w:t>$  447,108</w:t>
            </w:r>
          </w:p>
        </w:tc>
        <w:tc>
          <w:tcPr>
            <w:tcW w:w="600" w:type="dxa"/>
            <w:vAlign w:val="bottom"/>
          </w:tcPr>
          <w:p>
            <w:pPr>
              <w:jc w:val="right"/>
              <w:ind w:right="93"/>
              <w:spacing w:after="0"/>
              <w:rPr>
                <w:sz w:val="20"/>
                <w:szCs w:val="20"/>
                <w:color w:val="auto"/>
              </w:rPr>
            </w:pPr>
            <w:r>
              <w:rPr>
                <w:rFonts w:ascii="Arial" w:cs="Arial" w:eastAsia="Arial" w:hAnsi="Arial"/>
                <w:sz w:val="18"/>
                <w:szCs w:val="18"/>
                <w:color w:val="auto"/>
                <w:w w:val="86"/>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Realized gain on sale of marketable securities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717,621</w:t>
            </w: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ind w:right="1074"/>
              <w:spacing w:after="0"/>
              <w:rPr>
                <w:sz w:val="20"/>
                <w:szCs w:val="20"/>
                <w:color w:val="auto"/>
              </w:rPr>
            </w:pPr>
            <w:r>
              <w:rPr>
                <w:rFonts w:ascii="Arial" w:cs="Arial" w:eastAsia="Arial" w:hAnsi="Arial"/>
                <w:sz w:val="18"/>
                <w:szCs w:val="18"/>
                <w:color w:val="auto"/>
              </w:rPr>
              <w:t>717,621</w:t>
            </w:r>
          </w:p>
        </w:tc>
        <w:tc>
          <w:tcPr>
            <w:tcW w:w="6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1220" w:type="dxa"/>
            <w:vAlign w:val="bottom"/>
          </w:tcPr>
          <w:p>
            <w:pPr>
              <w:jc w:val="right"/>
              <w:ind w:right="393"/>
              <w:spacing w:after="0"/>
              <w:rPr>
                <w:sz w:val="20"/>
                <w:szCs w:val="20"/>
                <w:color w:val="auto"/>
              </w:rPr>
            </w:pPr>
            <w:r>
              <w:rPr>
                <w:rFonts w:ascii="Arial" w:cs="Arial" w:eastAsia="Arial" w:hAnsi="Arial"/>
                <w:sz w:val="18"/>
                <w:szCs w:val="18"/>
                <w:color w:val="auto"/>
                <w:w w:val="89"/>
              </w:rPr>
              <w:t>1,309,137</w:t>
            </w:r>
          </w:p>
        </w:tc>
        <w:tc>
          <w:tcPr>
            <w:tcW w:w="520" w:type="dxa"/>
            <w:vAlign w:val="bottom"/>
          </w:tcPr>
          <w:p>
            <w:pPr>
              <w:spacing w:after="0"/>
              <w:rPr>
                <w:sz w:val="18"/>
                <w:szCs w:val="18"/>
                <w:color w:val="auto"/>
              </w:rPr>
            </w:pPr>
          </w:p>
        </w:tc>
        <w:tc>
          <w:tcPr>
            <w:tcW w:w="1440" w:type="dxa"/>
            <w:vAlign w:val="bottom"/>
          </w:tcPr>
          <w:p>
            <w:pPr>
              <w:jc w:val="right"/>
              <w:ind w:right="633"/>
              <w:spacing w:after="0"/>
              <w:rPr>
                <w:sz w:val="20"/>
                <w:szCs w:val="20"/>
                <w:color w:val="auto"/>
              </w:rPr>
            </w:pPr>
            <w:r>
              <w:rPr>
                <w:rFonts w:ascii="Arial" w:cs="Arial" w:eastAsia="Arial" w:hAnsi="Arial"/>
                <w:sz w:val="18"/>
                <w:szCs w:val="18"/>
                <w:color w:val="auto"/>
                <w:w w:val="87"/>
              </w:rPr>
              <w:t>1,043,365</w:t>
            </w:r>
          </w:p>
        </w:tc>
        <w:tc>
          <w:tcPr>
            <w:tcW w:w="2220" w:type="dxa"/>
            <w:vAlign w:val="bottom"/>
          </w:tcPr>
          <w:p>
            <w:pPr>
              <w:jc w:val="right"/>
              <w:ind w:right="1074"/>
              <w:spacing w:after="0"/>
              <w:rPr>
                <w:sz w:val="20"/>
                <w:szCs w:val="20"/>
                <w:color w:val="auto"/>
              </w:rPr>
            </w:pPr>
            <w:r>
              <w:rPr>
                <w:rFonts w:ascii="Arial" w:cs="Arial" w:eastAsia="Arial" w:hAnsi="Arial"/>
                <w:sz w:val="18"/>
                <w:szCs w:val="18"/>
                <w:color w:val="auto"/>
              </w:rPr>
              <w:t>265,772</w:t>
            </w: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(67,372)</w:t>
            </w: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(77,098)</w:t>
            </w:r>
          </w:p>
        </w:tc>
        <w:tc>
          <w:tcPr>
            <w:tcW w:w="2220" w:type="dxa"/>
            <w:vAlign w:val="bottom"/>
            <w:shd w:val="clear" w:color="auto" w:fill="CCEEFF"/>
          </w:tcPr>
          <w:p>
            <w:pPr>
              <w:jc w:val="right"/>
              <w:ind w:right="1074"/>
              <w:spacing w:after="0"/>
              <w:rPr>
                <w:sz w:val="20"/>
                <w:szCs w:val="20"/>
                <w:color w:val="auto"/>
              </w:rPr>
            </w:pPr>
            <w:r>
              <w:rPr>
                <w:rFonts w:ascii="Arial" w:cs="Arial" w:eastAsia="Arial" w:hAnsi="Arial"/>
                <w:sz w:val="18"/>
                <w:szCs w:val="18"/>
                <w:color w:val="auto"/>
              </w:rPr>
              <w:t>9,726</w:t>
            </w: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(21,024)</w:t>
            </w: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rPr>
              <w:t>(13,947)</w:t>
            </w:r>
          </w:p>
        </w:tc>
        <w:tc>
          <w:tcPr>
            <w:tcW w:w="2220" w:type="dxa"/>
            <w:vAlign w:val="bottom"/>
            <w:tcBorders>
              <w:bottom w:val="single" w:sz="8" w:color="auto"/>
            </w:tcBorders>
          </w:tcPr>
          <w:p>
            <w:pPr>
              <w:jc w:val="right"/>
              <w:ind w:right="1014"/>
              <w:spacing w:after="0"/>
              <w:rPr>
                <w:sz w:val="20"/>
                <w:szCs w:val="20"/>
                <w:color w:val="auto"/>
              </w:rPr>
            </w:pPr>
            <w:r>
              <w:rPr>
                <w:rFonts w:ascii="Arial" w:cs="Arial" w:eastAsia="Arial" w:hAnsi="Arial"/>
                <w:sz w:val="18"/>
                <w:szCs w:val="18"/>
                <w:color w:val="auto"/>
              </w:rPr>
              <w:t>(7,077)</w:t>
            </w: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w w:val="89"/>
              </w:rPr>
              <w:t>2,488,829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87"/>
              </w:rPr>
              <w:t>1,055,679</w:t>
            </w:r>
          </w:p>
        </w:tc>
        <w:tc>
          <w:tcPr>
            <w:tcW w:w="2220" w:type="dxa"/>
            <w:vAlign w:val="bottom"/>
            <w:shd w:val="clear" w:color="auto" w:fill="CCEEFF"/>
          </w:tcPr>
          <w:p>
            <w:pPr>
              <w:jc w:val="right"/>
              <w:ind w:right="1074"/>
              <w:spacing w:after="0"/>
              <w:rPr>
                <w:sz w:val="20"/>
                <w:szCs w:val="20"/>
                <w:color w:val="auto"/>
              </w:rPr>
            </w:pPr>
            <w:r>
              <w:rPr>
                <w:rFonts w:ascii="Arial" w:cs="Arial" w:eastAsia="Arial" w:hAnsi="Arial"/>
                <w:sz w:val="18"/>
                <w:szCs w:val="18"/>
                <w:color w:val="auto"/>
              </w:rPr>
              <w:t>$1,433,150</w:t>
            </w: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86"/>
              </w:rPr>
              <w:t>136%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 Percentage change cannot be calculated</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Income under licenses and settlement agreement for the six months ended June 30, 2007 were for the value of additional shares received from ReNeuron (See Note 2). As a consequence of the anti-dilution provisions included in the agreement between StemCells and ReNeuron, StemCells was entitled to approximately 822,000 shares net of approximately 12,000 shares to be transferred to Neurospheres. We recorded approximately $550,000 as other income for the fair value of the additional shares received. For the six months ended June 30 2006, we recorded approximately $103,000 as other income for approximately 439,000 additional shares received from ReNeuron as a consequence of the anti-dilution provisions within the agreement and net of shares due to Neurospheres.</w:t>
      </w:r>
    </w:p>
    <w:p>
      <w:pPr>
        <w:spacing w:after="0" w:line="85"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Interest income for the six months ended June 30, 2007 and 2006 was approximately $1,309,000 and $1,043,000, respectively. The increase in interest income in 2007 was primarily attributable to a higher yield on a higher investment balance.</w:t>
      </w:r>
    </w:p>
    <w:p>
      <w:pPr>
        <w:spacing w:after="0" w:line="62"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Interest expense for the six months ended June 30, 2007 and 2006 was approximately $67,000 and $77,000 respectively. The decrease in interest expense in 2007 was attributable to lower outstanding debt and capital lease balances in 2007 compared to 2006. Other income (expense) comprises primarily of state franchise tax paid.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We had cash and cash equivalents totaling $49,182,102 at June 30, 2007. Cash equivalents are invested in US Treasury debt securities with maturities of less than 90 days. The table below summarizes our cash flows for the respective six-month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 for the six months ended June 30, 2007 include the following:</w:t>
      </w:r>
    </w:p>
    <w:p>
      <w:pPr>
        <w:spacing w:after="0" w:line="121" w:lineRule="exact"/>
        <w:rPr>
          <w:sz w:val="20"/>
          <w:szCs w:val="20"/>
          <w:color w:val="auto"/>
        </w:rPr>
      </w:pPr>
    </w:p>
    <w:p>
      <w:pPr>
        <w:ind w:left="660" w:right="140" w:hanging="436"/>
        <w:spacing w:after="0" w:line="342"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On April 26, 2007, a warrant issued as part of a June 16, 2004 financing arrangement, was exercised to purchase an aggregate of 575,658 shares of our common stock at $1.90 per share. We issued 575,658 shares of our common stock and received proceeds of approximately $1,094,000</w:t>
      </w:r>
    </w:p>
    <w:p>
      <w:pPr>
        <w:spacing w:after="0" w:line="29" w:lineRule="exact"/>
        <w:rPr>
          <w:rFonts w:ascii="Arial" w:cs="Arial" w:eastAsia="Arial" w:hAnsi="Arial"/>
          <w:sz w:val="16"/>
          <w:szCs w:val="16"/>
          <w:b w:val="1"/>
          <w:bCs w:val="1"/>
          <w:color w:val="auto"/>
        </w:rPr>
      </w:pPr>
    </w:p>
    <w:p>
      <w:pPr>
        <w:jc w:val="both"/>
        <w:ind w:left="660" w:right="260" w:hanging="436"/>
        <w:spacing w:after="0" w:line="342"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In February 2007, we sold 5,275,000 ordinary shares of ReNeuron for net proceeds of approximately $3,077,000. After the afore mentioned sale, and as at June 30, 2007, we owned approximately 4,822,000 ordinary shares of ReNeuron with a fair market value of approximately $2,273,000.</w:t>
      </w:r>
    </w:p>
    <w:p>
      <w:pPr>
        <w:spacing w:after="0" w:line="29" w:lineRule="exact"/>
        <w:rPr>
          <w:rFonts w:ascii="Arial" w:cs="Arial" w:eastAsia="Arial" w:hAnsi="Arial"/>
          <w:sz w:val="16"/>
          <w:szCs w:val="16"/>
          <w:b w:val="1"/>
          <w:bCs w:val="1"/>
          <w:color w:val="auto"/>
        </w:rPr>
      </w:pPr>
    </w:p>
    <w:p>
      <w:pPr>
        <w:ind w:left="660" w:right="240" w:hanging="436"/>
        <w:spacing w:after="0" w:line="259"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On December 29, 2006, we filed a Prospectus Supplement announcing the entry of a sales agreement with Cantor under which up to 10,000,000 shares may be sold from time to time under a shelf registration statement. In January and April 2007, we sold a total of 1,217,000 of our common shares under this agreement for gross proceeds of approximately $3,805,000. Cantor is paid compensation equal to 5.0% of the gross proceeds pursuant to the terms of the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 in the previous three years include the following</w:t>
      </w:r>
      <w:r>
        <w:rPr>
          <w:rFonts w:ascii="Arial" w:cs="Arial" w:eastAsia="Arial" w:hAnsi="Arial"/>
          <w:sz w:val="18"/>
          <w:szCs w:val="18"/>
          <w:color w:val="auto"/>
        </w:rPr>
        <w:t>:</w:t>
      </w:r>
    </w:p>
    <w:p>
      <w:pPr>
        <w:spacing w:after="0" w:line="121" w:lineRule="exact"/>
        <w:rPr>
          <w:sz w:val="20"/>
          <w:szCs w:val="20"/>
          <w:color w:val="auto"/>
        </w:rPr>
      </w:pPr>
    </w:p>
    <w:p>
      <w:pPr>
        <w:ind w:left="660" w:right="120" w:hanging="436"/>
        <w:spacing w:after="0" w:line="259"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On April 6, 2006, we sold 11,750,820 shares of our common stock to a limited number of institutional investors at a price of $3.05 per share, for gross proceeds of approximately $35,840,000. The shares were offered as a registered direct offering under an effective shelf registration statement previously filed with and declared effective by the SEC. We received total proceeds, net of offering expenses and placement agency fees, of approximately $33,422,000. No warrants were issued as part of this financing transaction.</w:t>
      </w:r>
    </w:p>
    <w:p>
      <w:pPr>
        <w:spacing w:after="0" w:line="92" w:lineRule="exact"/>
        <w:rPr>
          <w:rFonts w:ascii="Arial" w:cs="Arial" w:eastAsia="Arial" w:hAnsi="Arial"/>
          <w:sz w:val="18"/>
          <w:szCs w:val="18"/>
          <w:b w:val="1"/>
          <w:bCs w:val="1"/>
          <w:color w:val="auto"/>
        </w:rPr>
      </w:pPr>
    </w:p>
    <w:p>
      <w:pPr>
        <w:ind w:left="660" w:right="140" w:hanging="436"/>
        <w:spacing w:after="0" w:line="342"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In March 2006, a warrant issued as part of a June 16, 2004 financing arrangement was exercised to purchase an aggregate of 526,400 shares of our common stock at $1.89 per share. We issued 526,400 shares of our common stock and received proceeds of approximately $995,000.</w:t>
      </w:r>
    </w:p>
    <w:p>
      <w:pPr>
        <w:spacing w:after="0" w:line="29" w:lineRule="exact"/>
        <w:rPr>
          <w:rFonts w:ascii="Arial" w:cs="Arial" w:eastAsia="Arial" w:hAnsi="Arial"/>
          <w:sz w:val="16"/>
          <w:szCs w:val="16"/>
          <w:b w:val="1"/>
          <w:bCs w:val="1"/>
          <w:color w:val="auto"/>
        </w:rPr>
      </w:pPr>
    </w:p>
    <w:p>
      <w:pPr>
        <w:ind w:left="660" w:right="26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 2005, an aggregate of 2,958,348 warrants were exercised. For the exercise of these warrants, we issued 2,842,625 shares of our common stock and received proceeds of approximately $5,939,000.</w:t>
      </w:r>
    </w:p>
    <w:p>
      <w:pPr>
        <w:spacing w:after="0" w:line="75" w:lineRule="exact"/>
        <w:rPr>
          <w:rFonts w:ascii="Arial" w:cs="Arial" w:eastAsia="Arial" w:hAnsi="Arial"/>
          <w:sz w:val="18"/>
          <w:szCs w:val="18"/>
          <w:b w:val="1"/>
          <w:bCs w:val="1"/>
          <w:color w:val="auto"/>
        </w:rPr>
      </w:pPr>
    </w:p>
    <w:p>
      <w:pPr>
        <w:ind w:left="660" w:hanging="436"/>
        <w:spacing w:after="0" w:line="297"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On October 26, 2004, we entered into an agreement with institutional investors with respect to the registered direct placement of 7,500,000 shares of our common stock at a purchase price of $3.00 per share, for gross proceeds of $22,500,000. C.E. Unterberg, Towbin LLC (Unterberg) and Shoreline Pacific, LLC (Shoreline) served as placement agents for the transaction. We sold these shares under a shelf registration statement previously filed with and declared effective by the SEC. For acting as our placement agent Unterberg and Shoreline received fees of approximately $1,350,000 and expense reimbursement of approximately $40,000. No warrants were issued as part of this financing transaction.</w:t>
      </w:r>
    </w:p>
    <w:p>
      <w:pPr>
        <w:spacing w:after="0" w:line="63" w:lineRule="exact"/>
        <w:rPr>
          <w:rFonts w:ascii="Arial" w:cs="Arial" w:eastAsia="Arial" w:hAnsi="Arial"/>
          <w:sz w:val="16"/>
          <w:szCs w:val="16"/>
          <w:b w:val="1"/>
          <w:bCs w:val="1"/>
          <w:color w:val="auto"/>
        </w:rPr>
      </w:pPr>
    </w:p>
    <w:p>
      <w:pPr>
        <w:ind w:left="660" w:right="220" w:hanging="436"/>
        <w:spacing w:after="0" w:line="255"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On June 16, 2004, we entered into a definitive agreement with institutional and other accredited investors with respect to the private placement of approximately 13,160,000 shares of our common stock at a purchase price of $1.52 per share, for gross proceeds of approximately $20,000,000. Investors also received warrants exercisable for five years to purchase approximately 3,290,000 shares of common stock at an exercise price of $1.90 per share. Unterberg served as placement agent for the transaction. For acting as our placement agent, Unterberg received fees totaling $1,200,192, expense reimbursement of approximately $25,000 and a five year warrant to purchase 526,400 shares of our common stock at an exercise price of $1.89 per share.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Contractual Cash Obligations</w:t>
      </w:r>
    </w:p>
    <w:p>
      <w:pPr>
        <w:spacing w:after="0" w:line="121"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We continue to have outstanding obligations in regard to our former facilities in Lincoln, Rhode Island, and expect to pay in 2007, based on past experience and current assumptions, approximately $1,500,000 in lease payments and other operating expenses net of sub-tenant income.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79"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following table summarizes our future contractual cash obligations (including both Rhode Island and California leases, but excluding interest income and sub-lease income):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center"/>
              <w:ind w:right="220"/>
              <w:spacing w:after="0"/>
              <w:rPr>
                <w:sz w:val="20"/>
                <w:szCs w:val="20"/>
                <w:color w:val="auto"/>
              </w:rPr>
            </w:pPr>
            <w:r>
              <w:rPr>
                <w:rFonts w:ascii="Arial" w:cs="Arial" w:eastAsia="Arial" w:hAnsi="Arial"/>
                <w:sz w:val="14"/>
                <w:szCs w:val="14"/>
                <w:color w:val="auto"/>
                <w:w w:val="90"/>
              </w:rPr>
              <w:t>Payable</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ind w:right="220"/>
              <w:spacing w:after="0" w:line="149" w:lineRule="exact"/>
              <w:rPr>
                <w:sz w:val="20"/>
                <w:szCs w:val="20"/>
                <w:color w:val="auto"/>
              </w:rPr>
            </w:pPr>
            <w:r>
              <w:rPr>
                <w:rFonts w:ascii="Arial" w:cs="Arial" w:eastAsia="Arial" w:hAnsi="Arial"/>
                <w:sz w:val="14"/>
                <w:szCs w:val="14"/>
                <w:color w:val="auto"/>
                <w:w w:val="93"/>
              </w:rPr>
              <w:t>July to</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jc w:val="center"/>
              <w:ind w:right="119"/>
              <w:spacing w:after="0" w:line="149" w:lineRule="exact"/>
              <w:rPr>
                <w:sz w:val="20"/>
                <w:szCs w:val="20"/>
                <w:color w:val="auto"/>
              </w:rPr>
            </w:pPr>
            <w:r>
              <w:rPr>
                <w:rFonts w:ascii="Arial" w:cs="Arial" w:eastAsia="Arial" w:hAnsi="Arial"/>
                <w:sz w:val="14"/>
                <w:szCs w:val="14"/>
                <w:color w:val="auto"/>
                <w:w w:val="91"/>
              </w:rPr>
              <w:t>Payable in</w:t>
            </w: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ind w:right="240"/>
              <w:spacing w:after="0" w:line="149" w:lineRule="exact"/>
              <w:rPr>
                <w:sz w:val="20"/>
                <w:szCs w:val="20"/>
                <w:color w:val="auto"/>
              </w:rPr>
            </w:pPr>
            <w:r>
              <w:rPr>
                <w:rFonts w:ascii="Arial" w:cs="Arial" w:eastAsia="Arial" w:hAnsi="Arial"/>
                <w:sz w:val="14"/>
                <w:szCs w:val="14"/>
                <w:color w:val="auto"/>
                <w:w w:val="92"/>
              </w:rPr>
              <w:t>December</w:t>
            </w:r>
          </w:p>
        </w:tc>
        <w:tc>
          <w:tcPr>
            <w:tcW w:w="380" w:type="dxa"/>
            <w:vAlign w:val="bottom"/>
          </w:tcPr>
          <w:p>
            <w:pPr>
              <w:spacing w:after="0"/>
              <w:rPr>
                <w:sz w:val="12"/>
                <w:szCs w:val="12"/>
                <w:color w:val="auto"/>
              </w:rPr>
            </w:pPr>
          </w:p>
        </w:tc>
        <w:tc>
          <w:tcPr>
            <w:tcW w:w="100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4"/>
              </w:rPr>
              <w:t>Payable in</w:t>
            </w:r>
          </w:p>
        </w:tc>
        <w:tc>
          <w:tcPr>
            <w:tcW w:w="380" w:type="dxa"/>
            <w:vAlign w:val="bottom"/>
          </w:tcPr>
          <w:p>
            <w:pPr>
              <w:spacing w:after="0"/>
              <w:rPr>
                <w:sz w:val="12"/>
                <w:szCs w:val="12"/>
                <w:color w:val="auto"/>
              </w:rPr>
            </w:pPr>
          </w:p>
        </w:tc>
        <w:tc>
          <w:tcPr>
            <w:tcW w:w="100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4"/>
              </w:rPr>
              <w:t>Payable in</w:t>
            </w:r>
          </w:p>
        </w:tc>
        <w:tc>
          <w:tcPr>
            <w:tcW w:w="380" w:type="dxa"/>
            <w:vAlign w:val="bottom"/>
          </w:tcPr>
          <w:p>
            <w:pPr>
              <w:spacing w:after="0"/>
              <w:rPr>
                <w:sz w:val="12"/>
                <w:szCs w:val="12"/>
                <w:color w:val="auto"/>
              </w:rPr>
            </w:pPr>
          </w:p>
        </w:tc>
        <w:tc>
          <w:tcPr>
            <w:tcW w:w="100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4"/>
              </w:rPr>
              <w:t>Payable in</w:t>
            </w:r>
          </w:p>
        </w:tc>
        <w:tc>
          <w:tcPr>
            <w:tcW w:w="360" w:type="dxa"/>
            <w:vAlign w:val="bottom"/>
          </w:tcPr>
          <w:p>
            <w:pPr>
              <w:spacing w:after="0"/>
              <w:rPr>
                <w:sz w:val="12"/>
                <w:szCs w:val="12"/>
                <w:color w:val="auto"/>
              </w:rPr>
            </w:pPr>
          </w:p>
        </w:tc>
        <w:tc>
          <w:tcPr>
            <w:tcW w:w="102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7"/>
              </w:rPr>
              <w:t>Payable in</w:t>
            </w:r>
          </w:p>
        </w:tc>
        <w:tc>
          <w:tcPr>
            <w:tcW w:w="360" w:type="dxa"/>
            <w:vAlign w:val="bottom"/>
          </w:tcPr>
          <w:p>
            <w:pPr>
              <w:spacing w:after="0"/>
              <w:rPr>
                <w:sz w:val="12"/>
                <w:szCs w:val="12"/>
                <w:color w:val="auto"/>
              </w:rPr>
            </w:pPr>
          </w:p>
        </w:tc>
        <w:tc>
          <w:tcPr>
            <w:tcW w:w="920" w:type="dxa"/>
            <w:vAlign w:val="bottom"/>
          </w:tcPr>
          <w:p>
            <w:pPr>
              <w:jc w:val="center"/>
              <w:ind w:right="139"/>
              <w:spacing w:after="0" w:line="149" w:lineRule="exact"/>
              <w:rPr>
                <w:sz w:val="20"/>
                <w:szCs w:val="20"/>
                <w:color w:val="auto"/>
              </w:rPr>
            </w:pPr>
            <w:r>
              <w:rPr>
                <w:rFonts w:ascii="Arial" w:cs="Arial" w:eastAsia="Arial" w:hAnsi="Arial"/>
                <w:sz w:val="14"/>
                <w:szCs w:val="14"/>
                <w:color w:val="auto"/>
                <w:w w:val="92"/>
              </w:rPr>
              <w:t>2012 and</w:t>
            </w:r>
          </w:p>
        </w:tc>
      </w:tr>
      <w:tr>
        <w:trPr>
          <w:trHeight w:val="174"/>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color w:val="auto"/>
                <w:w w:val="89"/>
              </w:rPr>
              <w:t>2007</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2008</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2009</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2010</w:t>
            </w: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2011</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color w:val="auto"/>
                <w:w w:val="91"/>
              </w:rPr>
              <w:t>beyond</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payments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7"/>
              </w:rPr>
              <w:t>1,723,529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rPr>
              <w:t>134,435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244,531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244,572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242,560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242,321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615,110</w:t>
            </w: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Operating lease</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86"/>
              </w:rPr>
              <w:t>13,440,292</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w w:val="87"/>
              </w:rPr>
              <w:t>1,590,956</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7"/>
              </w:rPr>
              <w:t>3,469,017</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7"/>
              </w:rPr>
              <w:t>3,536,843</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7"/>
              </w:rPr>
              <w:t>1,767,304</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9"/>
              </w:rPr>
              <w:t>1,171,875</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w w:val="89"/>
              </w:rPr>
              <w:t>1,904,297</w:t>
            </w: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contractual cash</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86"/>
              </w:rPr>
              <w:t>15,163,821</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8"/>
                <w:szCs w:val="18"/>
                <w:color w:val="auto"/>
                <w:w w:val="87"/>
              </w:rPr>
              <w:t>1,725,391</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7"/>
              </w:rPr>
              <w:t>3,713,548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7"/>
              </w:rPr>
              <w:t>3,781,415</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7"/>
              </w:rPr>
              <w:t>2,009,864</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9"/>
              </w:rPr>
              <w:t>1,414,196</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89"/>
              </w:rPr>
              <w:t>2,519,407</w:t>
            </w:r>
          </w:p>
        </w:tc>
      </w:tr>
    </w:tbl>
    <w:p>
      <w:pPr>
        <w:spacing w:after="0" w:line="107"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We have incurred significant operating losses and negative cash flows since inception. We have not achieved profitability and may not be able to realize sufficient revenues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w:t>
      </w:r>
    </w:p>
    <w:p>
      <w:pPr>
        <w:spacing w:after="0" w:line="84" w:lineRule="exact"/>
        <w:rPr>
          <w:sz w:val="20"/>
          <w:szCs w:val="20"/>
          <w:color w:val="auto"/>
        </w:rPr>
      </w:pPr>
    </w:p>
    <w:p>
      <w:pPr>
        <w:ind w:right="640" w:firstLine="222"/>
        <w:spacing w:after="0" w:line="291" w:lineRule="auto"/>
        <w:rPr>
          <w:sz w:val="20"/>
          <w:szCs w:val="20"/>
          <w:color w:val="auto"/>
        </w:rPr>
      </w:pPr>
      <w:r>
        <w:rPr>
          <w:rFonts w:ascii="Arial" w:cs="Arial" w:eastAsia="Arial" w:hAnsi="Arial"/>
          <w:sz w:val="16"/>
          <w:szCs w:val="16"/>
          <w:color w:val="auto"/>
        </w:rPr>
        <w:t>We intend to pursue opportunities to obtain additional financing in the future through equity and debt financings, grants and collaborative research arrangements. We have a shelf registration statement which, as of June 30, 2007, covered shares of our common stock up to a value of approximately</w:t>
      </w:r>
    </w:p>
    <w:p>
      <w:pPr>
        <w:ind w:right="120"/>
        <w:spacing w:after="0" w:line="252" w:lineRule="auto"/>
        <w:rPr>
          <w:sz w:val="20"/>
          <w:szCs w:val="20"/>
          <w:color w:val="auto"/>
        </w:rPr>
      </w:pPr>
      <w:r>
        <w:rPr>
          <w:rFonts w:ascii="Arial" w:cs="Arial" w:eastAsia="Arial" w:hAnsi="Arial"/>
          <w:sz w:val="18"/>
          <w:szCs w:val="18"/>
          <w:color w:val="auto"/>
        </w:rPr>
        <w:t>$61 million that could be available for financings. On December 29, 2006, we filed a Prospectus Supplement announcing the entry of a sales agreement with Cantor Fitzgerald &amp; Co. under which up to 10,000,000 shares may be sold from time to time under the shelf registration statement. As of June 30, 2007, we sold 1,217,000 of these shares for gross proceeds of approximately $3,805,000. The source, timing and availability of any future financing will depend principally upon market conditions, interest rates and, more specifically, on our progress in our exploratory, preclinical and future clinical development programs. Funding may not be available when needed—at all, or on terms acceptable to us. Lack of necessary funds may require us to delay, scale back or eliminate some or all of our research and product development programs, planned clinical trials, and/or our capital expenditures, or to license our potential products or technologies to third parties.</w:t>
      </w:r>
    </w:p>
    <w:p>
      <w:pPr>
        <w:spacing w:after="0" w:line="85" w:lineRule="exact"/>
        <w:rPr>
          <w:sz w:val="20"/>
          <w:szCs w:val="20"/>
          <w:color w:val="auto"/>
        </w:rPr>
      </w:pPr>
    </w:p>
    <w:p>
      <w:pPr>
        <w:ind w:right="260" w:firstLine="222"/>
        <w:spacing w:after="0" w:line="342" w:lineRule="auto"/>
        <w:rPr>
          <w:sz w:val="20"/>
          <w:szCs w:val="20"/>
          <w:color w:val="auto"/>
        </w:rPr>
      </w:pPr>
      <w:r>
        <w:rPr>
          <w:rFonts w:ascii="Arial" w:cs="Arial" w:eastAsia="Arial" w:hAnsi="Arial"/>
          <w:sz w:val="16"/>
          <w:szCs w:val="16"/>
          <w:color w:val="auto"/>
        </w:rPr>
        <w:t>With the exception of operating leases for facilities, we have not entered into any off-balance sheet financial arrangements and have not established any special purpose entities. We have not guaranteed any debts or commitments of other entities or entered into any options on non-financial assets.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In July 2005, the Company entered into a license and settlement agreement with ReNeuron Limited, a wholly owned subsidiary of ReNeuron Group plc, a publicly listed UK corporation (collectively referred to as “ReNeuron”). As part of the agreement, the Company granted ReNeuron a license that allows ReNeuron to exploit their “c-mycER” conditionally immortalized adult human neural stem cell technology for therapy and other purposes. In return for the license, StemCells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StemCells or ReNeuron might have had against the other in connection with any putative infringement of certain of each party’s patent rights prior to the effective date of the agreement. The agreement is Exhibit 10.71 to the Company’s Quarterly Report on Form 10-Q for the quarter ended June 30, 2005. An amendment to the agreement was entered on April 3, 2006, a copy of which was attached as Exhibit 10.1 to the Company’s Quarterly Report on Form 10-Q for the quarter ended March 31, 2006. As of December 31, 2006, the Company held 9,274,837 shares of ReNeuron common stock with fair value of approximately $7,266,000. In February 2007, the Company sold 5,275,000 ordinary shares of ReNeuron for net proceeds of approximately $3,077,000. The Company recorded approximately $718,000 as realized gain for this transaction. In February 2007, ReNeuron issued additional shares of common stock as a consequence of certain anti-dilution provisions in the agreement. StemCells was entitled to approximately 822,000 shares net of approximately 12,000 shares to be transferred to Neurospheres. The Company recorded approximately $550,000 as other income for the fair value of the additional shares received. As of June 30, 2007, the Company owned approximately 4,822,000 ordinary shares of ReNeuron with a fair market value of approximately $2,273,000.</w:t>
      </w:r>
    </w:p>
    <w:p>
      <w:pPr>
        <w:spacing w:after="0" w:line="61"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Changes in market value as a result of changes in market price per share or the exchange rate between the US dollar and the British pound are accounted for under “other comprehensive income (loss)” if deemed temporary and are not recorded as “other income or loss” until the shares are disposed of and a gain or loss realized. The unrealized gain as of June 30, 2007 is approximately $4,000. A decline in the fair value of securities that is deemed other than temporary would be charged to earnings.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Share price at</w:t>
            </w:r>
          </w:p>
        </w:tc>
        <w:tc>
          <w:tcPr>
            <w:tcW w:w="8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Exchange Rate at</w:t>
            </w:r>
          </w:p>
        </w:tc>
        <w:tc>
          <w:tcPr>
            <w:tcW w:w="8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Market Value in</w:t>
            </w:r>
          </w:p>
        </w:tc>
        <w:tc>
          <w:tcPr>
            <w:tcW w:w="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Expected</w:t>
            </w: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Company/Stock</w:t>
            </w: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No. of Shares at</w:t>
            </w:r>
          </w:p>
        </w:tc>
        <w:tc>
          <w:tcPr>
            <w:tcW w:w="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9"/>
        </w:trPr>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Exchange</w:t>
            </w:r>
          </w:p>
        </w:tc>
        <w:tc>
          <w:tcPr>
            <w:tcW w:w="80" w:type="dxa"/>
            <w:vAlign w:val="bottom"/>
          </w:tcPr>
          <w:p>
            <w:pPr>
              <w:spacing w:after="0"/>
              <w:rPr>
                <w:sz w:val="12"/>
                <w:szCs w:val="12"/>
                <w:color w:val="auto"/>
              </w:rPr>
            </w:pPr>
          </w:p>
        </w:tc>
        <w:tc>
          <w:tcPr>
            <w:tcW w:w="18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Associated Risks</w:t>
            </w:r>
          </w:p>
        </w:tc>
        <w:tc>
          <w:tcPr>
            <w:tcW w:w="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June 30, 2007 in</w:t>
            </w:r>
          </w:p>
        </w:tc>
        <w:tc>
          <w:tcPr>
            <w:tcW w:w="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June 30, 2007</w:t>
            </w:r>
          </w:p>
        </w:tc>
        <w:tc>
          <w:tcPr>
            <w:tcW w:w="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USD at June 30,</w:t>
            </w: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20"/>
                <w:szCs w:val="20"/>
                <w:color w:val="auto"/>
              </w:rPr>
            </w:pPr>
            <w:r>
              <w:rPr>
                <w:rFonts w:ascii="Arial" w:cs="Arial" w:eastAsia="Arial" w:hAnsi="Arial"/>
                <w:sz w:val="14"/>
                <w:szCs w:val="14"/>
                <w:b w:val="1"/>
                <w:bCs w:val="1"/>
                <w:color w:val="auto"/>
              </w:rPr>
              <w:t>Symbol</w:t>
            </w:r>
          </w:p>
        </w:tc>
        <w:tc>
          <w:tcPr>
            <w:tcW w:w="10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2007</w:t>
            </w:r>
          </w:p>
        </w:tc>
        <w:tc>
          <w:tcPr>
            <w:tcW w:w="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7"/>
              </w:rPr>
              <w:t>GBP (£)</w:t>
            </w:r>
          </w:p>
        </w:tc>
        <w:tc>
          <w:tcPr>
            <w:tcW w:w="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1 GBP = USD</w:t>
            </w:r>
          </w:p>
        </w:tc>
        <w:tc>
          <w:tcPr>
            <w:tcW w:w="164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Flows</w:t>
            </w:r>
          </w:p>
        </w:tc>
        <w:tc>
          <w:tcPr>
            <w:tcW w:w="0" w:type="dxa"/>
            <w:vAlign w:val="bottom"/>
          </w:tcPr>
          <w:p>
            <w:pPr>
              <w:spacing w:after="0"/>
              <w:rPr>
                <w:sz w:val="1"/>
                <w:szCs w:val="1"/>
                <w:color w:val="auto"/>
              </w:rPr>
            </w:pPr>
          </w:p>
        </w:tc>
      </w:tr>
      <w:tr>
        <w:trPr>
          <w:trHeight w:val="195"/>
        </w:trPr>
        <w:tc>
          <w:tcPr>
            <w:tcW w:w="1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ReNeuron</w:t>
            </w:r>
          </w:p>
        </w:tc>
        <w:tc>
          <w:tcPr>
            <w:tcW w:w="100" w:type="dxa"/>
            <w:vAlign w:val="bottom"/>
          </w:tcPr>
          <w:p>
            <w:pPr>
              <w:spacing w:after="0"/>
              <w:rPr>
                <w:sz w:val="16"/>
                <w:szCs w:val="16"/>
                <w:color w:val="auto"/>
              </w:rPr>
            </w:pPr>
          </w:p>
        </w:tc>
        <w:tc>
          <w:tcPr>
            <w:tcW w:w="1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AIM (AIM is the</w:t>
            </w:r>
          </w:p>
        </w:tc>
        <w:tc>
          <w:tcPr>
            <w:tcW w:w="80" w:type="dxa"/>
            <w:vAlign w:val="bottom"/>
          </w:tcPr>
          <w:p>
            <w:pPr>
              <w:spacing w:after="0"/>
              <w:rPr>
                <w:sz w:val="16"/>
                <w:szCs w:val="16"/>
                <w:color w:val="auto"/>
              </w:rPr>
            </w:pPr>
          </w:p>
        </w:tc>
        <w:tc>
          <w:tcPr>
            <w:tcW w:w="1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 Lower share price</w:t>
            </w:r>
          </w:p>
        </w:tc>
        <w:tc>
          <w:tcPr>
            <w:tcW w:w="80" w:type="dxa"/>
            <w:vAlign w:val="bottom"/>
          </w:tcPr>
          <w:p>
            <w:pPr>
              <w:spacing w:after="0"/>
              <w:rPr>
                <w:sz w:val="16"/>
                <w:szCs w:val="16"/>
                <w:color w:val="auto"/>
              </w:rPr>
            </w:pPr>
          </w:p>
        </w:tc>
        <w:tc>
          <w:tcPr>
            <w:tcW w:w="1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4,821,924</w:t>
            </w:r>
          </w:p>
        </w:tc>
        <w:tc>
          <w:tcPr>
            <w:tcW w:w="80" w:type="dxa"/>
            <w:vAlign w:val="bottom"/>
          </w:tcPr>
          <w:p>
            <w:pPr>
              <w:spacing w:after="0"/>
              <w:rPr>
                <w:sz w:val="16"/>
                <w:szCs w:val="16"/>
                <w:color w:val="auto"/>
              </w:rPr>
            </w:pPr>
          </w:p>
        </w:tc>
        <w:tc>
          <w:tcPr>
            <w:tcW w:w="13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0.2350</w:t>
            </w:r>
          </w:p>
        </w:tc>
        <w:tc>
          <w:tcPr>
            <w:tcW w:w="80" w:type="dxa"/>
            <w:vAlign w:val="bottom"/>
          </w:tcPr>
          <w:p>
            <w:pPr>
              <w:spacing w:after="0"/>
              <w:rPr>
                <w:sz w:val="16"/>
                <w:szCs w:val="16"/>
                <w:color w:val="auto"/>
              </w:rPr>
            </w:pPr>
          </w:p>
        </w:tc>
        <w:tc>
          <w:tcPr>
            <w:tcW w:w="1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2.0063</w:t>
            </w:r>
          </w:p>
        </w:tc>
        <w:tc>
          <w:tcPr>
            <w:tcW w:w="80" w:type="dxa"/>
            <w:vAlign w:val="bottom"/>
          </w:tcPr>
          <w:p>
            <w:pPr>
              <w:spacing w:after="0"/>
              <w:rPr>
                <w:sz w:val="16"/>
                <w:szCs w:val="16"/>
                <w:color w:val="auto"/>
              </w:rPr>
            </w:pPr>
          </w:p>
        </w:tc>
        <w:tc>
          <w:tcPr>
            <w:tcW w:w="1560" w:type="dxa"/>
            <w:vAlign w:val="bottom"/>
            <w:tcBorders>
              <w:top w:val="single" w:sz="8" w:color="auto"/>
            </w:tcBorders>
          </w:tcPr>
          <w:p>
            <w:pPr>
              <w:jc w:val="right"/>
              <w:ind w:right="342"/>
              <w:spacing w:after="0" w:line="195" w:lineRule="exact"/>
              <w:rPr>
                <w:sz w:val="20"/>
                <w:szCs w:val="20"/>
                <w:color w:val="auto"/>
              </w:rPr>
            </w:pPr>
            <w:r>
              <w:rPr>
                <w:rFonts w:ascii="Arial" w:cs="Arial" w:eastAsia="Arial" w:hAnsi="Arial"/>
                <w:sz w:val="18"/>
                <w:szCs w:val="18"/>
                <w:color w:val="auto"/>
              </w:rPr>
              <w:t>$2,273,443</w:t>
            </w:r>
          </w:p>
        </w:tc>
        <w:tc>
          <w:tcPr>
            <w:tcW w:w="60" w:type="dxa"/>
            <w:vAlign w:val="bottom"/>
          </w:tcPr>
          <w:p>
            <w:pPr>
              <w:spacing w:after="0"/>
              <w:rPr>
                <w:sz w:val="16"/>
                <w:szCs w:val="16"/>
                <w:color w:val="auto"/>
              </w:rPr>
            </w:pPr>
          </w:p>
        </w:tc>
        <w:tc>
          <w:tcPr>
            <w:tcW w:w="660" w:type="dxa"/>
            <w:vAlign w:val="bottom"/>
            <w:tcBorders>
              <w:top w:val="single" w:sz="8" w:color="auto"/>
            </w:tcBorders>
          </w:tcPr>
          <w:p>
            <w:pPr>
              <w:jc w:val="right"/>
              <w:ind w:right="184"/>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Group</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plc/RENE</w:t>
            </w:r>
          </w:p>
        </w:tc>
        <w:tc>
          <w:tcPr>
            <w:tcW w:w="10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London Stock</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 Foreign currency</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Exchange’s</w:t>
            </w:r>
          </w:p>
        </w:tc>
        <w:tc>
          <w:tcPr>
            <w:tcW w:w="80" w:type="dxa"/>
            <w:vAlign w:val="bottom"/>
          </w:tcPr>
          <w:p>
            <w:pPr>
              <w:spacing w:after="0"/>
              <w:rPr>
                <w:sz w:val="18"/>
                <w:szCs w:val="18"/>
                <w:color w:val="auto"/>
              </w:rPr>
            </w:pPr>
          </w:p>
        </w:tc>
        <w:tc>
          <w:tcPr>
            <w:tcW w:w="1800" w:type="dxa"/>
            <w:vAlign w:val="bottom"/>
          </w:tcPr>
          <w:p>
            <w:pPr>
              <w:ind w:left="80"/>
              <w:spacing w:after="0"/>
              <w:rPr>
                <w:sz w:val="20"/>
                <w:szCs w:val="20"/>
                <w:color w:val="auto"/>
              </w:rPr>
            </w:pPr>
            <w:r>
              <w:rPr>
                <w:rFonts w:ascii="Arial" w:cs="Arial" w:eastAsia="Arial" w:hAnsi="Arial"/>
                <w:sz w:val="18"/>
                <w:szCs w:val="18"/>
                <w:color w:val="auto"/>
              </w:rPr>
              <w:t>translation</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Alternative</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 Liquidity</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r>
              <w:rPr>
                <w:rFonts w:ascii="Arial" w:cs="Arial" w:eastAsia="Arial" w:hAnsi="Arial"/>
                <w:sz w:val="18"/>
                <w:szCs w:val="18"/>
                <w:color w:val="auto"/>
                <w:w w:val="98"/>
              </w:rPr>
              <w:t>Investment Market)</w:t>
            </w: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 Bankruptcy</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0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is our intention to liquidate this investment when we can do so at prices acceptable to us. Although we are not legally restricted from selling the stock, the share price is subject to change and the volume traded has often been very small since the stock was listed on the AIM on August 12, 2005. The performance of ReNeuron Group plc stock since its listing does not predict its future value.</w:t>
      </w:r>
    </w:p>
    <w:p>
      <w:pPr>
        <w:spacing w:after="0" w:line="73"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Other than the above, no significant changes have occurred in our quantitative and qualitative information about market risks disclosed in our Annual Report on Form 10-K for the fiscal year ending December 31,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In response to the requirement of the Sarbanes-Oxley Act of 2002, as of the end of the period covered by this report, our chief executive officer and chief financial officer, along with other members of management, reviewed the effectiveness of the design and operation of our disclosure controls and procedures. Such controls and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chief financial officer have concluded that the Company’s disclosure controls and procedures are effective.</w:t>
      </w:r>
    </w:p>
    <w:p>
      <w:pPr>
        <w:spacing w:after="0" w:line="46"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During the most recent quarter, there were no changes in internal controls over financial reporting that occurred during the period covered by this report that have materially affected, or are reasonably likely to materially affect, these controls of the Company.</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In July 2006, we filed suit against Neuralstem, Inc., in the Federal District Court for the District of Maryland, alleging that its activities violate claims in four of our patents. Neuralstem has filed a motion for dismissal or summary judgment, citing Title 35, Section 271(e)(1) of the United States Code, which says that it is not an act of patent infringement to make, use or sell a patented invention “solely for uses reasonably related to the development and submission of information” to the FDA. Neuralstem argues that because it does not have any therapeutic products on the market yet, the activities complained of fall within the protection of Section 271(e)(1) — that is, basically, that the suit is premature. This issue will be decided after discovery is complete.</w:t>
      </w:r>
    </w:p>
    <w:p>
      <w:pPr>
        <w:spacing w:after="0" w:line="50" w:lineRule="exact"/>
        <w:rPr>
          <w:sz w:val="20"/>
          <w:szCs w:val="20"/>
          <w:color w:val="auto"/>
        </w:rPr>
      </w:pPr>
    </w:p>
    <w:p>
      <w:pPr>
        <w:ind w:right="260" w:firstLine="225"/>
        <w:spacing w:after="0" w:line="286" w:lineRule="auto"/>
        <w:rPr>
          <w:sz w:val="20"/>
          <w:szCs w:val="20"/>
          <w:color w:val="auto"/>
        </w:rPr>
      </w:pPr>
      <w:r>
        <w:rPr>
          <w:rFonts w:ascii="Arial" w:cs="Arial" w:eastAsia="Arial" w:hAnsi="Arial"/>
          <w:sz w:val="17"/>
          <w:szCs w:val="17"/>
          <w:color w:val="auto"/>
        </w:rPr>
        <w:t>In January 2007, Neuralstem petitioned the U.S. Patent and Trademark Office (PTO) to reexamine two of the patents in our infringement action against Neuralstem. In April 2007, Neuralstem petitioned the U.S. PTO to reexamine the remaining two patents in the suit. These requests were granted and, in June 2007, the parties voluntarily agreed to stay the pending litigation while the U.S. PTO considers these reexaminations.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There have been no material changes from the risk factors disclosed in Part 1, Item 1A, of our Annual Report on Form 10-K for the fiscal year ending December 31,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Under terms of a license agreement with Cal Tech, annual fees of $5,000 were due on each of two patents to which StemCells holds a license from Cal</w:t>
      </w:r>
    </w:p>
    <w:p>
      <w:pPr>
        <w:spacing w:after="0" w:line="4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Tech, payable in cash or stock at the Company’s choice. The Company elected to pay the fees in stock and issued 3,865 unregistered shares to Cal Tech.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ind w:right="200" w:firstLine="225"/>
        <w:spacing w:after="0" w:line="273" w:lineRule="auto"/>
        <w:rPr>
          <w:sz w:val="20"/>
          <w:szCs w:val="20"/>
          <w:color w:val="auto"/>
        </w:rPr>
      </w:pPr>
      <w:r>
        <w:rPr>
          <w:rFonts w:ascii="Arial" w:cs="Arial" w:eastAsia="Arial" w:hAnsi="Arial"/>
          <w:sz w:val="17"/>
          <w:szCs w:val="17"/>
          <w:color w:val="auto"/>
        </w:rPr>
        <w:t>On June 12, 2007, we held our Annual Meeting of Stockholders. Dr. John Schwartz and Mr. Eric Bjerkholt were re-elected to the Board as Class I directors, with terms expiring in 2010. The remaining members of the Board, whose terms continued after the Annual Meeting, are Ricardo Levy, Ph.D., Martin McGlynn, Desmond H. O’Connell, Jr., Roger Perlmutter, M.D., Ph.D., and Irving Weissman, M.D. The shareholders also ratified the selection of Grant Thornton LLP as StemCells’ independent public accountants for the fiscal year ending December 31, 2007 and approved an amendment to the Company’s 2006 Equity Incentive Plan to provide for an annual increase in the number of shares of common stock available for issuance under the Plan on each January 1 (beginning January 1, 2008) equal to 4% of the outstanding shares on that date.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number of proxies finally tabulated represented 71,303,325 of the 80,044,569 eligible shares, or 89.08 percent of eligible shares. The votes on each of the proposals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279"/>
              <w:spacing w:after="0"/>
              <w:rPr>
                <w:sz w:val="20"/>
                <w:szCs w:val="20"/>
                <w:color w:val="auto"/>
              </w:rPr>
            </w:pPr>
            <w:r>
              <w:rPr>
                <w:rFonts w:ascii="Arial" w:cs="Arial" w:eastAsia="Arial" w:hAnsi="Arial"/>
                <w:sz w:val="14"/>
                <w:szCs w:val="14"/>
                <w:color w:val="auto"/>
              </w:rPr>
              <w:t>Authority</w:t>
            </w: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080" w:type="dxa"/>
            <w:vAlign w:val="bottom"/>
          </w:tcPr>
          <w:p>
            <w:pPr>
              <w:spacing w:after="0"/>
              <w:rPr>
                <w:sz w:val="14"/>
                <w:szCs w:val="14"/>
                <w:color w:val="auto"/>
              </w:rPr>
            </w:pPr>
          </w:p>
        </w:tc>
        <w:tc>
          <w:tcPr>
            <w:tcW w:w="13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For</w:t>
            </w:r>
          </w:p>
        </w:tc>
        <w:tc>
          <w:tcPr>
            <w:tcW w:w="440" w:type="dxa"/>
            <w:vAlign w:val="bottom"/>
          </w:tcPr>
          <w:p>
            <w:pPr>
              <w:spacing w:after="0"/>
              <w:rPr>
                <w:sz w:val="14"/>
                <w:szCs w:val="14"/>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Withheld</w:t>
            </w:r>
          </w:p>
        </w:tc>
        <w:tc>
          <w:tcPr>
            <w:tcW w:w="460" w:type="dxa"/>
            <w:vAlign w:val="bottom"/>
          </w:tcPr>
          <w:p>
            <w:pPr>
              <w:spacing w:after="0"/>
              <w:rPr>
                <w:sz w:val="14"/>
                <w:szCs w:val="14"/>
                <w:color w:val="auto"/>
              </w:rPr>
            </w:pPr>
          </w:p>
        </w:tc>
        <w:tc>
          <w:tcPr>
            <w:tcW w:w="12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Against</w:t>
            </w:r>
          </w:p>
        </w:tc>
        <w:tc>
          <w:tcPr>
            <w:tcW w:w="440" w:type="dxa"/>
            <w:vAlign w:val="bottom"/>
          </w:tcPr>
          <w:p>
            <w:pPr>
              <w:spacing w:after="0"/>
              <w:rPr>
                <w:sz w:val="14"/>
                <w:szCs w:val="14"/>
                <w:color w:val="auto"/>
              </w:rPr>
            </w:pPr>
          </w:p>
        </w:tc>
        <w:tc>
          <w:tcPr>
            <w:tcW w:w="11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Abstain</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Election of John Schwartz, Ph.D., as director</w:t>
            </w:r>
          </w:p>
        </w:tc>
        <w:tc>
          <w:tcPr>
            <w:tcW w:w="13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69,553,303</w:t>
            </w:r>
          </w:p>
        </w:tc>
        <w:tc>
          <w:tcPr>
            <w:tcW w:w="170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1,750,022</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Election of Eric Bjerkholt, as director</w:t>
            </w:r>
          </w:p>
        </w:tc>
        <w:tc>
          <w:tcPr>
            <w:tcW w:w="1340" w:type="dxa"/>
            <w:vAlign w:val="bottom"/>
          </w:tcPr>
          <w:p>
            <w:pPr>
              <w:jc w:val="right"/>
              <w:ind w:right="174"/>
              <w:spacing w:after="0"/>
              <w:rPr>
                <w:sz w:val="20"/>
                <w:szCs w:val="20"/>
                <w:color w:val="auto"/>
              </w:rPr>
            </w:pPr>
            <w:r>
              <w:rPr>
                <w:rFonts w:ascii="Arial" w:cs="Arial" w:eastAsia="Arial" w:hAnsi="Arial"/>
                <w:sz w:val="18"/>
                <w:szCs w:val="18"/>
                <w:color w:val="auto"/>
              </w:rPr>
              <w:t>69,555,049</w:t>
            </w:r>
          </w:p>
        </w:tc>
        <w:tc>
          <w:tcPr>
            <w:tcW w:w="1700" w:type="dxa"/>
            <w:vAlign w:val="bottom"/>
            <w:gridSpan w:val="2"/>
          </w:tcPr>
          <w:p>
            <w:pPr>
              <w:jc w:val="right"/>
              <w:ind w:right="179"/>
              <w:spacing w:after="0"/>
              <w:rPr>
                <w:sz w:val="20"/>
                <w:szCs w:val="20"/>
                <w:color w:val="auto"/>
              </w:rPr>
            </w:pPr>
            <w:r>
              <w:rPr>
                <w:rFonts w:ascii="Arial" w:cs="Arial" w:eastAsia="Arial" w:hAnsi="Arial"/>
                <w:sz w:val="18"/>
                <w:szCs w:val="18"/>
                <w:color w:val="auto"/>
              </w:rPr>
              <w:t>1,748,276</w:t>
            </w:r>
          </w:p>
        </w:tc>
        <w:tc>
          <w:tcPr>
            <w:tcW w:w="460" w:type="dxa"/>
            <w:vAlign w:val="bottom"/>
          </w:tcPr>
          <w:p>
            <w:pPr>
              <w:spacing w:after="0"/>
              <w:rPr>
                <w:sz w:val="18"/>
                <w:szCs w:val="18"/>
                <w:color w:val="auto"/>
              </w:rPr>
            </w:pP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40" w:type="dxa"/>
            <w:vAlign w:val="bottom"/>
          </w:tcPr>
          <w:p>
            <w:pPr>
              <w:jc w:val="right"/>
              <w:ind w:right="196"/>
              <w:spacing w:after="0"/>
              <w:rPr>
                <w:sz w:val="20"/>
                <w:szCs w:val="20"/>
                <w:color w:val="auto"/>
              </w:rPr>
            </w:pPr>
            <w:r>
              <w:rPr>
                <w:rFonts w:ascii="Arial" w:cs="Arial" w:eastAsia="Arial" w:hAnsi="Arial"/>
                <w:sz w:val="18"/>
                <w:szCs w:val="18"/>
                <w:color w:val="auto"/>
              </w:rPr>
              <w:t>—</w:t>
            </w:r>
          </w:p>
        </w:tc>
      </w:tr>
      <w:tr>
        <w:trPr>
          <w:trHeight w:val="202"/>
        </w:trPr>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Ratification of Grant Thornton LLP as independent accountants</w:t>
            </w:r>
          </w:p>
        </w:tc>
        <w:tc>
          <w:tcPr>
            <w:tcW w:w="1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2007</w:t>
            </w:r>
          </w:p>
        </w:tc>
        <w:tc>
          <w:tcPr>
            <w:tcW w:w="13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70,210,333</w:t>
            </w:r>
          </w:p>
        </w:tc>
        <w:tc>
          <w:tcPr>
            <w:tcW w:w="4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96"/>
              <w:spacing w:after="0"/>
              <w:rPr>
                <w:sz w:val="20"/>
                <w:szCs w:val="20"/>
                <w:color w:val="auto"/>
              </w:rPr>
            </w:pPr>
            <w:r>
              <w:rPr>
                <w:rFonts w:ascii="Arial" w:cs="Arial" w:eastAsia="Arial" w:hAnsi="Arial"/>
                <w:sz w:val="18"/>
                <w:szCs w:val="18"/>
                <w:color w:val="auto"/>
              </w:rPr>
              <w:t>709,012</w:t>
            </w:r>
          </w:p>
        </w:tc>
        <w:tc>
          <w:tcPr>
            <w:tcW w:w="158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383,980</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Amendment of 2006 Equity Incentive Plan</w:t>
            </w:r>
          </w:p>
        </w:tc>
        <w:tc>
          <w:tcPr>
            <w:tcW w:w="1340" w:type="dxa"/>
            <w:vAlign w:val="bottom"/>
          </w:tcPr>
          <w:p>
            <w:pPr>
              <w:jc w:val="right"/>
              <w:ind w:right="174"/>
              <w:spacing w:after="0"/>
              <w:rPr>
                <w:sz w:val="20"/>
                <w:szCs w:val="20"/>
                <w:color w:val="auto"/>
              </w:rPr>
            </w:pPr>
            <w:r>
              <w:rPr>
                <w:rFonts w:ascii="Arial" w:cs="Arial" w:eastAsia="Arial" w:hAnsi="Arial"/>
                <w:sz w:val="18"/>
                <w:szCs w:val="18"/>
                <w:color w:val="auto"/>
              </w:rPr>
              <w:t>8,406,484</w:t>
            </w:r>
          </w:p>
        </w:tc>
        <w:tc>
          <w:tcPr>
            <w:tcW w:w="440" w:type="dxa"/>
            <w:vAlign w:val="bottom"/>
          </w:tcPr>
          <w:p>
            <w:pPr>
              <w:spacing w:after="0"/>
              <w:rPr>
                <w:sz w:val="20"/>
                <w:szCs w:val="20"/>
                <w:color w:val="auto"/>
              </w:rPr>
            </w:pPr>
          </w:p>
        </w:tc>
        <w:tc>
          <w:tcPr>
            <w:tcW w:w="126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96"/>
              <w:spacing w:after="0"/>
              <w:rPr>
                <w:sz w:val="20"/>
                <w:szCs w:val="20"/>
                <w:color w:val="auto"/>
              </w:rPr>
            </w:pPr>
            <w:r>
              <w:rPr>
                <w:rFonts w:ascii="Arial" w:cs="Arial" w:eastAsia="Arial" w:hAnsi="Arial"/>
                <w:sz w:val="18"/>
                <w:szCs w:val="18"/>
                <w:color w:val="auto"/>
              </w:rPr>
              <w:t>3,497,699</w:t>
            </w:r>
          </w:p>
        </w:tc>
        <w:tc>
          <w:tcPr>
            <w:tcW w:w="1580" w:type="dxa"/>
            <w:vAlign w:val="bottom"/>
            <w:gridSpan w:val="2"/>
          </w:tcPr>
          <w:p>
            <w:pPr>
              <w:jc w:val="right"/>
              <w:ind w:right="176"/>
              <w:spacing w:after="0"/>
              <w:rPr>
                <w:sz w:val="20"/>
                <w:szCs w:val="20"/>
                <w:color w:val="auto"/>
              </w:rPr>
            </w:pPr>
            <w:r>
              <w:rPr>
                <w:rFonts w:ascii="Arial" w:cs="Arial" w:eastAsia="Arial" w:hAnsi="Arial"/>
                <w:sz w:val="18"/>
                <w:szCs w:val="18"/>
                <w:color w:val="auto"/>
              </w:rPr>
              <w:t>359,506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There were no matters required to be disclosed in a current report on Form 8-K during the fiscal quarter covered by this report that were not so disclosed.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3" w:lineRule="exact"/>
        <w:rPr>
          <w:sz w:val="20"/>
          <w:szCs w:val="20"/>
          <w:color w:val="auto"/>
        </w:rPr>
      </w:pPr>
    </w:p>
    <w:p>
      <w:pPr>
        <w:ind w:right="364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Rodney K. B. Young under Section 302 of the Sarbanes-Oxley Act of 2002</w:t>
      </w:r>
    </w:p>
    <w:p>
      <w:pPr>
        <w:spacing w:after="0" w:line="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STEMCELLS, INC.</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(name of Registrant)</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July 27,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K. B. Young</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Rodney K. B. Young</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21"/>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0580"/>
          </w:cols>
          <w:pgMar w:left="240" w:top="419" w:right="107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Martin McGlynn, certify that:</w:t>
      </w:r>
    </w:p>
    <w:p>
      <w:pPr>
        <w:spacing w:after="0" w:line="117"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jc w:val="both"/>
        <w:ind w:left="660" w:right="280" w:hanging="436"/>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80" w:firstLine="1"/>
        <w:spacing w:after="0" w:line="264" w:lineRule="auto"/>
        <w:tabs>
          <w:tab w:leader="none" w:pos="116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60" w:firstLine="1"/>
        <w:spacing w:after="0" w:line="264" w:lineRule="auto"/>
        <w:tabs>
          <w:tab w:leader="none" w:pos="117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80" w:firstLine="1"/>
        <w:spacing w:after="0" w:line="342" w:lineRule="auto"/>
        <w:tabs>
          <w:tab w:leader="none" w:pos="1165"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60" w:firstLine="1"/>
        <w:spacing w:after="0" w:line="264" w:lineRule="auto"/>
        <w:tabs>
          <w:tab w:leader="none" w:pos="1175"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20" w:right="820" w:firstLine="1"/>
        <w:spacing w:after="0" w:line="342" w:lineRule="auto"/>
        <w:tabs>
          <w:tab w:leader="none" w:pos="1165"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20" w:right="500" w:firstLine="1"/>
        <w:spacing w:after="0" w:line="277" w:lineRule="auto"/>
        <w:tabs>
          <w:tab w:leader="none" w:pos="117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Rodney K. B. Young, certify that:</w:t>
      </w:r>
    </w:p>
    <w:p>
      <w:pPr>
        <w:spacing w:after="0" w:line="117"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jc w:val="both"/>
        <w:ind w:left="660" w:right="280" w:hanging="436"/>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80" w:firstLine="1"/>
        <w:spacing w:after="0" w:line="264" w:lineRule="auto"/>
        <w:tabs>
          <w:tab w:leader="none" w:pos="116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60" w:firstLine="1"/>
        <w:spacing w:after="0" w:line="264" w:lineRule="auto"/>
        <w:tabs>
          <w:tab w:leader="none" w:pos="117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80" w:firstLine="1"/>
        <w:spacing w:after="0" w:line="342" w:lineRule="auto"/>
        <w:tabs>
          <w:tab w:leader="none" w:pos="1165"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60" w:firstLine="1"/>
        <w:spacing w:after="0" w:line="264" w:lineRule="auto"/>
        <w:tabs>
          <w:tab w:leader="none" w:pos="117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20" w:right="820" w:firstLine="1"/>
        <w:spacing w:after="0" w:line="342" w:lineRule="auto"/>
        <w:tabs>
          <w:tab w:leader="none" w:pos="1165"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20" w:right="500" w:firstLine="1"/>
        <w:spacing w:after="0" w:line="277" w:lineRule="auto"/>
        <w:tabs>
          <w:tab w:leader="none" w:pos="117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93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10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the Quarterly Report on Form 10-Q of StemCells, Inc. (the “Company”) for the period ending June 30, 2007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10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connection with the Quarterly Report on Form 10-Q of StemCells, Inc. (the “Company”) for the period ending June 30, 2007 as filed with the Securities and Exchange Commission on the date hereof (the “Report”), I, Rodney K. B. Young, Chief Financial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2019-12-12T11:22:20Z</dcterms:created>
  <dcterms:modified xsi:type="dcterms:W3CDTF">2019-12-12T11:22:20Z</dcterms:modified>
</cp:coreProperties>
</file>