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133350</wp:posOffset>
            </wp:positionV>
            <wp:extent cx="18097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3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4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7" w:lineRule="exact"/>
        <w:rPr>
          <w:sz w:val="24"/>
          <w:szCs w:val="24"/>
          <w:color w:val="auto"/>
        </w:rPr>
      </w:pPr>
    </w:p>
    <w:p>
      <w:pPr>
        <w:ind w:left="4240" w:right="1240" w:hanging="3908"/>
        <w:spacing w:after="0" w:line="488" w:lineRule="auto"/>
        <w:tabs>
          <w:tab w:leader="none" w:pos="99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2019</w:t>
      </w:r>
    </w:p>
    <w:p>
      <w:pPr>
        <w:ind w:left="340"/>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 ]</w:t>
      </w:r>
      <w:r>
        <w:rPr>
          <w:sz w:val="20"/>
          <w:szCs w:val="20"/>
          <w:color w:val="auto"/>
        </w:rPr>
        <w:tab/>
      </w: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40" w:type="dxa"/>
            <w:vAlign w:val="bottom"/>
            <w:gridSpan w:val="4"/>
          </w:tcPr>
          <w:p>
            <w:pPr>
              <w:ind w:left="150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 to _____</w:t>
            </w:r>
          </w:p>
        </w:tc>
      </w:tr>
      <w:tr>
        <w:trPr>
          <w:trHeight w:val="432"/>
        </w:trPr>
        <w:tc>
          <w:tcPr>
            <w:tcW w:w="2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320" w:type="dxa"/>
            <w:vAlign w:val="bottom"/>
            <w:gridSpan w:val="3"/>
          </w:tcPr>
          <w:p>
            <w:pPr>
              <w:jc w:val="center"/>
              <w:ind w:left="1043"/>
              <w:spacing w:after="0"/>
              <w:rPr>
                <w:sz w:val="20"/>
                <w:szCs w:val="20"/>
                <w:color w:val="auto"/>
              </w:rPr>
            </w:pPr>
            <w:r>
              <w:rPr>
                <w:rFonts w:ascii="Times New Roman" w:cs="Times New Roman" w:eastAsia="Times New Roman" w:hAnsi="Times New Roman"/>
                <w:sz w:val="18"/>
                <w:szCs w:val="18"/>
                <w:b w:val="1"/>
                <w:bCs w:val="1"/>
                <w:color w:val="auto"/>
              </w:rPr>
              <w:t>Commission file number: 000-19871</w:t>
            </w:r>
          </w:p>
        </w:tc>
        <w:tc>
          <w:tcPr>
            <w:tcW w:w="4120" w:type="dxa"/>
            <w:vAlign w:val="bottom"/>
          </w:tcPr>
          <w:p>
            <w:pPr>
              <w:spacing w:after="0"/>
              <w:rPr>
                <w:sz w:val="24"/>
                <w:szCs w:val="24"/>
                <w:color w:val="auto"/>
              </w:rPr>
            </w:pPr>
          </w:p>
        </w:tc>
      </w:tr>
      <w:tr>
        <w:trPr>
          <w:trHeight w:val="558"/>
        </w:trPr>
        <w:tc>
          <w:tcPr>
            <w:tcW w:w="2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40" w:type="dxa"/>
            <w:vAlign w:val="bottom"/>
            <w:gridSpan w:val="4"/>
          </w:tcPr>
          <w:p>
            <w:pPr>
              <w:jc w:val="center"/>
              <w:ind w:right="2890"/>
              <w:spacing w:after="0"/>
              <w:rPr>
                <w:sz w:val="20"/>
                <w:szCs w:val="20"/>
                <w:color w:val="auto"/>
              </w:rPr>
            </w:pPr>
            <w:r>
              <w:rPr>
                <w:rFonts w:ascii="Times New Roman" w:cs="Times New Roman" w:eastAsia="Times New Roman" w:hAnsi="Times New Roman"/>
                <w:sz w:val="32"/>
                <w:szCs w:val="32"/>
                <w:b w:val="1"/>
                <w:bCs w:val="1"/>
                <w:color w:val="auto"/>
              </w:rPr>
              <w:t>MICROBOT MEDICAL INC.</w:t>
            </w:r>
          </w:p>
        </w:tc>
      </w:tr>
      <w:tr>
        <w:trPr>
          <w:trHeight w:val="238"/>
        </w:trPr>
        <w:tc>
          <w:tcPr>
            <w:tcW w:w="2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320" w:type="dxa"/>
            <w:vAlign w:val="bottom"/>
            <w:gridSpan w:val="3"/>
          </w:tcPr>
          <w:p>
            <w:pPr>
              <w:jc w:val="center"/>
              <w:ind w:left="1043"/>
              <w:spacing w:after="0"/>
              <w:rPr>
                <w:sz w:val="20"/>
                <w:szCs w:val="20"/>
                <w:color w:val="auto"/>
              </w:rPr>
            </w:pPr>
            <w:r>
              <w:rPr>
                <w:rFonts w:ascii="Times New Roman" w:cs="Times New Roman" w:eastAsia="Times New Roman" w:hAnsi="Times New Roman"/>
                <w:sz w:val="18"/>
                <w:szCs w:val="18"/>
                <w:b w:val="1"/>
                <w:bCs w:val="1"/>
                <w:i w:val="1"/>
                <w:iCs w:val="1"/>
                <w:color w:val="auto"/>
                <w:w w:val="99"/>
              </w:rPr>
              <w:t>(Name of Registrant in Its Charter)</w:t>
            </w:r>
          </w:p>
        </w:tc>
        <w:tc>
          <w:tcPr>
            <w:tcW w:w="4120" w:type="dxa"/>
            <w:vAlign w:val="bottom"/>
          </w:tcPr>
          <w:p>
            <w:pPr>
              <w:spacing w:after="0"/>
              <w:rPr>
                <w:sz w:val="20"/>
                <w:szCs w:val="20"/>
                <w:color w:val="auto"/>
              </w:rPr>
            </w:pPr>
          </w:p>
        </w:tc>
      </w:tr>
      <w:tr>
        <w:trPr>
          <w:trHeight w:val="410"/>
        </w:trPr>
        <w:tc>
          <w:tcPr>
            <w:tcW w:w="2260" w:type="dxa"/>
            <w:vAlign w:val="bottom"/>
          </w:tcPr>
          <w:p>
            <w:pPr>
              <w:spacing w:after="0"/>
              <w:rPr>
                <w:sz w:val="24"/>
                <w:szCs w:val="24"/>
                <w:color w:val="auto"/>
              </w:rPr>
            </w:pPr>
          </w:p>
        </w:tc>
        <w:tc>
          <w:tcPr>
            <w:tcW w:w="5040" w:type="dxa"/>
            <w:vAlign w:val="bottom"/>
            <w:gridSpan w:val="5"/>
          </w:tcPr>
          <w:p>
            <w:pPr>
              <w:jc w:val="center"/>
              <w:ind w:right="394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120" w:type="dxa"/>
            <w:vAlign w:val="bottom"/>
          </w:tcPr>
          <w:p>
            <w:pPr>
              <w:jc w:val="center"/>
              <w:ind w:right="139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216"/>
        </w:trPr>
        <w:tc>
          <w:tcPr>
            <w:tcW w:w="7300" w:type="dxa"/>
            <w:vAlign w:val="bottom"/>
            <w:gridSpan w:val="6"/>
          </w:tcPr>
          <w:p>
            <w:pPr>
              <w:jc w:val="center"/>
              <w:ind w:right="1680"/>
              <w:spacing w:after="0"/>
              <w:rPr>
                <w:sz w:val="20"/>
                <w:szCs w:val="20"/>
                <w:color w:val="auto"/>
              </w:rPr>
            </w:pPr>
            <w:r>
              <w:rPr>
                <w:rFonts w:ascii="Times New Roman" w:cs="Times New Roman" w:eastAsia="Times New Roman" w:hAnsi="Times New Roman"/>
                <w:sz w:val="18"/>
                <w:szCs w:val="18"/>
                <w:b w:val="1"/>
                <w:bCs w:val="1"/>
                <w:i w:val="1"/>
                <w:iCs w:val="1"/>
                <w:color w:val="auto"/>
                <w:w w:val="99"/>
              </w:rPr>
              <w:t>State or Other Jurisdiction of</w:t>
            </w:r>
          </w:p>
        </w:tc>
        <w:tc>
          <w:tcPr>
            <w:tcW w:w="4120" w:type="dxa"/>
            <w:vAlign w:val="bottom"/>
          </w:tcPr>
          <w:p>
            <w:pPr>
              <w:jc w:val="center"/>
              <w:ind w:right="1430"/>
              <w:spacing w:after="0"/>
              <w:rPr>
                <w:sz w:val="20"/>
                <w:szCs w:val="20"/>
                <w:color w:val="auto"/>
              </w:rPr>
            </w:pPr>
            <w:r>
              <w:rPr>
                <w:rFonts w:ascii="Times New Roman" w:cs="Times New Roman" w:eastAsia="Times New Roman" w:hAnsi="Times New Roman"/>
                <w:sz w:val="18"/>
                <w:szCs w:val="18"/>
                <w:b w:val="1"/>
                <w:bCs w:val="1"/>
                <w:i w:val="1"/>
                <w:iCs w:val="1"/>
                <w:color w:val="auto"/>
                <w:w w:val="99"/>
              </w:rPr>
              <w:t>(I.R.S. Employer</w:t>
            </w:r>
          </w:p>
        </w:tc>
      </w:tr>
      <w:tr>
        <w:trPr>
          <w:trHeight w:val="238"/>
        </w:trPr>
        <w:tc>
          <w:tcPr>
            <w:tcW w:w="7300" w:type="dxa"/>
            <w:vAlign w:val="bottom"/>
            <w:gridSpan w:val="6"/>
          </w:tcPr>
          <w:p>
            <w:pPr>
              <w:jc w:val="center"/>
              <w:ind w:right="1680"/>
              <w:spacing w:after="0"/>
              <w:rPr>
                <w:sz w:val="20"/>
                <w:szCs w:val="20"/>
                <w:color w:val="auto"/>
              </w:rPr>
            </w:pPr>
            <w:r>
              <w:rPr>
                <w:rFonts w:ascii="Times New Roman" w:cs="Times New Roman" w:eastAsia="Times New Roman" w:hAnsi="Times New Roman"/>
                <w:sz w:val="18"/>
                <w:szCs w:val="18"/>
                <w:b w:val="1"/>
                <w:bCs w:val="1"/>
                <w:i w:val="1"/>
                <w:iCs w:val="1"/>
                <w:color w:val="auto"/>
              </w:rPr>
              <w:t>Incorporation or Organization)</w:t>
            </w:r>
          </w:p>
        </w:tc>
        <w:tc>
          <w:tcPr>
            <w:tcW w:w="4120" w:type="dxa"/>
            <w:vAlign w:val="bottom"/>
          </w:tcPr>
          <w:p>
            <w:pPr>
              <w:jc w:val="center"/>
              <w:ind w:right="1370"/>
              <w:spacing w:after="0"/>
              <w:rPr>
                <w:sz w:val="20"/>
                <w:szCs w:val="20"/>
                <w:color w:val="auto"/>
              </w:rPr>
            </w:pPr>
            <w:r>
              <w:rPr>
                <w:rFonts w:ascii="Times New Roman" w:cs="Times New Roman" w:eastAsia="Times New Roman" w:hAnsi="Times New Roman"/>
                <w:sz w:val="18"/>
                <w:szCs w:val="18"/>
                <w:b w:val="1"/>
                <w:bCs w:val="1"/>
                <w:i w:val="1"/>
                <w:iCs w:val="1"/>
                <w:color w:val="auto"/>
                <w:w w:val="99"/>
              </w:rPr>
              <w:t>Identification No.)</w:t>
            </w:r>
          </w:p>
        </w:tc>
      </w:tr>
      <w:tr>
        <w:trPr>
          <w:trHeight w:val="410"/>
        </w:trPr>
        <w:tc>
          <w:tcPr>
            <w:tcW w:w="2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320" w:type="dxa"/>
            <w:vAlign w:val="bottom"/>
            <w:gridSpan w:val="3"/>
          </w:tcPr>
          <w:p>
            <w:pPr>
              <w:jc w:val="center"/>
              <w:ind w:left="1043"/>
              <w:spacing w:after="0"/>
              <w:rPr>
                <w:sz w:val="20"/>
                <w:szCs w:val="20"/>
                <w:color w:val="auto"/>
              </w:rPr>
            </w:pPr>
            <w:r>
              <w:rPr>
                <w:rFonts w:ascii="Times New Roman" w:cs="Times New Roman" w:eastAsia="Times New Roman" w:hAnsi="Times New Roman"/>
                <w:sz w:val="18"/>
                <w:szCs w:val="18"/>
                <w:b w:val="1"/>
                <w:bCs w:val="1"/>
                <w:color w:val="auto"/>
                <w:w w:val="99"/>
              </w:rPr>
              <w:t>25 Recreation Park Drive, Unit 108</w:t>
            </w:r>
          </w:p>
        </w:tc>
        <w:tc>
          <w:tcPr>
            <w:tcW w:w="4120" w:type="dxa"/>
            <w:vAlign w:val="bottom"/>
          </w:tcPr>
          <w:p>
            <w:pPr>
              <w:spacing w:after="0"/>
              <w:rPr>
                <w:sz w:val="24"/>
                <w:szCs w:val="24"/>
                <w:color w:val="auto"/>
              </w:rPr>
            </w:pPr>
          </w:p>
        </w:tc>
      </w:tr>
      <w:tr>
        <w:trPr>
          <w:trHeight w:val="216"/>
        </w:trPr>
        <w:tc>
          <w:tcPr>
            <w:tcW w:w="2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320" w:type="dxa"/>
            <w:vAlign w:val="bottom"/>
            <w:gridSpan w:val="3"/>
          </w:tcPr>
          <w:p>
            <w:pPr>
              <w:jc w:val="center"/>
              <w:ind w:left="1063"/>
              <w:spacing w:after="0"/>
              <w:rPr>
                <w:sz w:val="20"/>
                <w:szCs w:val="20"/>
                <w:color w:val="auto"/>
              </w:rPr>
            </w:pPr>
            <w:r>
              <w:rPr>
                <w:rFonts w:ascii="Times New Roman" w:cs="Times New Roman" w:eastAsia="Times New Roman" w:hAnsi="Times New Roman"/>
                <w:sz w:val="18"/>
                <w:szCs w:val="18"/>
                <w:b w:val="1"/>
                <w:bCs w:val="1"/>
                <w:color w:val="auto"/>
                <w:w w:val="99"/>
              </w:rPr>
              <w:t>Hingham, MA 02043</w:t>
            </w:r>
          </w:p>
        </w:tc>
        <w:tc>
          <w:tcPr>
            <w:tcW w:w="4120" w:type="dxa"/>
            <w:vAlign w:val="bottom"/>
          </w:tcPr>
          <w:p>
            <w:pPr>
              <w:spacing w:after="0"/>
              <w:rPr>
                <w:sz w:val="18"/>
                <w:szCs w:val="18"/>
                <w:color w:val="auto"/>
              </w:rPr>
            </w:pPr>
          </w:p>
        </w:tc>
      </w:tr>
      <w:tr>
        <w:trPr>
          <w:trHeight w:val="238"/>
        </w:trPr>
        <w:tc>
          <w:tcPr>
            <w:tcW w:w="2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320" w:type="dxa"/>
            <w:vAlign w:val="bottom"/>
            <w:gridSpan w:val="3"/>
          </w:tcPr>
          <w:p>
            <w:pPr>
              <w:jc w:val="center"/>
              <w:ind w:left="1043"/>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4120" w:type="dxa"/>
            <w:vAlign w:val="bottom"/>
          </w:tcPr>
          <w:p>
            <w:pPr>
              <w:spacing w:after="0"/>
              <w:rPr>
                <w:sz w:val="20"/>
                <w:szCs w:val="20"/>
                <w:color w:val="auto"/>
              </w:rPr>
            </w:pPr>
          </w:p>
        </w:tc>
      </w:tr>
      <w:tr>
        <w:trPr>
          <w:trHeight w:val="410"/>
        </w:trPr>
        <w:tc>
          <w:tcPr>
            <w:tcW w:w="2260" w:type="dxa"/>
            <w:vAlign w:val="bottom"/>
          </w:tcPr>
          <w:p>
            <w:pPr>
              <w:spacing w:after="0"/>
              <w:rPr>
                <w:sz w:val="24"/>
                <w:szCs w:val="24"/>
                <w:color w:val="auto"/>
              </w:rPr>
            </w:pPr>
          </w:p>
        </w:tc>
        <w:tc>
          <w:tcPr>
            <w:tcW w:w="5040" w:type="dxa"/>
            <w:vAlign w:val="bottom"/>
            <w:gridSpan w:val="5"/>
          </w:tcPr>
          <w:p>
            <w:pPr>
              <w:jc w:val="center"/>
              <w:ind w:left="1790"/>
              <w:spacing w:after="0"/>
              <w:rPr>
                <w:sz w:val="20"/>
                <w:szCs w:val="20"/>
                <w:color w:val="auto"/>
              </w:rPr>
            </w:pPr>
            <w:r>
              <w:rPr>
                <w:rFonts w:ascii="Times New Roman" w:cs="Times New Roman" w:eastAsia="Times New Roman" w:hAnsi="Times New Roman"/>
                <w:sz w:val="18"/>
                <w:szCs w:val="18"/>
                <w:b w:val="1"/>
                <w:bCs w:val="1"/>
                <w:color w:val="auto"/>
                <w:w w:val="99"/>
              </w:rPr>
              <w:t>(781) 875-3605</w:t>
            </w:r>
          </w:p>
        </w:tc>
        <w:tc>
          <w:tcPr>
            <w:tcW w:w="4120" w:type="dxa"/>
            <w:vAlign w:val="bottom"/>
          </w:tcPr>
          <w:p>
            <w:pPr>
              <w:spacing w:after="0"/>
              <w:rPr>
                <w:sz w:val="24"/>
                <w:szCs w:val="24"/>
                <w:color w:val="auto"/>
              </w:rPr>
            </w:pPr>
          </w:p>
        </w:tc>
      </w:tr>
      <w:tr>
        <w:trPr>
          <w:trHeight w:val="238"/>
        </w:trPr>
        <w:tc>
          <w:tcPr>
            <w:tcW w:w="2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40" w:type="dxa"/>
            <w:vAlign w:val="bottom"/>
            <w:gridSpan w:val="4"/>
          </w:tcPr>
          <w:p>
            <w:pPr>
              <w:jc w:val="center"/>
              <w:ind w:right="2870"/>
              <w:spacing w:after="0"/>
              <w:rPr>
                <w:sz w:val="20"/>
                <w:szCs w:val="20"/>
                <w:color w:val="auto"/>
              </w:rPr>
            </w:pPr>
            <w:r>
              <w:rPr>
                <w:rFonts w:ascii="Times New Roman" w:cs="Times New Roman" w:eastAsia="Times New Roman" w:hAnsi="Times New Roman"/>
                <w:sz w:val="18"/>
                <w:szCs w:val="18"/>
                <w:b w:val="1"/>
                <w:bCs w:val="1"/>
                <w:color w:val="auto"/>
                <w:w w:val="98"/>
              </w:rPr>
              <w:t>(Registrant’s Telephone Number, Including Area Code)</w:t>
            </w:r>
          </w:p>
        </w:tc>
      </w:tr>
      <w:tr>
        <w:trPr>
          <w:trHeight w:val="432"/>
        </w:trPr>
        <w:tc>
          <w:tcPr>
            <w:tcW w:w="7300" w:type="dxa"/>
            <w:vAlign w:val="bottom"/>
            <w:gridSpan w:val="6"/>
          </w:tcPr>
          <w:p>
            <w:pPr>
              <w:ind w:left="20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4120" w:type="dxa"/>
            <w:vAlign w:val="bottom"/>
          </w:tcPr>
          <w:p>
            <w:pPr>
              <w:spacing w:after="0"/>
              <w:rPr>
                <w:sz w:val="24"/>
                <w:szCs w:val="24"/>
                <w:color w:val="auto"/>
              </w:rPr>
            </w:pPr>
          </w:p>
        </w:tc>
      </w:tr>
      <w:tr>
        <w:trPr>
          <w:trHeight w:val="439"/>
        </w:trPr>
        <w:tc>
          <w:tcPr>
            <w:tcW w:w="226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320" w:type="dxa"/>
            <w:vAlign w:val="bottom"/>
            <w:gridSpan w:val="3"/>
          </w:tcPr>
          <w:p>
            <w:pPr>
              <w:jc w:val="center"/>
              <w:ind w:right="136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120" w:type="dxa"/>
            <w:vAlign w:val="bottom"/>
          </w:tcPr>
          <w:p>
            <w:pPr>
              <w:jc w:val="center"/>
              <w:ind w:right="1030"/>
              <w:spacing w:after="0"/>
              <w:rPr>
                <w:sz w:val="20"/>
                <w:szCs w:val="20"/>
                <w:color w:val="auto"/>
              </w:rPr>
            </w:pPr>
            <w:r>
              <w:rPr>
                <w:rFonts w:ascii="Times New Roman" w:cs="Times New Roman" w:eastAsia="Times New Roman" w:hAnsi="Times New Roman"/>
                <w:sz w:val="18"/>
                <w:szCs w:val="18"/>
                <w:color w:val="auto"/>
                <w:w w:val="99"/>
              </w:rPr>
              <w:t>Name of exchange on which registered</w:t>
            </w:r>
          </w:p>
        </w:tc>
      </w:tr>
      <w:tr>
        <w:trPr>
          <w:trHeight w:val="234"/>
        </w:trPr>
        <w:tc>
          <w:tcPr>
            <w:tcW w:w="2260" w:type="dxa"/>
            <w:vAlign w:val="bottom"/>
            <w:tcBorders>
              <w:top w:val="single" w:sz="8" w:color="auto"/>
            </w:tcBorders>
          </w:tcPr>
          <w:p>
            <w:pPr>
              <w:jc w:val="center"/>
              <w:ind w:left="410"/>
              <w:spacing w:after="0"/>
              <w:rPr>
                <w:sz w:val="20"/>
                <w:szCs w:val="20"/>
                <w:color w:val="auto"/>
              </w:rPr>
            </w:pPr>
            <w:r>
              <w:rPr>
                <w:rFonts w:ascii="Times New Roman" w:cs="Times New Roman" w:eastAsia="Times New Roman" w:hAnsi="Times New Roman"/>
                <w:sz w:val="18"/>
                <w:szCs w:val="18"/>
                <w:color w:val="auto"/>
                <w:w w:val="99"/>
              </w:rPr>
              <w:t>Common Stock</w:t>
            </w:r>
          </w:p>
        </w:tc>
        <w:tc>
          <w:tcPr>
            <w:tcW w:w="4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2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4120" w:type="dxa"/>
            <w:vAlign w:val="bottom"/>
            <w:tcBorders>
              <w:top w:val="single" w:sz="8" w:color="auto"/>
            </w:tcBorders>
          </w:tcPr>
          <w:p>
            <w:pPr>
              <w:jc w:val="center"/>
              <w:ind w:right="1030"/>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ind w:firstLine="189"/>
        <w:spacing w:after="0" w:line="266" w:lineRule="auto"/>
        <w:rPr>
          <w:sz w:val="20"/>
          <w:szCs w:val="20"/>
          <w:color w:val="auto"/>
        </w:rPr>
      </w:pPr>
      <w:r>
        <w:rPr>
          <w:rFonts w:ascii="Times New Roman" w:cs="Times New Roman" w:eastAsia="Times New Roman" w:hAnsi="Times New Roman"/>
          <w:sz w:val="18"/>
          <w:szCs w:val="18"/>
          <w:color w:val="auto"/>
        </w:rPr>
        <w:t>Indicate by check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76" w:lineRule="exact"/>
        <w:rPr>
          <w:sz w:val="24"/>
          <w:szCs w:val="24"/>
          <w:color w:val="auto"/>
        </w:rPr>
      </w:pPr>
    </w:p>
    <w:p>
      <w:pPr>
        <w:jc w:val="both"/>
        <w:ind w:firstLine="189"/>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Yes [X] No [ ]</w:t>
      </w:r>
    </w:p>
    <w:p>
      <w:pPr>
        <w:spacing w:after="0" w:line="176" w:lineRule="exact"/>
        <w:rPr>
          <w:sz w:val="24"/>
          <w:szCs w:val="24"/>
          <w:color w:val="auto"/>
        </w:rPr>
      </w:pPr>
    </w:p>
    <w:p>
      <w:pPr>
        <w:jc w:val="both"/>
        <w:ind w:right="20" w:firstLine="189"/>
        <w:spacing w:after="0" w:line="266" w:lineRule="auto"/>
        <w:rPr>
          <w:sz w:val="20"/>
          <w:szCs w:val="20"/>
          <w:color w:val="auto"/>
        </w:rPr>
      </w:pPr>
      <w:r>
        <w:rPr>
          <w:rFonts w:ascii="Times New Roman" w:cs="Times New Roman" w:eastAsia="Times New Roman" w:hAnsi="Times New Roman"/>
          <w:sz w:val="18"/>
          <w:szCs w:val="18"/>
          <w:color w:val="auto"/>
        </w:rPr>
        <w:t>Indicate by check mark whether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741" w:right="239" w:bottom="1440" w:gutter="0" w:footer="0" w:header="0"/>
        </w:sectPr>
      </w:pPr>
    </w:p>
    <w:p>
      <w:pPr>
        <w:spacing w:after="0" w:line="176"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color w:val="auto"/>
        </w:rPr>
        <w:t>Large accelerated filer [ ]</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Accelerated filer [ ]</w:t>
      </w:r>
    </w:p>
    <w:p>
      <w:pPr>
        <w:spacing w:after="0" w:line="200" w:lineRule="exact"/>
        <w:rPr>
          <w:sz w:val="24"/>
          <w:szCs w:val="24"/>
          <w:color w:val="auto"/>
        </w:rPr>
      </w:pPr>
    </w:p>
    <w:p>
      <w:pPr>
        <w:sectPr>
          <w:pgSz w:w="11900" w:h="16838" w:orient="portrait"/>
          <w:cols w:equalWidth="0" w:num="2">
            <w:col w:w="2720" w:space="720"/>
            <w:col w:w="7980"/>
          </w:cols>
          <w:pgMar w:left="240" w:top="741" w:right="239" w:bottom="1440" w:gutter="0" w:footer="0" w:header="0"/>
          <w:type w:val="continuous"/>
        </w:sectPr>
      </w:pPr>
    </w:p>
    <w:p>
      <w:pPr>
        <w:spacing w:after="0" w:line="25"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color w:val="auto"/>
        </w:rPr>
        <w:t>Non-accelerated filer [X]</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jc w:val="center"/>
        <w:ind w:right="940"/>
        <w:spacing w:after="0"/>
        <w:rPr>
          <w:sz w:val="20"/>
          <w:szCs w:val="20"/>
          <w:color w:val="auto"/>
        </w:rPr>
      </w:pPr>
      <w:r>
        <w:rPr>
          <w:rFonts w:ascii="Times New Roman" w:cs="Times New Roman" w:eastAsia="Times New Roman" w:hAnsi="Times New Roman"/>
          <w:sz w:val="17"/>
          <w:szCs w:val="17"/>
          <w:color w:val="auto"/>
        </w:rPr>
        <w:t>Smaller reporting company [X]</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color w:val="auto"/>
        </w:rPr>
        <w:t>Emerging growth company [ ]</w:t>
      </w:r>
    </w:p>
    <w:p>
      <w:pPr>
        <w:spacing w:after="0" w:line="200" w:lineRule="exact"/>
        <w:rPr>
          <w:sz w:val="24"/>
          <w:szCs w:val="24"/>
          <w:color w:val="auto"/>
        </w:rPr>
      </w:pPr>
    </w:p>
    <w:p>
      <w:pPr>
        <w:sectPr>
          <w:pgSz w:w="11900" w:h="16838" w:orient="portrait"/>
          <w:cols w:equalWidth="0" w:num="3">
            <w:col w:w="2720" w:space="720"/>
            <w:col w:w="3200" w:space="720"/>
            <w:col w:w="4060"/>
          </w:cols>
          <w:pgMar w:left="240" w:top="741" w:right="239" w:bottom="1440" w:gutter="0" w:footer="0" w:header="0"/>
          <w:type w:val="continuous"/>
        </w:sectPr>
      </w:pPr>
    </w:p>
    <w:p>
      <w:pPr>
        <w:spacing w:after="0" w:line="25" w:lineRule="exact"/>
        <w:rPr>
          <w:sz w:val="24"/>
          <w:szCs w:val="24"/>
          <w:color w:val="auto"/>
        </w:rPr>
      </w:pPr>
    </w:p>
    <w:p>
      <w:pPr>
        <w:ind w:firstLine="189"/>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62"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 Yes [ ] No [X]</w:t>
      </w:r>
    </w:p>
    <w:p>
      <w:pPr>
        <w:spacing w:after="0" w:line="225" w:lineRule="exact"/>
        <w:rPr>
          <w:sz w:val="24"/>
          <w:szCs w:val="24"/>
          <w:color w:val="auto"/>
        </w:rPr>
      </w:pPr>
    </w:p>
    <w:p>
      <w:pPr>
        <w:ind w:firstLine="189"/>
        <w:spacing w:after="0" w:line="282" w:lineRule="auto"/>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 4,307,666 shares of Common Stock, $0.01 par value at November 13,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466090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41"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0" w:type="dxa"/>
            <w:vAlign w:val="bottom"/>
            <w:gridSpan w:val="10"/>
          </w:tcPr>
          <w:p>
            <w:pPr>
              <w:jc w:val="center"/>
              <w:ind w:right="2140"/>
              <w:spacing w:after="0"/>
              <w:rPr>
                <w:sz w:val="20"/>
                <w:szCs w:val="20"/>
                <w:color w:val="auto"/>
              </w:rPr>
            </w:pPr>
            <w:r>
              <w:rPr>
                <w:rFonts w:ascii="Times New Roman" w:cs="Times New Roman" w:eastAsia="Times New Roman" w:hAnsi="Times New Roman"/>
                <w:sz w:val="18"/>
                <w:szCs w:val="18"/>
                <w:b w:val="1"/>
                <w:bCs w:val="1"/>
                <w:color w:val="auto"/>
                <w:w w:val="99"/>
              </w:rPr>
              <w:t>MICROBOT MEDICAL INC. AND SUBSIDIARIES</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60" w:type="dxa"/>
            <w:vAlign w:val="bottom"/>
            <w:gridSpan w:val="7"/>
          </w:tcPr>
          <w:p>
            <w:pPr>
              <w:jc w:val="center"/>
              <w:ind w:right="4180"/>
              <w:spacing w:after="0"/>
              <w:rPr>
                <w:sz w:val="20"/>
                <w:szCs w:val="20"/>
                <w:color w:val="auto"/>
              </w:rPr>
            </w:pPr>
            <w:r>
              <w:rPr>
                <w:rFonts w:ascii="Times New Roman" w:cs="Times New Roman" w:eastAsia="Times New Roman" w:hAnsi="Times New Roman"/>
                <w:sz w:val="18"/>
                <w:szCs w:val="18"/>
                <w:color w:val="auto"/>
              </w:rPr>
              <w:t>Index</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560" w:type="dxa"/>
            <w:vAlign w:val="bottom"/>
            <w:gridSpan w:val="19"/>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6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Item 1 - Financial Statements</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0" w:type="dxa"/>
            <w:vAlign w:val="bottom"/>
            <w:gridSpan w:val="18"/>
            <w:shd w:val="clear" w:color="auto" w:fill="CCEEFF"/>
          </w:tcPr>
          <w:p>
            <w:pPr>
              <w:spacing w:after="0" w:line="17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Interim Consolidated Balance Sheets as of September 30, 2019 (unaudited) and December 31, 2018 (audited)</w:t>
              </w:r>
            </w:hyperlink>
          </w:p>
        </w:tc>
        <w:tc>
          <w:tcPr>
            <w:tcW w:w="840" w:type="dxa"/>
            <w:vAlign w:val="bottom"/>
            <w:shd w:val="clear" w:color="auto" w:fill="CCEEFF"/>
          </w:tcPr>
          <w:p>
            <w:pPr>
              <w:ind w:left="400"/>
              <w:spacing w:after="0" w:line="176" w:lineRule="exact"/>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6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0" w:type="dxa"/>
            <w:vAlign w:val="bottom"/>
            <w:gridSpan w:val="18"/>
          </w:tcPr>
          <w:p>
            <w:pPr>
              <w:spacing w:after="0" w:line="17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Interim Consolidated Statements of Operations for the Three and Nine Months Ended September 30, 2019 and 2018 (unaudited)</w:t>
              </w:r>
            </w:hyperlink>
          </w:p>
        </w:tc>
        <w:tc>
          <w:tcPr>
            <w:tcW w:w="840" w:type="dxa"/>
            <w:vAlign w:val="bottom"/>
          </w:tcPr>
          <w:p>
            <w:pPr>
              <w:ind w:left="400"/>
              <w:spacing w:after="0" w:line="176" w:lineRule="exact"/>
              <w:rPr>
                <w:sz w:val="20"/>
                <w:szCs w:val="20"/>
                <w:color w:val="auto"/>
              </w:rPr>
            </w:pPr>
            <w:r>
              <w:rPr>
                <w:rFonts w:ascii="Times New Roman" w:cs="Times New Roman" w:eastAsia="Times New Roman" w:hAnsi="Times New Roman"/>
                <w:sz w:val="18"/>
                <w:szCs w:val="18"/>
                <w:color w:val="auto"/>
              </w:rPr>
              <w:t>F-2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6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0" w:type="dxa"/>
            <w:vAlign w:val="bottom"/>
            <w:gridSpan w:val="18"/>
            <w:shd w:val="clear" w:color="auto" w:fill="CCEEFF"/>
          </w:tcPr>
          <w:p>
            <w:pPr>
              <w:spacing w:after="0" w:line="17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Interim Consolidated Statements of Comprehensive Loss for the Three and Nine Months Ended September 30, 2019 and 2018 (unaudited)</w:t>
              </w:r>
            </w:hyperlink>
          </w:p>
        </w:tc>
        <w:tc>
          <w:tcPr>
            <w:tcW w:w="840" w:type="dxa"/>
            <w:vAlign w:val="bottom"/>
            <w:shd w:val="clear" w:color="auto" w:fill="CCEEFF"/>
          </w:tcPr>
          <w:p>
            <w:pPr>
              <w:ind w:left="400"/>
              <w:spacing w:after="0" w:line="176" w:lineRule="exact"/>
              <w:rPr>
                <w:sz w:val="20"/>
                <w:szCs w:val="20"/>
                <w:color w:val="auto"/>
              </w:rPr>
            </w:pPr>
            <w:r>
              <w:rPr>
                <w:rFonts w:ascii="Times New Roman" w:cs="Times New Roman" w:eastAsia="Times New Roman" w:hAnsi="Times New Roman"/>
                <w:sz w:val="18"/>
                <w:szCs w:val="18"/>
                <w:color w:val="auto"/>
              </w:rPr>
              <w:t>F-3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6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0" w:type="dxa"/>
            <w:vAlign w:val="bottom"/>
            <w:gridSpan w:val="18"/>
          </w:tcPr>
          <w:p>
            <w:pPr>
              <w:spacing w:after="0" w:line="17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Interim Consolidated Statements of Shareholders’ Equity for the Three and Nine Months Ended September 30, 2019 and 2018 (unaudited)</w:t>
              </w:r>
            </w:hyperlink>
          </w:p>
        </w:tc>
        <w:tc>
          <w:tcPr>
            <w:tcW w:w="840" w:type="dxa"/>
            <w:vAlign w:val="bottom"/>
          </w:tcPr>
          <w:p>
            <w:pPr>
              <w:ind w:left="400"/>
              <w:spacing w:after="0" w:line="176" w:lineRule="exact"/>
              <w:rPr>
                <w:sz w:val="20"/>
                <w:szCs w:val="20"/>
                <w:color w:val="auto"/>
              </w:rPr>
            </w:pPr>
            <w:r>
              <w:rPr>
                <w:rFonts w:ascii="Times New Roman" w:cs="Times New Roman" w:eastAsia="Times New Roman" w:hAnsi="Times New Roman"/>
                <w:sz w:val="18"/>
                <w:szCs w:val="18"/>
                <w:color w:val="auto"/>
              </w:rPr>
              <w:t>F-4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6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0" w:type="dxa"/>
            <w:vAlign w:val="bottom"/>
            <w:gridSpan w:val="18"/>
            <w:shd w:val="clear" w:color="auto" w:fill="CCEEFF"/>
          </w:tcPr>
          <w:p>
            <w:pPr>
              <w:spacing w:after="0" w:line="17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Interim Consolidated Statements of Cash Flows for the Nine Months Ended September 30, 2019 and 2018 (unaudited)</w:t>
              </w:r>
            </w:hyperlink>
          </w:p>
        </w:tc>
        <w:tc>
          <w:tcPr>
            <w:tcW w:w="840" w:type="dxa"/>
            <w:vAlign w:val="bottom"/>
            <w:shd w:val="clear" w:color="auto" w:fill="CCEEFF"/>
          </w:tcPr>
          <w:p>
            <w:pPr>
              <w:ind w:left="400"/>
              <w:spacing w:after="0" w:line="176" w:lineRule="exact"/>
              <w:rPr>
                <w:sz w:val="20"/>
                <w:szCs w:val="20"/>
                <w:color w:val="auto"/>
              </w:rPr>
            </w:pPr>
            <w:r>
              <w:rPr>
                <w:rFonts w:ascii="Times New Roman" w:cs="Times New Roman" w:eastAsia="Times New Roman" w:hAnsi="Times New Roman"/>
                <w:sz w:val="18"/>
                <w:szCs w:val="18"/>
                <w:color w:val="auto"/>
              </w:rPr>
              <w:t>F-5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8540" w:type="dxa"/>
            <w:vAlign w:val="bottom"/>
            <w:tcBorders>
              <w:top w:val="single" w:sz="8" w:color="0000EE"/>
            </w:tcBorders>
            <w:gridSpan w:val="14"/>
          </w:tcPr>
          <w:p>
            <w:pPr>
              <w:spacing w:after="0" w:line="176" w:lineRule="exact"/>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Notes to Interim Consolidated Financial Statements</w:t>
              </w:r>
            </w:hyperlink>
          </w:p>
        </w:tc>
        <w:tc>
          <w:tcPr>
            <w:tcW w:w="1860" w:type="dxa"/>
            <w:vAlign w:val="bottom"/>
            <w:tcBorders>
              <w:top w:val="single" w:sz="8" w:color="CCEEFF"/>
            </w:tcBorders>
            <w:gridSpan w:val="4"/>
          </w:tcPr>
          <w:p>
            <w:pPr>
              <w:spacing w:after="0"/>
              <w:rPr>
                <w:sz w:val="15"/>
                <w:szCs w:val="15"/>
                <w:color w:val="auto"/>
              </w:rPr>
            </w:pPr>
          </w:p>
        </w:tc>
        <w:tc>
          <w:tcPr>
            <w:tcW w:w="840" w:type="dxa"/>
            <w:vAlign w:val="bottom"/>
            <w:tcBorders>
              <w:top w:val="single" w:sz="8" w:color="CCEEFF"/>
            </w:tcBorders>
          </w:tcPr>
          <w:p>
            <w:pPr>
              <w:ind w:left="400"/>
              <w:spacing w:after="0" w:line="176" w:lineRule="exact"/>
              <w:rPr>
                <w:sz w:val="20"/>
                <w:szCs w:val="20"/>
                <w:color w:val="auto"/>
              </w:rPr>
            </w:pPr>
            <w:r>
              <w:rPr>
                <w:rFonts w:ascii="Times New Roman" w:cs="Times New Roman" w:eastAsia="Times New Roman" w:hAnsi="Times New Roman"/>
                <w:sz w:val="18"/>
                <w:szCs w:val="18"/>
                <w:color w:val="auto"/>
              </w:rPr>
              <w:t>F-6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560" w:type="dxa"/>
            <w:vAlign w:val="bottom"/>
            <w:gridSpan w:val="19"/>
            <w:shd w:val="clear" w:color="auto" w:fill="CCEEFF"/>
          </w:tcPr>
          <w:p>
            <w:pPr>
              <w:spacing w:after="0" w:line="176" w:lineRule="exact"/>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Item 2 - Management’s Discussion and Analysis of Financial Condition and Results of Operations</w:t>
              </w:r>
            </w:hyperlink>
          </w:p>
        </w:tc>
        <w:tc>
          <w:tcPr>
            <w:tcW w:w="840" w:type="dxa"/>
            <w:vAlign w:val="bottom"/>
            <w:shd w:val="clear" w:color="auto" w:fill="CCEEFF"/>
          </w:tcPr>
          <w:p>
            <w:pPr>
              <w:jc w:val="center"/>
              <w:ind w:left="110"/>
              <w:spacing w:after="0" w:line="176" w:lineRule="exact"/>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060" w:type="dxa"/>
            <w:vAlign w:val="bottom"/>
            <w:tcBorders>
              <w:top w:val="single" w:sz="8" w:color="0000EE"/>
            </w:tcBorders>
            <w:gridSpan w:val="13"/>
          </w:tcPr>
          <w:p>
            <w:pPr>
              <w:spacing w:after="0" w:line="176" w:lineRule="exact"/>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Item 3 – Quantitative and Qualitative Disclosures About Market Risk</w:t>
              </w:r>
            </w:hyperlink>
          </w:p>
        </w:tc>
        <w:tc>
          <w:tcPr>
            <w:tcW w:w="3500" w:type="dxa"/>
            <w:vAlign w:val="bottom"/>
            <w:tcBorders>
              <w:top w:val="single" w:sz="8" w:color="CCEEFF"/>
            </w:tcBorders>
            <w:gridSpan w:val="6"/>
          </w:tcPr>
          <w:p>
            <w:pPr>
              <w:spacing w:after="0"/>
              <w:rPr>
                <w:sz w:val="15"/>
                <w:szCs w:val="15"/>
                <w:color w:val="auto"/>
              </w:rPr>
            </w:pPr>
          </w:p>
        </w:tc>
        <w:tc>
          <w:tcPr>
            <w:tcW w:w="840" w:type="dxa"/>
            <w:vAlign w:val="bottom"/>
            <w:tcBorders>
              <w:top w:val="single" w:sz="8" w:color="CCEEFF"/>
            </w:tcBorders>
          </w:tcPr>
          <w:p>
            <w:pPr>
              <w:jc w:val="center"/>
              <w:ind w:left="110"/>
              <w:spacing w:after="0" w:line="176" w:lineRule="exact"/>
              <w:rPr>
                <w:sz w:val="20"/>
                <w:szCs w:val="20"/>
                <w:color w:val="auto"/>
              </w:rPr>
            </w:pPr>
            <w:r>
              <w:rPr>
                <w:rFonts w:ascii="Times New Roman" w:cs="Times New Roman" w:eastAsia="Times New Roman" w:hAnsi="Times New Roman"/>
                <w:sz w:val="18"/>
                <w:szCs w:val="18"/>
                <w:color w:val="auto"/>
                <w:w w:val="88"/>
              </w:rPr>
              <w:t>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380" w:type="dxa"/>
            <w:vAlign w:val="bottom"/>
            <w:tcBorders>
              <w:bottom w:val="single" w:sz="8" w:color="0000EE"/>
            </w:tcBorders>
            <w:gridSpan w:val="7"/>
            <w:shd w:val="clear" w:color="auto" w:fill="CCEEFF"/>
          </w:tcPr>
          <w:p>
            <w:pPr>
              <w:spacing w:after="0" w:line="176" w:lineRule="exact"/>
              <w:rPr>
                <w:rFonts w:ascii="Times New Roman" w:cs="Times New Roman" w:eastAsia="Times New Roman" w:hAnsi="Times New Roman"/>
                <w:sz w:val="18"/>
                <w:szCs w:val="18"/>
                <w:color w:val="0000EE"/>
                <w:w w:val="98"/>
              </w:rPr>
            </w:pPr>
            <w:hyperlink w:anchor="page27">
              <w:r>
                <w:rPr>
                  <w:rFonts w:ascii="Times New Roman" w:cs="Times New Roman" w:eastAsia="Times New Roman" w:hAnsi="Times New Roman"/>
                  <w:sz w:val="18"/>
                  <w:szCs w:val="18"/>
                  <w:color w:val="0000EE"/>
                  <w:w w:val="98"/>
                </w:rPr>
                <w:t>Item 4 - Controls and Procedures</w:t>
              </w:r>
            </w:hyperlink>
          </w:p>
        </w:tc>
        <w:tc>
          <w:tcPr>
            <w:tcW w:w="8180" w:type="dxa"/>
            <w:vAlign w:val="bottom"/>
            <w:tcBorders>
              <w:bottom w:val="single" w:sz="8" w:color="CCEEFF"/>
            </w:tcBorders>
            <w:gridSpan w:val="12"/>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center"/>
              <w:ind w:left="110"/>
              <w:spacing w:after="0" w:line="176" w:lineRule="exact"/>
              <w:rPr>
                <w:sz w:val="20"/>
                <w:szCs w:val="20"/>
                <w:color w:val="auto"/>
              </w:rPr>
            </w:pPr>
            <w:r>
              <w:rPr>
                <w:rFonts w:ascii="Times New Roman" w:cs="Times New Roman" w:eastAsia="Times New Roman" w:hAnsi="Times New Roman"/>
                <w:sz w:val="18"/>
                <w:szCs w:val="18"/>
                <w:color w:val="auto"/>
                <w:w w:val="88"/>
              </w:rPr>
              <w:t>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560" w:type="dxa"/>
            <w:vAlign w:val="bottom"/>
            <w:gridSpan w:val="19"/>
          </w:tcPr>
          <w:p>
            <w:pPr>
              <w:spacing w:after="0" w:line="176" w:lineRule="exact"/>
              <w:rPr>
                <w:rFonts w:ascii="Times New Roman" w:cs="Times New Roman" w:eastAsia="Times New Roman" w:hAnsi="Times New Roman"/>
                <w:sz w:val="18"/>
                <w:szCs w:val="18"/>
                <w:b w:val="1"/>
                <w:bCs w:val="1"/>
                <w:color w:val="0000EE"/>
              </w:rPr>
            </w:pPr>
            <w:hyperlink w:anchor="page27">
              <w:r>
                <w:rPr>
                  <w:rFonts w:ascii="Times New Roman" w:cs="Times New Roman" w:eastAsia="Times New Roman" w:hAnsi="Times New Roman"/>
                  <w:sz w:val="18"/>
                  <w:szCs w:val="18"/>
                  <w:b w:val="1"/>
                  <w:bCs w:val="1"/>
                  <w:color w:val="0000EE"/>
                </w:rPr>
                <w:t>Part II - Other Information</w:t>
              </w:r>
            </w:hyperlink>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940" w:type="dxa"/>
            <w:vAlign w:val="bottom"/>
            <w:tcBorders>
              <w:bottom w:val="single" w:sz="8" w:color="0000EE"/>
            </w:tcBorders>
            <w:gridSpan w:val="5"/>
            <w:shd w:val="clear" w:color="auto" w:fill="CCEEFF"/>
          </w:tcPr>
          <w:p>
            <w:pPr>
              <w:spacing w:after="0" w:line="176" w:lineRule="exact"/>
              <w:rPr>
                <w:rFonts w:ascii="Times New Roman" w:cs="Times New Roman" w:eastAsia="Times New Roman" w:hAnsi="Times New Roman"/>
                <w:sz w:val="18"/>
                <w:szCs w:val="18"/>
                <w:color w:val="0000EE"/>
                <w:w w:val="98"/>
              </w:rPr>
            </w:pPr>
            <w:hyperlink w:anchor="page27">
              <w:r>
                <w:rPr>
                  <w:rFonts w:ascii="Times New Roman" w:cs="Times New Roman" w:eastAsia="Times New Roman" w:hAnsi="Times New Roman"/>
                  <w:sz w:val="18"/>
                  <w:szCs w:val="18"/>
                  <w:color w:val="0000EE"/>
                  <w:w w:val="98"/>
                </w:rPr>
                <w:t>Item 1 - Legal Proceedings</w:t>
              </w:r>
            </w:hyperlink>
          </w:p>
        </w:tc>
        <w:tc>
          <w:tcPr>
            <w:tcW w:w="8620" w:type="dxa"/>
            <w:vAlign w:val="bottom"/>
            <w:tcBorders>
              <w:bottom w:val="single" w:sz="8" w:color="CCEEFF"/>
            </w:tcBorders>
            <w:gridSpan w:val="14"/>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center"/>
              <w:ind w:left="110"/>
              <w:spacing w:after="0" w:line="176" w:lineRule="exact"/>
              <w:rPr>
                <w:sz w:val="20"/>
                <w:szCs w:val="20"/>
                <w:color w:val="auto"/>
              </w:rPr>
            </w:pPr>
            <w:r>
              <w:rPr>
                <w:rFonts w:ascii="Times New Roman" w:cs="Times New Roman" w:eastAsia="Times New Roman" w:hAnsi="Times New Roman"/>
                <w:sz w:val="18"/>
                <w:szCs w:val="18"/>
                <w:color w:val="auto"/>
                <w:w w:val="88"/>
              </w:rPr>
              <w:t>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560" w:type="dxa"/>
            <w:vAlign w:val="bottom"/>
            <w:gridSpan w:val="19"/>
          </w:tcPr>
          <w:p>
            <w:pPr>
              <w:spacing w:after="0" w:line="176" w:lineRule="exact"/>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Item 2 – Unregistered Sales of Equity Securities and Use of Proceeds</w:t>
              </w:r>
            </w:hyperlink>
          </w:p>
        </w:tc>
        <w:tc>
          <w:tcPr>
            <w:tcW w:w="840" w:type="dxa"/>
            <w:vAlign w:val="bottom"/>
          </w:tcPr>
          <w:p>
            <w:pPr>
              <w:jc w:val="center"/>
              <w:ind w:left="90"/>
              <w:spacing w:after="0" w:line="176" w:lineRule="exact"/>
              <w:rPr>
                <w:sz w:val="20"/>
                <w:szCs w:val="20"/>
                <w:color w:val="auto"/>
              </w:rPr>
            </w:pPr>
            <w:r>
              <w:rPr>
                <w:rFonts w:ascii="Times New Roman" w:cs="Times New Roman" w:eastAsia="Times New Roman" w:hAnsi="Times New Roman"/>
                <w:sz w:val="18"/>
                <w:szCs w:val="18"/>
                <w:color w:val="auto"/>
                <w:w w:val="99"/>
              </w:rPr>
              <w:t>10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960" w:type="dxa"/>
            <w:vAlign w:val="bottom"/>
            <w:tcBorders>
              <w:bottom w:val="single" w:sz="8" w:color="0000EE"/>
            </w:tcBorders>
            <w:gridSpan w:val="9"/>
            <w:shd w:val="clear" w:color="auto" w:fill="CCEEFF"/>
          </w:tcPr>
          <w:p>
            <w:pPr>
              <w:spacing w:after="0" w:line="176" w:lineRule="exact"/>
              <w:rPr>
                <w:rFonts w:ascii="Times New Roman" w:cs="Times New Roman" w:eastAsia="Times New Roman" w:hAnsi="Times New Roman"/>
                <w:sz w:val="18"/>
                <w:szCs w:val="18"/>
                <w:color w:val="0000EE"/>
                <w:w w:val="98"/>
              </w:rPr>
            </w:pPr>
            <w:hyperlink w:anchor="page28">
              <w:r>
                <w:rPr>
                  <w:rFonts w:ascii="Times New Roman" w:cs="Times New Roman" w:eastAsia="Times New Roman" w:hAnsi="Times New Roman"/>
                  <w:sz w:val="18"/>
                  <w:szCs w:val="18"/>
                  <w:color w:val="0000EE"/>
                  <w:w w:val="98"/>
                </w:rPr>
                <w:t>Item 3 – Defaults Upon Senior Securities</w:t>
              </w:r>
            </w:hyperlink>
          </w:p>
        </w:tc>
        <w:tc>
          <w:tcPr>
            <w:tcW w:w="7600" w:type="dxa"/>
            <w:vAlign w:val="bottom"/>
            <w:tcBorders>
              <w:bottom w:val="single" w:sz="8" w:color="CCEEFF"/>
            </w:tcBorders>
            <w:gridSpan w:val="10"/>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center"/>
              <w:ind w:left="90"/>
              <w:spacing w:after="0" w:line="176" w:lineRule="exact"/>
              <w:rPr>
                <w:sz w:val="20"/>
                <w:szCs w:val="20"/>
                <w:color w:val="auto"/>
              </w:rPr>
            </w:pPr>
            <w:r>
              <w:rPr>
                <w:rFonts w:ascii="Times New Roman" w:cs="Times New Roman" w:eastAsia="Times New Roman" w:hAnsi="Times New Roman"/>
                <w:sz w:val="18"/>
                <w:szCs w:val="18"/>
                <w:color w:val="auto"/>
                <w:w w:val="99"/>
              </w:rPr>
              <w:t>10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560" w:type="dxa"/>
            <w:vAlign w:val="bottom"/>
            <w:gridSpan w:val="19"/>
          </w:tcPr>
          <w:p>
            <w:pPr>
              <w:spacing w:after="0" w:line="176" w:lineRule="exact"/>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Item 4 – Mine Safety Disclosures</w:t>
              </w:r>
            </w:hyperlink>
          </w:p>
        </w:tc>
        <w:tc>
          <w:tcPr>
            <w:tcW w:w="840" w:type="dxa"/>
            <w:vAlign w:val="bottom"/>
          </w:tcPr>
          <w:p>
            <w:pPr>
              <w:jc w:val="center"/>
              <w:ind w:left="90"/>
              <w:spacing w:after="0" w:line="176" w:lineRule="exact"/>
              <w:rPr>
                <w:sz w:val="20"/>
                <w:szCs w:val="20"/>
                <w:color w:val="auto"/>
              </w:rPr>
            </w:pPr>
            <w:r>
              <w:rPr>
                <w:rFonts w:ascii="Times New Roman" w:cs="Times New Roman" w:eastAsia="Times New Roman" w:hAnsi="Times New Roman"/>
                <w:sz w:val="18"/>
                <w:szCs w:val="18"/>
                <w:color w:val="auto"/>
                <w:w w:val="99"/>
              </w:rPr>
              <w:t>10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920" w:type="dxa"/>
            <w:vAlign w:val="bottom"/>
            <w:tcBorders>
              <w:bottom w:val="single" w:sz="8" w:color="0000EE"/>
            </w:tcBorders>
            <w:gridSpan w:val="4"/>
            <w:shd w:val="clear" w:color="auto" w:fill="CCEEFF"/>
          </w:tcPr>
          <w:p>
            <w:pPr>
              <w:spacing w:after="0" w:line="176" w:lineRule="exact"/>
              <w:rPr>
                <w:rFonts w:ascii="Times New Roman" w:cs="Times New Roman" w:eastAsia="Times New Roman" w:hAnsi="Times New Roman"/>
                <w:sz w:val="18"/>
                <w:szCs w:val="18"/>
                <w:color w:val="0000EE"/>
                <w:w w:val="98"/>
              </w:rPr>
            </w:pPr>
            <w:hyperlink w:anchor="page28">
              <w:r>
                <w:rPr>
                  <w:rFonts w:ascii="Times New Roman" w:cs="Times New Roman" w:eastAsia="Times New Roman" w:hAnsi="Times New Roman"/>
                  <w:sz w:val="18"/>
                  <w:szCs w:val="18"/>
                  <w:color w:val="0000EE"/>
                  <w:w w:val="98"/>
                </w:rPr>
                <w:t>Item 5 - Other Information</w:t>
              </w:r>
            </w:hyperlink>
          </w:p>
        </w:tc>
        <w:tc>
          <w:tcPr>
            <w:tcW w:w="8640" w:type="dxa"/>
            <w:vAlign w:val="bottom"/>
            <w:tcBorders>
              <w:bottom w:val="single" w:sz="8" w:color="CCEEFF"/>
            </w:tcBorders>
            <w:gridSpan w:val="15"/>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center"/>
              <w:ind w:left="90"/>
              <w:spacing w:after="0" w:line="176" w:lineRule="exact"/>
              <w:rPr>
                <w:sz w:val="20"/>
                <w:szCs w:val="20"/>
                <w:color w:val="auto"/>
              </w:rPr>
            </w:pPr>
            <w:r>
              <w:rPr>
                <w:rFonts w:ascii="Times New Roman" w:cs="Times New Roman" w:eastAsia="Times New Roman" w:hAnsi="Times New Roman"/>
                <w:sz w:val="18"/>
                <w:szCs w:val="18"/>
                <w:color w:val="auto"/>
                <w:w w:val="99"/>
              </w:rPr>
              <w:t>10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560" w:type="dxa"/>
            <w:vAlign w:val="bottom"/>
            <w:gridSpan w:val="19"/>
          </w:tcPr>
          <w:p>
            <w:pPr>
              <w:spacing w:after="0" w:line="176" w:lineRule="exact"/>
              <w:rPr>
                <w:rFonts w:ascii="Times New Roman" w:cs="Times New Roman" w:eastAsia="Times New Roman" w:hAnsi="Times New Roman"/>
                <w:sz w:val="18"/>
                <w:szCs w:val="18"/>
                <w:color w:val="0000EE"/>
              </w:rPr>
            </w:pPr>
            <w:hyperlink w:anchor="page28">
              <w:r>
                <w:rPr>
                  <w:rFonts w:ascii="Times New Roman" w:cs="Times New Roman" w:eastAsia="Times New Roman" w:hAnsi="Times New Roman"/>
                  <w:sz w:val="18"/>
                  <w:szCs w:val="18"/>
                  <w:color w:val="0000EE"/>
                </w:rPr>
                <w:t>Item 6 – Exhibits</w:t>
              </w:r>
            </w:hyperlink>
          </w:p>
        </w:tc>
        <w:tc>
          <w:tcPr>
            <w:tcW w:w="840" w:type="dxa"/>
            <w:vAlign w:val="bottom"/>
          </w:tcPr>
          <w:p>
            <w:pPr>
              <w:jc w:val="center"/>
              <w:ind w:left="90"/>
              <w:spacing w:after="0" w:line="176" w:lineRule="exact"/>
              <w:rPr>
                <w:sz w:val="20"/>
                <w:szCs w:val="20"/>
                <w:color w:val="auto"/>
              </w:rPr>
            </w:pPr>
            <w:r>
              <w:rPr>
                <w:rFonts w:ascii="Times New Roman" w:cs="Times New Roman" w:eastAsia="Times New Roman" w:hAnsi="Times New Roman"/>
                <w:sz w:val="18"/>
                <w:szCs w:val="18"/>
                <w:color w:val="auto"/>
                <w:w w:val="99"/>
              </w:rPr>
              <w:t>10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560" w:type="dxa"/>
            <w:vAlign w:val="bottom"/>
            <w:gridSpan w:val="19"/>
            <w:shd w:val="clear" w:color="auto" w:fill="CCEEFF"/>
          </w:tcPr>
          <w:p>
            <w:pPr>
              <w:spacing w:after="0" w:line="176" w:lineRule="exact"/>
              <w:rPr>
                <w:rFonts w:ascii="Times New Roman" w:cs="Times New Roman" w:eastAsia="Times New Roman" w:hAnsi="Times New Roman"/>
                <w:sz w:val="18"/>
                <w:szCs w:val="18"/>
                <w:b w:val="1"/>
                <w:bCs w:val="1"/>
                <w:color w:val="0000EE"/>
              </w:rPr>
            </w:pPr>
            <w:hyperlink w:anchor="page29">
              <w:r>
                <w:rPr>
                  <w:rFonts w:ascii="Times New Roman" w:cs="Times New Roman" w:eastAsia="Times New Roman" w:hAnsi="Times New Roman"/>
                  <w:sz w:val="18"/>
                  <w:szCs w:val="18"/>
                  <w:b w:val="1"/>
                  <w:bCs w:val="1"/>
                  <w:color w:val="0000EE"/>
                </w:rPr>
                <w:t>Signatures</w:t>
              </w:r>
            </w:hyperlink>
          </w:p>
        </w:tc>
        <w:tc>
          <w:tcPr>
            <w:tcW w:w="840" w:type="dxa"/>
            <w:vAlign w:val="bottom"/>
            <w:shd w:val="clear" w:color="auto" w:fill="CCEEFF"/>
          </w:tcPr>
          <w:p>
            <w:pPr>
              <w:jc w:val="center"/>
              <w:ind w:left="90"/>
              <w:spacing w:after="0" w:line="176" w:lineRule="exact"/>
              <w:rPr>
                <w:sz w:val="20"/>
                <w:szCs w:val="20"/>
                <w:color w:val="auto"/>
              </w:rPr>
            </w:pPr>
            <w:r>
              <w:rPr>
                <w:rFonts w:ascii="Times New Roman" w:cs="Times New Roman" w:eastAsia="Times New Roman" w:hAnsi="Times New Roman"/>
                <w:sz w:val="18"/>
                <w:szCs w:val="18"/>
                <w:color w:val="auto"/>
                <w:w w:val="99"/>
              </w:rPr>
              <w:t>11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Interim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rPr>
              <w:t>As of</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rPr>
              <w:t>As of</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880" w:type="dxa"/>
            <w:vAlign w:val="bottom"/>
            <w:gridSpan w:val="3"/>
          </w:tcPr>
          <w:p>
            <w:pPr>
              <w:jc w:val="center"/>
              <w:ind w:right="375"/>
              <w:spacing w:after="0"/>
              <w:rPr>
                <w:sz w:val="20"/>
                <w:szCs w:val="20"/>
                <w:color w:val="auto"/>
              </w:rPr>
            </w:pPr>
            <w:r>
              <w:rPr>
                <w:rFonts w:ascii="Times New Roman" w:cs="Times New Roman" w:eastAsia="Times New Roman" w:hAnsi="Times New Roman"/>
                <w:sz w:val="18"/>
                <w:szCs w:val="18"/>
                <w:color w:val="auto"/>
                <w:w w:val="99"/>
              </w:rPr>
              <w:t>Notes</w:t>
            </w:r>
          </w:p>
        </w:tc>
        <w:tc>
          <w:tcPr>
            <w:tcW w:w="210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w w:val="99"/>
              </w:rPr>
              <w:t>September 30, 2019</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auto"/>
              </w:rPr>
              <w:t>December 31, 2018</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38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780" w:type="dxa"/>
            <w:vAlign w:val="bottom"/>
            <w:tcBorders>
              <w:top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rPr>
              <w:t>(Unaudited)</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760" w:type="dxa"/>
            <w:vAlign w:val="bottom"/>
            <w:tcBorders>
              <w:top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(Audited)</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140" w:type="dxa"/>
            <w:vAlign w:val="bottom"/>
            <w:gridSpan w:val="7"/>
          </w:tcPr>
          <w:p>
            <w:pPr>
              <w:jc w:val="right"/>
              <w:ind w:right="1700"/>
              <w:spacing w:after="0"/>
              <w:rPr>
                <w:sz w:val="20"/>
                <w:szCs w:val="20"/>
                <w:color w:val="auto"/>
              </w:rPr>
            </w:pPr>
            <w:r>
              <w:rPr>
                <w:rFonts w:ascii="Times New Roman" w:cs="Times New Roman" w:eastAsia="Times New Roman" w:hAnsi="Times New Roman"/>
                <w:sz w:val="18"/>
                <w:szCs w:val="18"/>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2740"/>
              <w:spacing w:after="0"/>
              <w:rPr>
                <w:sz w:val="20"/>
                <w:szCs w:val="20"/>
                <w:color w:val="auto"/>
              </w:rPr>
            </w:pPr>
            <w:r>
              <w:rPr>
                <w:rFonts w:ascii="Times New Roman" w:cs="Times New Roman" w:eastAsia="Times New Roman" w:hAnsi="Times New Roman"/>
                <w:sz w:val="18"/>
                <w:szCs w:val="18"/>
                <w:color w:val="auto"/>
              </w:rPr>
              <w:t>ASSETS</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80" w:type="dxa"/>
            <w:vAlign w:val="bottom"/>
            <w:gridSpan w:val="3"/>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3,548</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Short term investment</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2,503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Restricted cash</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4,250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186</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4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10,487</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Operating right-of-use assets</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421</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4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11,123</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Accounts payables</w:t>
            </w:r>
          </w:p>
        </w:tc>
        <w:tc>
          <w:tcPr>
            <w:tcW w:w="880" w:type="dxa"/>
            <w:vAlign w:val="bottom"/>
            <w:gridSpan w:val="3"/>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282</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Provision for extinguishment dispute</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3,553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Lease liabilities</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314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liabilities</w:t>
            </w: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440</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4,589</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 current liabilities:</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131</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4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38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Common stock; $0.01 par value; 60,000,000 shares authorized as of September 30,</w:t>
            </w: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2019 and December 31, 2018 4,307,666 and 3,012,343 shares issued and</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outstanding as of September 30, 2019 and December 31, 2018</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Additional paid-in capital (*)</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42,976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32,538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Treasury shares</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(3,375)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(3,375)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Accumulated deficit</w:t>
            </w: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(33,241)</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(27,864)</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3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46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6,403</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11,123</w:t>
            </w:r>
          </w:p>
        </w:tc>
        <w:tc>
          <w:tcPr>
            <w:tcW w:w="3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The Company adopted ASU 2017-11 using the full retrospective approach. Refer to Note 6 for further information.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interim consolidated financial statements.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Interim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0" w:type="dxa"/>
            <w:vAlign w:val="bottom"/>
            <w:gridSpan w:val="6"/>
          </w:tcPr>
          <w:p>
            <w:pPr>
              <w:jc w:val="center"/>
              <w:ind w:right="300"/>
              <w:spacing w:after="0"/>
              <w:rPr>
                <w:sz w:val="20"/>
                <w:szCs w:val="20"/>
                <w:color w:val="auto"/>
              </w:rPr>
            </w:pPr>
            <w:r>
              <w:rPr>
                <w:rFonts w:ascii="Times New Roman" w:cs="Times New Roman" w:eastAsia="Times New Roman" w:hAnsi="Times New Roman"/>
                <w:sz w:val="18"/>
                <w:szCs w:val="18"/>
                <w:color w:val="auto"/>
              </w:rPr>
              <w:t>For the Three Months Ended September</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40" w:type="dxa"/>
            <w:vAlign w:val="bottom"/>
            <w:gridSpan w:val="6"/>
          </w:tcPr>
          <w:p>
            <w:pPr>
              <w:jc w:val="right"/>
              <w:ind w:right="220"/>
              <w:spacing w:after="0"/>
              <w:rPr>
                <w:sz w:val="20"/>
                <w:szCs w:val="20"/>
                <w:color w:val="auto"/>
              </w:rPr>
            </w:pPr>
            <w:r>
              <w:rPr>
                <w:rFonts w:ascii="Times New Roman" w:cs="Times New Roman" w:eastAsia="Times New Roman" w:hAnsi="Times New Roman"/>
                <w:sz w:val="18"/>
                <w:szCs w:val="18"/>
                <w:color w:val="auto"/>
                <w:w w:val="99"/>
              </w:rPr>
              <w:t>For the Nine Months Ended September</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30,</w:t>
            </w: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2019</w:t>
            </w:r>
          </w:p>
        </w:tc>
        <w:tc>
          <w:tcPr>
            <w:tcW w:w="6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2018(*)</w:t>
            </w:r>
          </w:p>
        </w:tc>
        <w:tc>
          <w:tcPr>
            <w:tcW w:w="20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2019</w:t>
            </w:r>
          </w:p>
        </w:tc>
        <w:tc>
          <w:tcPr>
            <w:tcW w:w="3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2018(*)</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2,207</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tcPr>
          <w:p>
            <w:pPr>
              <w:spacing w:after="0"/>
              <w:rPr>
                <w:sz w:val="20"/>
                <w:szCs w:val="20"/>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948</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1,130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3,045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3,294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loss</w:t>
            </w:r>
          </w:p>
        </w:tc>
        <w:tc>
          <w:tcPr>
            <w:tcW w:w="1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w:t>
            </w: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(5,252)</w:t>
            </w: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(5,160)</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Financing income (expenses), net</w:t>
            </w: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(125)</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w:t>
            </w:r>
          </w:p>
        </w:tc>
        <w:tc>
          <w:tcPr>
            <w:tcW w:w="5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(1,758)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(5,377)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5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(0.60)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Borders>
              <w:top w:val="single" w:sz="8" w:color="CCEEFF"/>
              <w:bottom w:val="single" w:sz="8" w:color="CCEEFF"/>
            </w:tcBorders>
            <w:vMerge w:val="restart"/>
          </w:tcPr>
          <w:p>
            <w:pPr>
              <w:spacing w:after="0" w:line="191" w:lineRule="exact"/>
              <w:rPr>
                <w:sz w:val="20"/>
                <w:szCs w:val="20"/>
                <w:color w:val="auto"/>
              </w:rPr>
            </w:pPr>
            <w:r>
              <w:rPr>
                <w:rFonts w:ascii="Times New Roman" w:cs="Times New Roman" w:eastAsia="Times New Roman" w:hAnsi="Times New Roman"/>
                <w:sz w:val="18"/>
                <w:szCs w:val="18"/>
                <w:color w:val="auto"/>
              </w:rPr>
              <w:t>Basic and diluted weighted average common shares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48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1"/>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outstanding</w:t>
            </w:r>
          </w:p>
        </w:tc>
        <w:tc>
          <w:tcPr>
            <w:tcW w:w="1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4,307,666</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2,947,633</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4,234,663</w:t>
            </w:r>
          </w:p>
        </w:tc>
        <w:tc>
          <w:tcPr>
            <w:tcW w:w="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2,876,020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Reclassified</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interim consolidated financial statements.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Interim 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0" w:type="dxa"/>
            <w:vAlign w:val="bottom"/>
            <w:gridSpan w:val="6"/>
          </w:tcPr>
          <w:p>
            <w:pPr>
              <w:jc w:val="center"/>
              <w:ind w:right="220"/>
              <w:spacing w:after="0"/>
              <w:rPr>
                <w:sz w:val="20"/>
                <w:szCs w:val="20"/>
                <w:color w:val="auto"/>
              </w:rPr>
            </w:pPr>
            <w:r>
              <w:rPr>
                <w:rFonts w:ascii="Times New Roman" w:cs="Times New Roman" w:eastAsia="Times New Roman" w:hAnsi="Times New Roman"/>
                <w:sz w:val="18"/>
                <w:szCs w:val="18"/>
                <w:color w:val="auto"/>
              </w:rPr>
              <w:t>For the Three Months Ended September</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40" w:type="dxa"/>
            <w:vAlign w:val="bottom"/>
            <w:gridSpan w:val="6"/>
          </w:tcPr>
          <w:p>
            <w:pPr>
              <w:jc w:val="right"/>
              <w:ind w:right="220"/>
              <w:spacing w:after="0"/>
              <w:rPr>
                <w:sz w:val="20"/>
                <w:szCs w:val="20"/>
                <w:color w:val="auto"/>
              </w:rPr>
            </w:pPr>
            <w:r>
              <w:rPr>
                <w:rFonts w:ascii="Times New Roman" w:cs="Times New Roman" w:eastAsia="Times New Roman" w:hAnsi="Times New Roman"/>
                <w:sz w:val="18"/>
                <w:szCs w:val="18"/>
                <w:color w:val="auto"/>
                <w:w w:val="99"/>
              </w:rPr>
              <w:t>For the Nine Months Ended September</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30,</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2019</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2018</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2019</w:t>
            </w:r>
          </w:p>
        </w:tc>
        <w:tc>
          <w:tcPr>
            <w:tcW w:w="3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2018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w:t>
            </w:r>
          </w:p>
        </w:tc>
        <w:tc>
          <w:tcPr>
            <w:tcW w:w="5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(1,758)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(5,377)</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unrealized loss (gain) on available for sale securities</w:t>
            </w:r>
          </w:p>
        </w:tc>
        <w:tc>
          <w:tcPr>
            <w:tcW w:w="10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(1,874</w:t>
            </w:r>
          </w:p>
        </w:tc>
        <w:tc>
          <w:tcPr>
            <w:tcW w:w="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200" w:type="dxa"/>
            <w:vAlign w:val="bottom"/>
            <w:tcBorders>
              <w:top w:val="single" w:sz="8" w:color="CCEEFF"/>
            </w:tcBorders>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(5,377</w:t>
            </w:r>
          </w:p>
        </w:tc>
        <w:tc>
          <w:tcPr>
            <w:tcW w:w="320" w:type="dxa"/>
            <w:vAlign w:val="bottom"/>
            <w:tcBorders>
              <w:top w:val="single" w:sz="8" w:color="CCEEFF"/>
            </w:tcBorders>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(5,134</w:t>
            </w:r>
          </w:p>
        </w:tc>
        <w:tc>
          <w:tcPr>
            <w:tcW w:w="10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Represents amount less than 1 thousand.</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interim consolidated financial statements.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Interim 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Accumulated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20" w:type="dxa"/>
            <w:vAlign w:val="bottom"/>
            <w:gridSpan w:val="5"/>
            <w:vMerge w:val="restart"/>
          </w:tcPr>
          <w:p>
            <w:pPr>
              <w:ind w:left="140"/>
              <w:spacing w:after="0"/>
              <w:rPr>
                <w:sz w:val="20"/>
                <w:szCs w:val="20"/>
                <w:color w:val="auto"/>
              </w:rPr>
            </w:pPr>
            <w:r>
              <w:rPr>
                <w:rFonts w:ascii="Times New Roman" w:cs="Times New Roman" w:eastAsia="Times New Roman" w:hAnsi="Times New Roman"/>
                <w:sz w:val="13"/>
                <w:szCs w:val="13"/>
                <w:color w:val="auto"/>
              </w:rPr>
              <w:t>Common Stock(***)</w:t>
            </w:r>
          </w:p>
        </w:tc>
        <w:tc>
          <w:tcPr>
            <w:tcW w:w="100" w:type="dxa"/>
            <w:vAlign w:val="bottom"/>
          </w:tcPr>
          <w:p>
            <w:pPr>
              <w:spacing w:after="0"/>
              <w:rPr>
                <w:sz w:val="11"/>
                <w:szCs w:val="11"/>
                <w:color w:val="auto"/>
              </w:rPr>
            </w:pPr>
          </w:p>
        </w:tc>
        <w:tc>
          <w:tcPr>
            <w:tcW w:w="66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color w:val="auto"/>
              </w:rPr>
              <w:t>Additional</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rPr>
              <w:t>Other</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color w:val="auto"/>
                <w:w w:val="94"/>
              </w:rPr>
              <w:t>Total</w:t>
            </w:r>
          </w:p>
        </w:tc>
        <w:tc>
          <w:tcPr>
            <w:tcW w:w="700" w:type="dxa"/>
            <w:vAlign w:val="bottom"/>
            <w:gridSpan w:val="4"/>
          </w:tcPr>
          <w:p>
            <w:pPr>
              <w:ind w:left="60"/>
              <w:spacing w:after="0" w:line="135" w:lineRule="exact"/>
              <w:rPr>
                <w:sz w:val="20"/>
                <w:szCs w:val="20"/>
                <w:color w:val="auto"/>
              </w:rPr>
            </w:pPr>
            <w:r>
              <w:rPr>
                <w:rFonts w:ascii="Times New Roman" w:cs="Times New Roman" w:eastAsia="Times New Roman" w:hAnsi="Times New Roman"/>
                <w:sz w:val="13"/>
                <w:szCs w:val="13"/>
                <w:color w:val="auto"/>
              </w:rPr>
              <w:t>Temporary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1260" w:type="dxa"/>
            <w:vAlign w:val="bottom"/>
            <w:gridSpan w:val="5"/>
          </w:tcPr>
          <w:p>
            <w:pPr>
              <w:jc w:val="right"/>
              <w:ind w:right="340"/>
              <w:spacing w:after="0"/>
              <w:rPr>
                <w:sz w:val="20"/>
                <w:szCs w:val="20"/>
                <w:color w:val="auto"/>
              </w:rPr>
            </w:pPr>
            <w:r>
              <w:rPr>
                <w:rFonts w:ascii="Times New Roman" w:cs="Times New Roman" w:eastAsia="Times New Roman" w:hAnsi="Times New Roman"/>
                <w:sz w:val="13"/>
                <w:szCs w:val="13"/>
                <w:color w:val="auto"/>
              </w:rPr>
              <w:t>Series A Shares</w:t>
            </w:r>
          </w:p>
        </w:tc>
        <w:tc>
          <w:tcPr>
            <w:tcW w:w="1420" w:type="dxa"/>
            <w:vAlign w:val="bottom"/>
            <w:gridSpan w:val="5"/>
            <w:vMerge w:val="continue"/>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w w:val="93"/>
              </w:rPr>
              <w:t>Paid-In</w:t>
            </w:r>
          </w:p>
        </w:tc>
        <w:tc>
          <w:tcPr>
            <w:tcW w:w="60" w:type="dxa"/>
            <w:vAlign w:val="bottom"/>
          </w:tcPr>
          <w:p>
            <w:pPr>
              <w:spacing w:after="0"/>
              <w:rPr>
                <w:sz w:val="15"/>
                <w:szCs w:val="15"/>
                <w:color w:val="auto"/>
              </w:rPr>
            </w:pPr>
          </w:p>
        </w:tc>
        <w:tc>
          <w:tcPr>
            <w:tcW w:w="720" w:type="dxa"/>
            <w:vAlign w:val="bottom"/>
            <w:gridSpan w:val="3"/>
          </w:tcPr>
          <w:p>
            <w:pPr>
              <w:jc w:val="right"/>
              <w:ind w:right="198"/>
              <w:spacing w:after="0"/>
              <w:rPr>
                <w:sz w:val="20"/>
                <w:szCs w:val="20"/>
                <w:color w:val="auto"/>
              </w:rPr>
            </w:pPr>
            <w:r>
              <w:rPr>
                <w:rFonts w:ascii="Times New Roman" w:cs="Times New Roman" w:eastAsia="Times New Roman" w:hAnsi="Times New Roman"/>
                <w:sz w:val="13"/>
                <w:szCs w:val="13"/>
                <w:color w:val="auto"/>
                <w:w w:val="99"/>
              </w:rPr>
              <w:t>Treasury</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Comprehensive</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4"/>
          </w:tcPr>
          <w:p>
            <w:pPr>
              <w:ind w:left="100"/>
              <w:spacing w:after="0"/>
              <w:rPr>
                <w:sz w:val="20"/>
                <w:szCs w:val="20"/>
                <w:color w:val="auto"/>
              </w:rPr>
            </w:pPr>
            <w:r>
              <w:rPr>
                <w:rFonts w:ascii="Times New Roman" w:cs="Times New Roman" w:eastAsia="Times New Roman" w:hAnsi="Times New Roman"/>
                <w:sz w:val="13"/>
                <w:szCs w:val="13"/>
                <w:color w:val="auto"/>
              </w:rPr>
              <w:t>Accumulated</w:t>
            </w:r>
          </w:p>
        </w:tc>
        <w:tc>
          <w:tcPr>
            <w:tcW w:w="140" w:type="dxa"/>
            <w:vAlign w:val="bottom"/>
          </w:tcPr>
          <w:p>
            <w:pPr>
              <w:spacing w:after="0"/>
              <w:rPr>
                <w:sz w:val="15"/>
                <w:szCs w:val="15"/>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color w:val="auto"/>
                <w:w w:val="96"/>
              </w:rPr>
              <w:t>Stockholders’</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w w:val="97"/>
              </w:rPr>
              <w:t>Equity</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620" w:type="dxa"/>
            <w:vAlign w:val="bottom"/>
            <w:tcBorders>
              <w:top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Shares</w:t>
            </w:r>
          </w:p>
        </w:tc>
        <w:tc>
          <w:tcPr>
            <w:tcW w:w="4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color w:val="auto"/>
                <w:w w:val="93"/>
              </w:rPr>
              <w:t>Amount</w:t>
            </w:r>
          </w:p>
        </w:tc>
        <w:tc>
          <w:tcPr>
            <w:tcW w:w="200" w:type="dxa"/>
            <w:vAlign w:val="bottom"/>
          </w:tcPr>
          <w:p>
            <w:pPr>
              <w:spacing w:after="0"/>
              <w:rPr>
                <w:sz w:val="13"/>
                <w:szCs w:val="13"/>
                <w:color w:val="auto"/>
              </w:rPr>
            </w:pPr>
          </w:p>
        </w:tc>
        <w:tc>
          <w:tcPr>
            <w:tcW w:w="80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3"/>
                <w:szCs w:val="13"/>
                <w:color w:val="auto"/>
              </w:rPr>
              <w:t>Shares</w:t>
            </w:r>
          </w:p>
        </w:tc>
        <w:tc>
          <w:tcPr>
            <w:tcW w:w="6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89"/>
              </w:rPr>
              <w:t>Amount</w:t>
            </w:r>
          </w:p>
        </w:tc>
        <w:tc>
          <w:tcPr>
            <w:tcW w:w="80" w:type="dxa"/>
            <w:vAlign w:val="bottom"/>
          </w:tcPr>
          <w:p>
            <w:pPr>
              <w:spacing w:after="0"/>
              <w:rPr>
                <w:sz w:val="13"/>
                <w:szCs w:val="13"/>
                <w:color w:val="auto"/>
              </w:rPr>
            </w:pPr>
          </w:p>
        </w:tc>
        <w:tc>
          <w:tcPr>
            <w:tcW w:w="760" w:type="dxa"/>
            <w:vAlign w:val="bottom"/>
            <w:gridSpan w:val="4"/>
          </w:tcPr>
          <w:p>
            <w:pPr>
              <w:ind w:left="100"/>
              <w:spacing w:after="0"/>
              <w:rPr>
                <w:sz w:val="20"/>
                <w:szCs w:val="20"/>
                <w:color w:val="auto"/>
              </w:rPr>
            </w:pPr>
            <w:r>
              <w:rPr>
                <w:rFonts w:ascii="Times New Roman" w:cs="Times New Roman" w:eastAsia="Times New Roman" w:hAnsi="Times New Roman"/>
                <w:sz w:val="13"/>
                <w:szCs w:val="13"/>
                <w:color w:val="auto"/>
              </w:rPr>
              <w:t>Capital (2)</w:t>
            </w:r>
          </w:p>
        </w:tc>
        <w:tc>
          <w:tcPr>
            <w:tcW w:w="780" w:type="dxa"/>
            <w:vAlign w:val="bottom"/>
            <w:gridSpan w:val="4"/>
          </w:tcPr>
          <w:p>
            <w:pPr>
              <w:ind w:left="60"/>
              <w:spacing w:after="0"/>
              <w:rPr>
                <w:sz w:val="20"/>
                <w:szCs w:val="20"/>
                <w:color w:val="auto"/>
              </w:rPr>
            </w:pPr>
            <w:r>
              <w:rPr>
                <w:rFonts w:ascii="Times New Roman" w:cs="Times New Roman" w:eastAsia="Times New Roman" w:hAnsi="Times New Roman"/>
                <w:sz w:val="13"/>
                <w:szCs w:val="13"/>
                <w:color w:val="auto"/>
              </w:rPr>
              <w:t>Shares (1)</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89"/>
              </w:rPr>
              <w:t>Loss</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jc w:val="right"/>
              <w:ind w:right="198"/>
              <w:spacing w:after="0"/>
              <w:rPr>
                <w:sz w:val="20"/>
                <w:szCs w:val="20"/>
                <w:color w:val="auto"/>
              </w:rPr>
            </w:pPr>
            <w:r>
              <w:rPr>
                <w:rFonts w:ascii="Times New Roman" w:cs="Times New Roman" w:eastAsia="Times New Roman" w:hAnsi="Times New Roman"/>
                <w:sz w:val="13"/>
                <w:szCs w:val="13"/>
                <w:color w:val="auto"/>
                <w:w w:val="95"/>
              </w:rPr>
              <w:t>Deficit (2)</w:t>
            </w:r>
          </w:p>
        </w:tc>
        <w:tc>
          <w:tcPr>
            <w:tcW w:w="140" w:type="dxa"/>
            <w:vAlign w:val="bottom"/>
          </w:tcPr>
          <w:p>
            <w:pPr>
              <w:spacing w:after="0"/>
              <w:rPr>
                <w:sz w:val="13"/>
                <w:szCs w:val="13"/>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color w:val="auto"/>
                <w:w w:val="97"/>
              </w:rPr>
              <w:t>Equity</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34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3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Balances, December 31, 2017</w:t>
            </w:r>
          </w:p>
        </w:tc>
        <w:tc>
          <w:tcPr>
            <w:tcW w:w="62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4,001</w:t>
            </w:r>
          </w:p>
        </w:tc>
        <w:tc>
          <w:tcPr>
            <w:tcW w:w="1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2,734,300</w:t>
            </w: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27</w:t>
            </w:r>
          </w:p>
        </w:tc>
        <w:tc>
          <w:tcPr>
            <w:tcW w:w="180" w:type="dxa"/>
            <w:vAlign w:val="bottom"/>
            <w:gridSpan w:val="2"/>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30,569</w:t>
            </w:r>
          </w:p>
        </w:tc>
        <w:tc>
          <w:tcPr>
            <w:tcW w:w="200" w:type="dxa"/>
            <w:vAlign w:val="bottom"/>
            <w:gridSpan w:val="2"/>
            <w:shd w:val="clear" w:color="auto" w:fill="CCEEFF"/>
          </w:tcPr>
          <w:p>
            <w:pPr>
              <w:ind w:lef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shd w:val="clear" w:color="auto" w:fill="CCEEFF"/>
          </w:tcPr>
          <w:p>
            <w:pPr>
              <w:jc w:val="right"/>
              <w:ind w:right="158"/>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ind w:right="704"/>
              <w:spacing w:after="0"/>
              <w:rPr>
                <w:sz w:val="20"/>
                <w:szCs w:val="20"/>
                <w:color w:val="auto"/>
              </w:rPr>
            </w:pPr>
            <w:r>
              <w:rPr>
                <w:rFonts w:ascii="Times New Roman" w:cs="Times New Roman" w:eastAsia="Times New Roman" w:hAnsi="Times New Roman"/>
                <w:sz w:val="11"/>
                <w:szCs w:val="11"/>
                <w:color w:val="auto"/>
                <w:w w:val="71"/>
              </w:rPr>
              <w:t>$</w:t>
            </w:r>
          </w:p>
        </w:tc>
        <w:tc>
          <w:tcPr>
            <w:tcW w:w="14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shd w:val="clear" w:color="auto" w:fill="CCEEFF"/>
          </w:tcPr>
          <w:p>
            <w:pPr>
              <w:jc w:val="right"/>
              <w:ind w:right="98"/>
              <w:spacing w:after="0" w:line="135" w:lineRule="exact"/>
              <w:rPr>
                <w:sz w:val="20"/>
                <w:szCs w:val="20"/>
                <w:color w:val="auto"/>
              </w:rPr>
            </w:pPr>
            <w:r>
              <w:rPr>
                <w:rFonts w:ascii="Times New Roman" w:cs="Times New Roman" w:eastAsia="Times New Roman" w:hAnsi="Times New Roman"/>
                <w:sz w:val="13"/>
                <w:szCs w:val="13"/>
                <w:color w:val="auto"/>
              </w:rPr>
              <w:t>(20,604)</w:t>
            </w:r>
          </w:p>
        </w:tc>
        <w:tc>
          <w:tcPr>
            <w:tcW w:w="1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9,992</w:t>
            </w:r>
          </w:p>
        </w:tc>
        <w:tc>
          <w:tcPr>
            <w:tcW w:w="140" w:type="dxa"/>
            <w:vAlign w:val="bottom"/>
            <w:gridSpan w:val="2"/>
            <w:shd w:val="clear" w:color="auto" w:fill="CCEEFF"/>
          </w:tcPr>
          <w:p>
            <w:pPr>
              <w:ind w:left="6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500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40" w:type="dxa"/>
            <w:vAlign w:val="bottom"/>
            <w:shd w:val="clear" w:color="auto" w:fill="CCEEFF"/>
          </w:tcPr>
          <w:p>
            <w:pPr>
              <w:ind w:left="160"/>
              <w:spacing w:after="0" w:line="135" w:lineRule="exact"/>
              <w:rPr>
                <w:sz w:val="20"/>
                <w:szCs w:val="20"/>
                <w:color w:val="auto"/>
              </w:rPr>
            </w:pPr>
            <w:r>
              <w:rPr>
                <w:rFonts w:ascii="Times New Roman" w:cs="Times New Roman" w:eastAsia="Times New Roman" w:hAnsi="Times New Roman"/>
                <w:sz w:val="13"/>
                <w:szCs w:val="13"/>
                <w:color w:val="auto"/>
              </w:rPr>
              <w:t>Share-based compensation</w:t>
            </w:r>
          </w:p>
        </w:tc>
        <w:tc>
          <w:tcPr>
            <w:tcW w:w="62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1,139</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58"/>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spacing w:after="0"/>
              <w:rPr>
                <w:sz w:val="11"/>
                <w:szCs w:val="11"/>
                <w:color w:val="auto"/>
              </w:rPr>
            </w:pPr>
          </w:p>
        </w:tc>
        <w:tc>
          <w:tcPr>
            <w:tcW w:w="14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3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1,139</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40" w:type="dxa"/>
            <w:vAlign w:val="bottom"/>
          </w:tcPr>
          <w:p>
            <w:pPr>
              <w:ind w:left="160"/>
              <w:spacing w:after="0" w:line="135" w:lineRule="exact"/>
              <w:rPr>
                <w:sz w:val="20"/>
                <w:szCs w:val="20"/>
                <w:color w:val="auto"/>
              </w:rPr>
            </w:pPr>
            <w:r>
              <w:rPr>
                <w:rFonts w:ascii="Times New Roman" w:cs="Times New Roman" w:eastAsia="Times New Roman" w:hAnsi="Times New Roman"/>
                <w:sz w:val="13"/>
                <w:szCs w:val="13"/>
                <w:color w:val="auto"/>
              </w:rPr>
              <w:t>Exercise of options</w:t>
            </w:r>
          </w:p>
        </w:tc>
        <w:tc>
          <w:tcPr>
            <w:tcW w:w="6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4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2,487</w:t>
            </w:r>
          </w:p>
        </w:tc>
        <w:tc>
          <w:tcPr>
            <w:tcW w:w="60" w:type="dxa"/>
            <w:vAlign w:val="bottom"/>
          </w:tcPr>
          <w:p>
            <w:pPr>
              <w:spacing w:after="0"/>
              <w:rPr>
                <w:sz w:val="11"/>
                <w:szCs w:val="11"/>
                <w:color w:val="auto"/>
              </w:rPr>
            </w:pPr>
          </w:p>
        </w:tc>
        <w:tc>
          <w:tcPr>
            <w:tcW w:w="56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gridSpan w:val="2"/>
          </w:tcPr>
          <w:p>
            <w:pPr>
              <w:jc w:val="right"/>
              <w:ind w:right="158"/>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spacing w:after="0"/>
              <w:rPr>
                <w:sz w:val="11"/>
                <w:szCs w:val="11"/>
                <w:color w:val="auto"/>
              </w:rPr>
            </w:pPr>
          </w:p>
        </w:tc>
        <w:tc>
          <w:tcPr>
            <w:tcW w:w="14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jc w:val="right"/>
              <w:ind w:right="13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1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40" w:type="dxa"/>
            <w:vAlign w:val="bottom"/>
            <w:shd w:val="clear" w:color="auto" w:fill="CCEEFF"/>
          </w:tcPr>
          <w:p>
            <w:pPr>
              <w:ind w:left="160"/>
              <w:spacing w:after="0" w:line="135" w:lineRule="exact"/>
              <w:rPr>
                <w:sz w:val="20"/>
                <w:szCs w:val="20"/>
                <w:color w:val="auto"/>
              </w:rPr>
            </w:pPr>
            <w:r>
              <w:rPr>
                <w:rFonts w:ascii="Times New Roman" w:cs="Times New Roman" w:eastAsia="Times New Roman" w:hAnsi="Times New Roman"/>
                <w:sz w:val="13"/>
                <w:szCs w:val="13"/>
                <w:color w:val="auto"/>
              </w:rPr>
              <w:t>Shares issued as consideration-vendors</w:t>
            </w:r>
          </w:p>
        </w:tc>
        <w:tc>
          <w:tcPr>
            <w:tcW w:w="62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6,738</w:t>
            </w:r>
          </w:p>
        </w:tc>
        <w:tc>
          <w:tcPr>
            <w:tcW w:w="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73</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58"/>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spacing w:after="0"/>
              <w:rPr>
                <w:sz w:val="11"/>
                <w:szCs w:val="11"/>
                <w:color w:val="auto"/>
              </w:rPr>
            </w:pPr>
          </w:p>
        </w:tc>
        <w:tc>
          <w:tcPr>
            <w:tcW w:w="14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3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74</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40" w:type="dxa"/>
            <w:vAlign w:val="bottom"/>
          </w:tcPr>
          <w:p>
            <w:pPr>
              <w:ind w:left="160"/>
              <w:spacing w:after="0" w:line="135" w:lineRule="exact"/>
              <w:rPr>
                <w:sz w:val="20"/>
                <w:szCs w:val="20"/>
                <w:color w:val="auto"/>
              </w:rPr>
            </w:pPr>
            <w:r>
              <w:rPr>
                <w:rFonts w:ascii="Times New Roman" w:cs="Times New Roman" w:eastAsia="Times New Roman" w:hAnsi="Times New Roman"/>
                <w:sz w:val="13"/>
                <w:szCs w:val="13"/>
                <w:color w:val="auto"/>
              </w:rPr>
              <w:t>Conversion of preferred A shares to common stock</w:t>
            </w:r>
          </w:p>
        </w:tc>
        <w:tc>
          <w:tcPr>
            <w:tcW w:w="6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(3,451)</w:t>
            </w:r>
          </w:p>
        </w:tc>
        <w:tc>
          <w:tcPr>
            <w:tcW w:w="180" w:type="dxa"/>
            <w:vAlign w:val="bottom"/>
          </w:tcPr>
          <w:p>
            <w:pPr>
              <w:spacing w:after="0"/>
              <w:rPr>
                <w:sz w:val="11"/>
                <w:szCs w:val="11"/>
                <w:color w:val="auto"/>
              </w:rPr>
            </w:pPr>
          </w:p>
        </w:tc>
        <w:tc>
          <w:tcPr>
            <w:tcW w:w="4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232,152</w:t>
            </w:r>
          </w:p>
        </w:tc>
        <w:tc>
          <w:tcPr>
            <w:tcW w:w="60" w:type="dxa"/>
            <w:vAlign w:val="bottom"/>
          </w:tcPr>
          <w:p>
            <w:pPr>
              <w:spacing w:after="0"/>
              <w:rPr>
                <w:sz w:val="11"/>
                <w:szCs w:val="11"/>
                <w:color w:val="auto"/>
              </w:rPr>
            </w:pPr>
          </w:p>
        </w:tc>
        <w:tc>
          <w:tcPr>
            <w:tcW w:w="56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(2)</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gridSpan w:val="2"/>
          </w:tcPr>
          <w:p>
            <w:pPr>
              <w:jc w:val="right"/>
              <w:ind w:right="158"/>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spacing w:after="0"/>
              <w:rPr>
                <w:sz w:val="11"/>
                <w:szCs w:val="11"/>
                <w:color w:val="auto"/>
              </w:rPr>
            </w:pPr>
          </w:p>
        </w:tc>
        <w:tc>
          <w:tcPr>
            <w:tcW w:w="14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jc w:val="right"/>
              <w:ind w:right="13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1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Net loss</w:t>
            </w: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spacing w:after="0"/>
              <w:rPr>
                <w:sz w:val="14"/>
                <w:szCs w:val="14"/>
                <w:color w:val="auto"/>
              </w:rPr>
            </w:pPr>
          </w:p>
        </w:tc>
        <w:tc>
          <w:tcPr>
            <w:tcW w:w="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3"/>
                <w:szCs w:val="13"/>
                <w:color w:val="auto"/>
              </w:rPr>
              <w:t>(5,134)</w:t>
            </w:r>
          </w:p>
        </w:tc>
        <w:tc>
          <w:tcPr>
            <w:tcW w:w="1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(5,134)</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340" w:type="dxa"/>
            <w:vAlign w:val="bottom"/>
            <w:tcBorders>
              <w:top w:val="single" w:sz="8" w:color="CCEEFF"/>
              <w:bottom w:val="single" w:sz="8" w:color="CCEEFF"/>
            </w:tcBorders>
          </w:tcPr>
          <w:p>
            <w:pPr>
              <w:spacing w:after="0" w:line="136" w:lineRule="exact"/>
              <w:rPr>
                <w:sz w:val="20"/>
                <w:szCs w:val="20"/>
                <w:color w:val="auto"/>
              </w:rPr>
            </w:pPr>
            <w:r>
              <w:rPr>
                <w:rFonts w:ascii="Times New Roman" w:cs="Times New Roman" w:eastAsia="Times New Roman" w:hAnsi="Times New Roman"/>
                <w:sz w:val="13"/>
                <w:szCs w:val="13"/>
                <w:color w:val="auto"/>
              </w:rPr>
              <w:t>Balances, September 30, 2018</w:t>
            </w:r>
          </w:p>
        </w:tc>
        <w:tc>
          <w:tcPr>
            <w:tcW w:w="42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550</w:t>
            </w:r>
          </w:p>
        </w:tc>
        <w:tc>
          <w:tcPr>
            <w:tcW w:w="200" w:type="dxa"/>
            <w:vAlign w:val="bottom"/>
            <w:tcBorders>
              <w:top w:val="single" w:sz="8" w:color="CCEEFF"/>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line="136"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top w:val="single" w:sz="8" w:color="CCEEFF"/>
              <w:bottom w:val="single" w:sz="8" w:color="CCEEFF"/>
            </w:tcBorders>
          </w:tcPr>
          <w:p>
            <w:pPr>
              <w:spacing w:after="0"/>
              <w:rPr>
                <w:sz w:val="15"/>
                <w:szCs w:val="15"/>
                <w:color w:val="auto"/>
              </w:rPr>
            </w:pPr>
          </w:p>
        </w:tc>
        <w:tc>
          <w:tcPr>
            <w:tcW w:w="60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2,975,677</w:t>
            </w:r>
          </w:p>
        </w:tc>
        <w:tc>
          <w:tcPr>
            <w:tcW w:w="200" w:type="dxa"/>
            <w:vAlign w:val="bottom"/>
            <w:tcBorders>
              <w:top w:val="single" w:sz="8" w:color="CCEEFF"/>
              <w:bottom w:val="single" w:sz="8" w:color="CCEEFF"/>
            </w:tcBorders>
          </w:tcPr>
          <w:p>
            <w:pPr>
              <w:spacing w:after="0"/>
              <w:rPr>
                <w:sz w:val="15"/>
                <w:szCs w:val="15"/>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30</w:t>
            </w:r>
          </w:p>
        </w:tc>
        <w:tc>
          <w:tcPr>
            <w:tcW w:w="8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31,779</w:t>
            </w:r>
          </w:p>
        </w:tc>
        <w:tc>
          <w:tcPr>
            <w:tcW w:w="120" w:type="dxa"/>
            <w:vAlign w:val="bottom"/>
            <w:tcBorders>
              <w:top w:val="single" w:sz="8" w:color="CCEEFF"/>
              <w:bottom w:val="single" w:sz="8" w:color="CCEEFF"/>
            </w:tcBorders>
          </w:tcPr>
          <w:p>
            <w:pPr>
              <w:spacing w:after="0"/>
              <w:rPr>
                <w:sz w:val="15"/>
                <w:szCs w:val="15"/>
                <w:color w:val="auto"/>
              </w:rPr>
            </w:pPr>
          </w:p>
        </w:tc>
        <w:tc>
          <w:tcPr>
            <w:tcW w:w="60" w:type="dxa"/>
            <w:vAlign w:val="bottom"/>
            <w:tcBorders>
              <w:top w:val="single" w:sz="8" w:color="CCEEFF"/>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line="136" w:lineRule="exact"/>
              <w:rPr>
                <w:sz w:val="20"/>
                <w:szCs w:val="20"/>
                <w:color w:val="auto"/>
              </w:rPr>
            </w:pPr>
            <w:r>
              <w:rPr>
                <w:rFonts w:ascii="Times New Roman" w:cs="Times New Roman" w:eastAsia="Times New Roman" w:hAnsi="Times New Roman"/>
                <w:sz w:val="13"/>
                <w:szCs w:val="13"/>
                <w:color w:val="auto"/>
              </w:rPr>
              <w:t>$</w:t>
            </w:r>
          </w:p>
        </w:tc>
        <w:tc>
          <w:tcPr>
            <w:tcW w:w="38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top w:val="single" w:sz="8" w:color="CCEEFF"/>
              <w:bottom w:val="single" w:sz="8" w:color="CCEEFF"/>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704"/>
              <w:spacing w:after="0"/>
              <w:rPr>
                <w:sz w:val="20"/>
                <w:szCs w:val="20"/>
                <w:color w:val="auto"/>
              </w:rPr>
            </w:pPr>
            <w:r>
              <w:rPr>
                <w:rFonts w:ascii="Times New Roman" w:cs="Times New Roman" w:eastAsia="Times New Roman" w:hAnsi="Times New Roman"/>
                <w:sz w:val="11"/>
                <w:szCs w:val="11"/>
                <w:color w:val="auto"/>
                <w:w w:val="71"/>
              </w:rPr>
              <w:t>$</w:t>
            </w:r>
          </w:p>
        </w:tc>
        <w:tc>
          <w:tcPr>
            <w:tcW w:w="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(25,738</w:t>
            </w:r>
          </w:p>
        </w:tc>
        <w:tc>
          <w:tcPr>
            <w:tcW w:w="180" w:type="dxa"/>
            <w:vAlign w:val="bottom"/>
            <w:tcBorders>
              <w:top w:val="single" w:sz="8" w:color="CCEEFF"/>
              <w:bottom w:val="single" w:sz="8" w:color="CCEEFF"/>
            </w:tcBorders>
          </w:tcPr>
          <w:p>
            <w:pPr>
              <w:jc w:val="right"/>
              <w:ind w:right="98"/>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6,071</w:t>
            </w:r>
          </w:p>
        </w:tc>
        <w:tc>
          <w:tcPr>
            <w:tcW w:w="120" w:type="dxa"/>
            <w:vAlign w:val="bottom"/>
            <w:tcBorders>
              <w:top w:val="single" w:sz="8" w:color="CCEEFF"/>
              <w:bottom w:val="single" w:sz="8" w:color="CCEEFF"/>
            </w:tcBorders>
          </w:tcPr>
          <w:p>
            <w:pPr>
              <w:spacing w:after="0"/>
              <w:rPr>
                <w:sz w:val="15"/>
                <w:szCs w:val="15"/>
                <w:color w:val="auto"/>
              </w:rPr>
            </w:pPr>
          </w:p>
        </w:tc>
        <w:tc>
          <w:tcPr>
            <w:tcW w:w="6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500</w:t>
            </w:r>
          </w:p>
        </w:tc>
        <w:tc>
          <w:tcPr>
            <w:tcW w:w="10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33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3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Balances, June 30, 2018</w:t>
            </w:r>
          </w:p>
        </w:tc>
        <w:tc>
          <w:tcPr>
            <w:tcW w:w="6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1,001</w:t>
            </w:r>
          </w:p>
        </w:tc>
        <w:tc>
          <w:tcPr>
            <w:tcW w:w="1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2,945,677</w:t>
            </w:r>
          </w:p>
        </w:tc>
        <w:tc>
          <w:tcPr>
            <w:tcW w:w="20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30</w:t>
            </w:r>
          </w:p>
        </w:tc>
        <w:tc>
          <w:tcPr>
            <w:tcW w:w="18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31,462</w:t>
            </w:r>
          </w:p>
        </w:tc>
        <w:tc>
          <w:tcPr>
            <w:tcW w:w="200" w:type="dxa"/>
            <w:vAlign w:val="bottom"/>
            <w:gridSpan w:val="2"/>
          </w:tcPr>
          <w:p>
            <w:pPr>
              <w:ind w:lef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ind w:right="158"/>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704"/>
              <w:spacing w:after="0"/>
              <w:rPr>
                <w:sz w:val="20"/>
                <w:szCs w:val="20"/>
                <w:color w:val="auto"/>
              </w:rPr>
            </w:pPr>
            <w:r>
              <w:rPr>
                <w:rFonts w:ascii="Times New Roman" w:cs="Times New Roman" w:eastAsia="Times New Roman" w:hAnsi="Times New Roman"/>
                <w:sz w:val="11"/>
                <w:szCs w:val="11"/>
                <w:color w:val="auto"/>
                <w:w w:val="71"/>
              </w:rPr>
              <w:t>$</w:t>
            </w:r>
          </w:p>
        </w:tc>
        <w:tc>
          <w:tcPr>
            <w:tcW w:w="14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tcPr>
          <w:p>
            <w:pPr>
              <w:jc w:val="right"/>
              <w:ind w:right="98"/>
              <w:spacing w:after="0" w:line="135" w:lineRule="exact"/>
              <w:rPr>
                <w:sz w:val="20"/>
                <w:szCs w:val="20"/>
                <w:color w:val="auto"/>
              </w:rPr>
            </w:pPr>
            <w:r>
              <w:rPr>
                <w:rFonts w:ascii="Times New Roman" w:cs="Times New Roman" w:eastAsia="Times New Roman" w:hAnsi="Times New Roman"/>
                <w:sz w:val="13"/>
                <w:szCs w:val="13"/>
                <w:color w:val="auto"/>
              </w:rPr>
              <w:t>(23,980)</w:t>
            </w:r>
          </w:p>
        </w:tc>
        <w:tc>
          <w:tcPr>
            <w:tcW w:w="1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7,512</w:t>
            </w:r>
          </w:p>
        </w:tc>
        <w:tc>
          <w:tcPr>
            <w:tcW w:w="140" w:type="dxa"/>
            <w:vAlign w:val="bottom"/>
            <w:gridSpan w:val="2"/>
          </w:tcPr>
          <w:p>
            <w:pPr>
              <w:ind w:left="6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500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40" w:type="dxa"/>
            <w:vAlign w:val="bottom"/>
            <w:shd w:val="clear" w:color="auto" w:fill="CCEEFF"/>
          </w:tcPr>
          <w:p>
            <w:pPr>
              <w:ind w:left="160"/>
              <w:spacing w:after="0" w:line="135" w:lineRule="exact"/>
              <w:rPr>
                <w:sz w:val="20"/>
                <w:szCs w:val="20"/>
                <w:color w:val="auto"/>
              </w:rPr>
            </w:pPr>
            <w:r>
              <w:rPr>
                <w:rFonts w:ascii="Times New Roman" w:cs="Times New Roman" w:eastAsia="Times New Roman" w:hAnsi="Times New Roman"/>
                <w:sz w:val="13"/>
                <w:szCs w:val="13"/>
                <w:color w:val="auto"/>
              </w:rPr>
              <w:t>Exercise of options</w:t>
            </w:r>
          </w:p>
        </w:tc>
        <w:tc>
          <w:tcPr>
            <w:tcW w:w="62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58"/>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spacing w:after="0"/>
              <w:rPr>
                <w:sz w:val="11"/>
                <w:szCs w:val="11"/>
                <w:color w:val="auto"/>
              </w:rPr>
            </w:pPr>
          </w:p>
        </w:tc>
        <w:tc>
          <w:tcPr>
            <w:tcW w:w="14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3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40" w:type="dxa"/>
            <w:vAlign w:val="bottom"/>
          </w:tcPr>
          <w:p>
            <w:pPr>
              <w:ind w:left="160"/>
              <w:spacing w:after="0" w:line="135" w:lineRule="exact"/>
              <w:rPr>
                <w:sz w:val="20"/>
                <w:szCs w:val="20"/>
                <w:color w:val="auto"/>
              </w:rPr>
            </w:pPr>
            <w:r>
              <w:rPr>
                <w:rFonts w:ascii="Times New Roman" w:cs="Times New Roman" w:eastAsia="Times New Roman" w:hAnsi="Times New Roman"/>
                <w:sz w:val="13"/>
                <w:szCs w:val="13"/>
                <w:color w:val="auto"/>
              </w:rPr>
              <w:t>Share-based compensation</w:t>
            </w:r>
          </w:p>
        </w:tc>
        <w:tc>
          <w:tcPr>
            <w:tcW w:w="6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4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56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317</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gridSpan w:val="2"/>
          </w:tcPr>
          <w:p>
            <w:pPr>
              <w:jc w:val="right"/>
              <w:ind w:right="158"/>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spacing w:after="0"/>
              <w:rPr>
                <w:sz w:val="11"/>
                <w:szCs w:val="11"/>
                <w:color w:val="auto"/>
              </w:rPr>
            </w:pPr>
          </w:p>
        </w:tc>
        <w:tc>
          <w:tcPr>
            <w:tcW w:w="14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jc w:val="right"/>
              <w:ind w:right="13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1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317</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40" w:type="dxa"/>
            <w:vAlign w:val="bottom"/>
            <w:shd w:val="clear" w:color="auto" w:fill="CCEEFF"/>
          </w:tcPr>
          <w:p>
            <w:pPr>
              <w:ind w:left="160"/>
              <w:spacing w:after="0" w:line="135" w:lineRule="exact"/>
              <w:rPr>
                <w:sz w:val="20"/>
                <w:szCs w:val="20"/>
                <w:color w:val="auto"/>
              </w:rPr>
            </w:pPr>
            <w:r>
              <w:rPr>
                <w:rFonts w:ascii="Times New Roman" w:cs="Times New Roman" w:eastAsia="Times New Roman" w:hAnsi="Times New Roman"/>
                <w:sz w:val="13"/>
                <w:szCs w:val="13"/>
                <w:color w:val="auto"/>
              </w:rPr>
              <w:t>Conversion of preferred A shares to common stock</w:t>
            </w:r>
          </w:p>
        </w:tc>
        <w:tc>
          <w:tcPr>
            <w:tcW w:w="62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(451)</w:t>
            </w:r>
          </w:p>
        </w:tc>
        <w:tc>
          <w:tcPr>
            <w:tcW w:w="1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30,000</w:t>
            </w:r>
          </w:p>
        </w:tc>
        <w:tc>
          <w:tcPr>
            <w:tcW w:w="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58"/>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spacing w:after="0"/>
              <w:rPr>
                <w:sz w:val="11"/>
                <w:szCs w:val="11"/>
                <w:color w:val="auto"/>
              </w:rPr>
            </w:pPr>
          </w:p>
        </w:tc>
        <w:tc>
          <w:tcPr>
            <w:tcW w:w="14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3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3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Net loss</w:t>
            </w: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gridSpan w:val="2"/>
          </w:tcPr>
          <w:p>
            <w:pPr>
              <w:jc w:val="right"/>
              <w:ind w:right="158"/>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spacing w:after="0"/>
              <w:rPr>
                <w:sz w:val="13"/>
                <w:szCs w:val="13"/>
                <w:color w:val="auto"/>
              </w:rPr>
            </w:pPr>
          </w:p>
        </w:tc>
        <w:tc>
          <w:tcPr>
            <w:tcW w:w="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jc w:val="right"/>
              <w:ind w:right="98"/>
              <w:spacing w:after="0"/>
              <w:rPr>
                <w:sz w:val="20"/>
                <w:szCs w:val="20"/>
                <w:color w:val="auto"/>
              </w:rPr>
            </w:pPr>
            <w:r>
              <w:rPr>
                <w:rFonts w:ascii="Times New Roman" w:cs="Times New Roman" w:eastAsia="Times New Roman" w:hAnsi="Times New Roman"/>
                <w:sz w:val="13"/>
                <w:szCs w:val="13"/>
                <w:color w:val="auto"/>
              </w:rPr>
              <w:t>(1,758)</w:t>
            </w:r>
          </w:p>
        </w:tc>
        <w:tc>
          <w:tcPr>
            <w:tcW w:w="140" w:type="dxa"/>
            <w:vAlign w:val="bottom"/>
          </w:tcPr>
          <w:p>
            <w:pPr>
              <w:spacing w:after="0"/>
              <w:rPr>
                <w:sz w:val="13"/>
                <w:szCs w:val="13"/>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(1,758)</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Balances, September 30, 2018</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550</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2,975,677</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31,779</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ind w:right="704"/>
              <w:spacing w:after="0"/>
              <w:rPr>
                <w:sz w:val="20"/>
                <w:szCs w:val="20"/>
                <w:color w:val="auto"/>
              </w:rPr>
            </w:pPr>
            <w:r>
              <w:rPr>
                <w:rFonts w:ascii="Times New Roman" w:cs="Times New Roman" w:eastAsia="Times New Roman" w:hAnsi="Times New Roman"/>
                <w:sz w:val="11"/>
                <w:szCs w:val="11"/>
                <w:color w:val="auto"/>
                <w:w w:val="71"/>
              </w:rPr>
              <w:t>$</w:t>
            </w:r>
          </w:p>
        </w:tc>
        <w:tc>
          <w:tcPr>
            <w:tcW w:w="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(25,738</w:t>
            </w:r>
          </w:p>
        </w:tc>
        <w:tc>
          <w:tcPr>
            <w:tcW w:w="180" w:type="dxa"/>
            <w:vAlign w:val="bottom"/>
            <w:tcBorders>
              <w:top w:val="single" w:sz="8" w:color="CCEEFF"/>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6,071</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vMerge w:val="restart"/>
          </w:tcPr>
          <w:p>
            <w:pPr>
              <w:spacing w:after="0"/>
              <w:rPr>
                <w:sz w:val="10"/>
                <w:szCs w:val="10"/>
                <w:color w:val="auto"/>
              </w:rPr>
            </w:pPr>
          </w:p>
        </w:tc>
        <w:tc>
          <w:tcPr>
            <w:tcW w:w="3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3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Balances, December 31, 2018</w:t>
            </w:r>
          </w:p>
        </w:tc>
        <w:tc>
          <w:tcPr>
            <w:tcW w:w="62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3,012,343</w:t>
            </w: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31</w:t>
            </w:r>
          </w:p>
        </w:tc>
        <w:tc>
          <w:tcPr>
            <w:tcW w:w="180" w:type="dxa"/>
            <w:vAlign w:val="bottom"/>
            <w:gridSpan w:val="2"/>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32,538</w:t>
            </w:r>
          </w:p>
        </w:tc>
        <w:tc>
          <w:tcPr>
            <w:tcW w:w="200" w:type="dxa"/>
            <w:vAlign w:val="bottom"/>
            <w:gridSpan w:val="2"/>
            <w:shd w:val="clear" w:color="auto" w:fill="CCEEFF"/>
          </w:tcPr>
          <w:p>
            <w:pPr>
              <w:ind w:lef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shd w:val="clear" w:color="auto" w:fill="CCEEFF"/>
          </w:tcPr>
          <w:p>
            <w:pPr>
              <w:jc w:val="right"/>
              <w:ind w:right="118"/>
              <w:spacing w:after="0" w:line="135" w:lineRule="exact"/>
              <w:rPr>
                <w:sz w:val="20"/>
                <w:szCs w:val="20"/>
                <w:color w:val="auto"/>
              </w:rPr>
            </w:pPr>
            <w:r>
              <w:rPr>
                <w:rFonts w:ascii="Times New Roman" w:cs="Times New Roman" w:eastAsia="Times New Roman" w:hAnsi="Times New Roman"/>
                <w:sz w:val="13"/>
                <w:szCs w:val="13"/>
                <w:color w:val="auto"/>
              </w:rPr>
              <w:t>(3,375)</w:t>
            </w:r>
          </w:p>
        </w:tc>
        <w:tc>
          <w:tcPr>
            <w:tcW w:w="820" w:type="dxa"/>
            <w:vAlign w:val="bottom"/>
            <w:shd w:val="clear" w:color="auto" w:fill="CCEEFF"/>
          </w:tcPr>
          <w:p>
            <w:pPr>
              <w:jc w:val="right"/>
              <w:ind w:right="704"/>
              <w:spacing w:after="0"/>
              <w:rPr>
                <w:sz w:val="20"/>
                <w:szCs w:val="20"/>
                <w:color w:val="auto"/>
              </w:rPr>
            </w:pPr>
            <w:r>
              <w:rPr>
                <w:rFonts w:ascii="Times New Roman" w:cs="Times New Roman" w:eastAsia="Times New Roman" w:hAnsi="Times New Roman"/>
                <w:sz w:val="11"/>
                <w:szCs w:val="11"/>
                <w:color w:val="auto"/>
                <w:w w:val="71"/>
              </w:rPr>
              <w:t>$</w:t>
            </w:r>
          </w:p>
        </w:tc>
        <w:tc>
          <w:tcPr>
            <w:tcW w:w="14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shd w:val="clear" w:color="auto" w:fill="CCEEFF"/>
          </w:tcPr>
          <w:p>
            <w:pPr>
              <w:jc w:val="right"/>
              <w:ind w:right="98"/>
              <w:spacing w:after="0" w:line="135" w:lineRule="exact"/>
              <w:rPr>
                <w:sz w:val="20"/>
                <w:szCs w:val="20"/>
                <w:color w:val="auto"/>
              </w:rPr>
            </w:pPr>
            <w:r>
              <w:rPr>
                <w:rFonts w:ascii="Times New Roman" w:cs="Times New Roman" w:eastAsia="Times New Roman" w:hAnsi="Times New Roman"/>
                <w:sz w:val="13"/>
                <w:szCs w:val="13"/>
                <w:color w:val="auto"/>
              </w:rPr>
              <w:t>(27,864)</w:t>
            </w:r>
          </w:p>
        </w:tc>
        <w:tc>
          <w:tcPr>
            <w:tcW w:w="1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1,330</w:t>
            </w:r>
          </w:p>
        </w:tc>
        <w:tc>
          <w:tcPr>
            <w:tcW w:w="140" w:type="dxa"/>
            <w:vAlign w:val="bottom"/>
            <w:gridSpan w:val="2"/>
            <w:shd w:val="clear" w:color="auto" w:fill="CCEEFF"/>
          </w:tcPr>
          <w:p>
            <w:pPr>
              <w:ind w:left="6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340" w:type="dxa"/>
            <w:vAlign w:val="bottom"/>
          </w:tcPr>
          <w:p>
            <w:pPr>
              <w:ind w:left="160"/>
              <w:spacing w:after="0" w:line="117" w:lineRule="exact"/>
              <w:rPr>
                <w:sz w:val="20"/>
                <w:szCs w:val="20"/>
                <w:color w:val="auto"/>
              </w:rPr>
            </w:pPr>
            <w:r>
              <w:rPr>
                <w:rFonts w:ascii="Times New Roman" w:cs="Times New Roman" w:eastAsia="Times New Roman" w:hAnsi="Times New Roman"/>
                <w:sz w:val="13"/>
                <w:szCs w:val="13"/>
                <w:color w:val="auto"/>
              </w:rPr>
              <w:t>Issuance of common stock and warrants net of issuance</w:t>
            </w: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3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expenses</w:t>
            </w: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1,295,323</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9,532</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gridSpan w:val="2"/>
          </w:tcPr>
          <w:p>
            <w:pPr>
              <w:jc w:val="right"/>
              <w:ind w:right="158"/>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spacing w:after="0"/>
              <w:rPr>
                <w:sz w:val="13"/>
                <w:szCs w:val="13"/>
                <w:color w:val="auto"/>
              </w:rPr>
            </w:pPr>
          </w:p>
        </w:tc>
        <w:tc>
          <w:tcPr>
            <w:tcW w:w="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jc w:val="right"/>
              <w:ind w:right="138"/>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9,544</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40" w:type="dxa"/>
            <w:vAlign w:val="bottom"/>
            <w:shd w:val="clear" w:color="auto" w:fill="CCEEFF"/>
          </w:tcPr>
          <w:p>
            <w:pPr>
              <w:ind w:left="160"/>
              <w:spacing w:after="0" w:line="135" w:lineRule="exact"/>
              <w:rPr>
                <w:sz w:val="20"/>
                <w:szCs w:val="20"/>
                <w:color w:val="auto"/>
              </w:rPr>
            </w:pPr>
            <w:r>
              <w:rPr>
                <w:rFonts w:ascii="Times New Roman" w:cs="Times New Roman" w:eastAsia="Times New Roman" w:hAnsi="Times New Roman"/>
                <w:sz w:val="13"/>
                <w:szCs w:val="13"/>
                <w:color w:val="auto"/>
              </w:rPr>
              <w:t>Share-based compensation</w:t>
            </w:r>
          </w:p>
        </w:tc>
        <w:tc>
          <w:tcPr>
            <w:tcW w:w="62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906</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58"/>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spacing w:after="0"/>
              <w:rPr>
                <w:sz w:val="11"/>
                <w:szCs w:val="11"/>
                <w:color w:val="auto"/>
              </w:rPr>
            </w:pPr>
          </w:p>
        </w:tc>
        <w:tc>
          <w:tcPr>
            <w:tcW w:w="14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3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906</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40" w:type="dxa"/>
            <w:vAlign w:val="bottom"/>
          </w:tcPr>
          <w:p>
            <w:pPr>
              <w:ind w:left="160"/>
              <w:spacing w:after="0" w:line="135" w:lineRule="exact"/>
              <w:rPr>
                <w:sz w:val="20"/>
                <w:szCs w:val="20"/>
                <w:color w:val="auto"/>
              </w:rPr>
            </w:pPr>
            <w:r>
              <w:rPr>
                <w:rFonts w:ascii="Times New Roman" w:cs="Times New Roman" w:eastAsia="Times New Roman" w:hAnsi="Times New Roman"/>
                <w:sz w:val="13"/>
                <w:szCs w:val="13"/>
                <w:color w:val="auto"/>
              </w:rPr>
              <w:t>Unrealized loss on marketable debt security</w:t>
            </w:r>
          </w:p>
        </w:tc>
        <w:tc>
          <w:tcPr>
            <w:tcW w:w="6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4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56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gridSpan w:val="2"/>
          </w:tcPr>
          <w:p>
            <w:pPr>
              <w:jc w:val="right"/>
              <w:ind w:right="158"/>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spacing w:after="0"/>
              <w:rPr>
                <w:sz w:val="11"/>
                <w:szCs w:val="11"/>
                <w:color w:val="auto"/>
              </w:rPr>
            </w:pPr>
          </w:p>
        </w:tc>
        <w:tc>
          <w:tcPr>
            <w:tcW w:w="14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jc w:val="right"/>
              <w:ind w:right="13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1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Net loss</w:t>
            </w: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spacing w:after="0"/>
              <w:rPr>
                <w:sz w:val="14"/>
                <w:szCs w:val="14"/>
                <w:color w:val="auto"/>
              </w:rPr>
            </w:pPr>
          </w:p>
        </w:tc>
        <w:tc>
          <w:tcPr>
            <w:tcW w:w="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98"/>
              <w:spacing w:after="0"/>
              <w:rPr>
                <w:sz w:val="20"/>
                <w:szCs w:val="20"/>
                <w:color w:val="auto"/>
              </w:rPr>
            </w:pPr>
            <w:r>
              <w:rPr>
                <w:rFonts w:ascii="Times New Roman" w:cs="Times New Roman" w:eastAsia="Times New Roman" w:hAnsi="Times New Roman"/>
                <w:sz w:val="13"/>
                <w:szCs w:val="13"/>
                <w:color w:val="auto"/>
              </w:rPr>
              <w:t>(5,377)</w:t>
            </w:r>
          </w:p>
        </w:tc>
        <w:tc>
          <w:tcPr>
            <w:tcW w:w="1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(5,377)</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340" w:type="dxa"/>
            <w:vAlign w:val="bottom"/>
            <w:tcBorders>
              <w:top w:val="single" w:sz="8" w:color="CCEEFF"/>
              <w:bottom w:val="single" w:sz="8" w:color="CCEEFF"/>
            </w:tcBorders>
          </w:tcPr>
          <w:p>
            <w:pPr>
              <w:spacing w:after="0" w:line="136" w:lineRule="exact"/>
              <w:rPr>
                <w:sz w:val="20"/>
                <w:szCs w:val="20"/>
                <w:color w:val="auto"/>
              </w:rPr>
            </w:pPr>
            <w:r>
              <w:rPr>
                <w:rFonts w:ascii="Times New Roman" w:cs="Times New Roman" w:eastAsia="Times New Roman" w:hAnsi="Times New Roman"/>
                <w:sz w:val="13"/>
                <w:szCs w:val="13"/>
                <w:color w:val="auto"/>
              </w:rPr>
              <w:t>Balances, September 30, 2019</w:t>
            </w:r>
          </w:p>
        </w:tc>
        <w:tc>
          <w:tcPr>
            <w:tcW w:w="42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top w:val="single" w:sz="8" w:color="CCEEFF"/>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line="136"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top w:val="single" w:sz="8" w:color="CCEEFF"/>
              <w:bottom w:val="single" w:sz="8" w:color="CCEEFF"/>
            </w:tcBorders>
          </w:tcPr>
          <w:p>
            <w:pPr>
              <w:spacing w:after="0"/>
              <w:rPr>
                <w:sz w:val="15"/>
                <w:szCs w:val="15"/>
                <w:color w:val="auto"/>
              </w:rPr>
            </w:pPr>
          </w:p>
        </w:tc>
        <w:tc>
          <w:tcPr>
            <w:tcW w:w="60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4,307,666</w:t>
            </w:r>
          </w:p>
        </w:tc>
        <w:tc>
          <w:tcPr>
            <w:tcW w:w="200" w:type="dxa"/>
            <w:vAlign w:val="bottom"/>
            <w:tcBorders>
              <w:top w:val="single" w:sz="8" w:color="CCEEFF"/>
              <w:bottom w:val="single" w:sz="8" w:color="CCEEFF"/>
            </w:tcBorders>
          </w:tcPr>
          <w:p>
            <w:pPr>
              <w:spacing w:after="0"/>
              <w:rPr>
                <w:sz w:val="15"/>
                <w:szCs w:val="15"/>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43</w:t>
            </w:r>
          </w:p>
        </w:tc>
        <w:tc>
          <w:tcPr>
            <w:tcW w:w="8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42,976</w:t>
            </w:r>
          </w:p>
        </w:tc>
        <w:tc>
          <w:tcPr>
            <w:tcW w:w="120" w:type="dxa"/>
            <w:vAlign w:val="bottom"/>
            <w:tcBorders>
              <w:top w:val="single" w:sz="8" w:color="CCEEFF"/>
              <w:bottom w:val="single" w:sz="8" w:color="CCEEFF"/>
            </w:tcBorders>
          </w:tcPr>
          <w:p>
            <w:pPr>
              <w:spacing w:after="0"/>
              <w:rPr>
                <w:sz w:val="15"/>
                <w:szCs w:val="15"/>
                <w:color w:val="auto"/>
              </w:rPr>
            </w:pPr>
          </w:p>
        </w:tc>
        <w:tc>
          <w:tcPr>
            <w:tcW w:w="60" w:type="dxa"/>
            <w:vAlign w:val="bottom"/>
            <w:tcBorders>
              <w:top w:val="single" w:sz="8" w:color="CCEEFF"/>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line="136" w:lineRule="exact"/>
              <w:rPr>
                <w:sz w:val="20"/>
                <w:szCs w:val="20"/>
                <w:color w:val="auto"/>
              </w:rPr>
            </w:pPr>
            <w:r>
              <w:rPr>
                <w:rFonts w:ascii="Times New Roman" w:cs="Times New Roman" w:eastAsia="Times New Roman" w:hAnsi="Times New Roman"/>
                <w:sz w:val="13"/>
                <w:szCs w:val="13"/>
                <w:color w:val="auto"/>
              </w:rPr>
              <w:t>$</w:t>
            </w:r>
          </w:p>
        </w:tc>
        <w:tc>
          <w:tcPr>
            <w:tcW w:w="38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(3,375</w:t>
            </w:r>
          </w:p>
        </w:tc>
        <w:tc>
          <w:tcPr>
            <w:tcW w:w="200" w:type="dxa"/>
            <w:vAlign w:val="bottom"/>
            <w:tcBorders>
              <w:top w:val="single" w:sz="8" w:color="CCEEFF"/>
              <w:bottom w:val="single" w:sz="8" w:color="CCEEFF"/>
            </w:tcBorders>
          </w:tcPr>
          <w:p>
            <w:pPr>
              <w:jc w:val="right"/>
              <w:ind w:right="118"/>
              <w:spacing w:after="0"/>
              <w:rPr>
                <w:sz w:val="20"/>
                <w:szCs w:val="20"/>
                <w:color w:val="auto"/>
              </w:rPr>
            </w:pPr>
            <w:r>
              <w:rPr>
                <w:rFonts w:ascii="Times New Roman" w:cs="Times New Roman" w:eastAsia="Times New Roman" w:hAnsi="Times New Roman"/>
                <w:sz w:val="8"/>
                <w:szCs w:val="8"/>
                <w:color w:val="auto"/>
                <w:w w:val="73"/>
              </w:rPr>
              <w:t>)</w:t>
            </w:r>
          </w:p>
        </w:tc>
        <w:tc>
          <w:tcPr>
            <w:tcW w:w="820" w:type="dxa"/>
            <w:vAlign w:val="bottom"/>
            <w:tcBorders>
              <w:top w:val="single" w:sz="8" w:color="auto"/>
              <w:bottom w:val="single" w:sz="8" w:color="auto"/>
            </w:tcBorders>
          </w:tcPr>
          <w:p>
            <w:pPr>
              <w:jc w:val="right"/>
              <w:ind w:right="704"/>
              <w:spacing w:after="0"/>
              <w:rPr>
                <w:sz w:val="20"/>
                <w:szCs w:val="20"/>
                <w:color w:val="auto"/>
              </w:rPr>
            </w:pPr>
            <w:r>
              <w:rPr>
                <w:rFonts w:ascii="Times New Roman" w:cs="Times New Roman" w:eastAsia="Times New Roman" w:hAnsi="Times New Roman"/>
                <w:sz w:val="11"/>
                <w:szCs w:val="11"/>
                <w:color w:val="auto"/>
                <w:w w:val="71"/>
              </w:rPr>
              <w:t>$</w:t>
            </w:r>
          </w:p>
        </w:tc>
        <w:tc>
          <w:tcPr>
            <w:tcW w:w="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(33,241</w:t>
            </w:r>
          </w:p>
        </w:tc>
        <w:tc>
          <w:tcPr>
            <w:tcW w:w="180" w:type="dxa"/>
            <w:vAlign w:val="bottom"/>
            <w:tcBorders>
              <w:top w:val="single" w:sz="8" w:color="CCEEFF"/>
              <w:bottom w:val="single" w:sz="8" w:color="CCEEFF"/>
            </w:tcBorders>
          </w:tcPr>
          <w:p>
            <w:pPr>
              <w:jc w:val="right"/>
              <w:ind w:right="98"/>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6,403</w:t>
            </w:r>
          </w:p>
        </w:tc>
        <w:tc>
          <w:tcPr>
            <w:tcW w:w="120" w:type="dxa"/>
            <w:vAlign w:val="bottom"/>
            <w:tcBorders>
              <w:top w:val="single" w:sz="8" w:color="CCEEFF"/>
              <w:bottom w:val="single" w:sz="8" w:color="CCEEFF"/>
            </w:tcBorders>
          </w:tcPr>
          <w:p>
            <w:pPr>
              <w:spacing w:after="0"/>
              <w:rPr>
                <w:sz w:val="15"/>
                <w:szCs w:val="15"/>
                <w:color w:val="auto"/>
              </w:rPr>
            </w:pPr>
          </w:p>
        </w:tc>
        <w:tc>
          <w:tcPr>
            <w:tcW w:w="6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33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3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Balances, June 30, 2019</w:t>
            </w:r>
          </w:p>
        </w:tc>
        <w:tc>
          <w:tcPr>
            <w:tcW w:w="6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4,307,666</w:t>
            </w:r>
          </w:p>
        </w:tc>
        <w:tc>
          <w:tcPr>
            <w:tcW w:w="20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43</w:t>
            </w:r>
          </w:p>
        </w:tc>
        <w:tc>
          <w:tcPr>
            <w:tcW w:w="180" w:type="dxa"/>
            <w:vAlign w:val="bottom"/>
            <w:gridSpan w:val="2"/>
          </w:tcPr>
          <w:p>
            <w:pPr>
              <w:ind w:left="10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42,680</w:t>
            </w:r>
          </w:p>
        </w:tc>
        <w:tc>
          <w:tcPr>
            <w:tcW w:w="200" w:type="dxa"/>
            <w:vAlign w:val="bottom"/>
            <w:gridSpan w:val="2"/>
          </w:tcPr>
          <w:p>
            <w:pPr>
              <w:ind w:left="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ind w:right="118"/>
              <w:spacing w:after="0" w:line="135" w:lineRule="exact"/>
              <w:rPr>
                <w:sz w:val="20"/>
                <w:szCs w:val="20"/>
                <w:color w:val="auto"/>
              </w:rPr>
            </w:pPr>
            <w:r>
              <w:rPr>
                <w:rFonts w:ascii="Times New Roman" w:cs="Times New Roman" w:eastAsia="Times New Roman" w:hAnsi="Times New Roman"/>
                <w:sz w:val="13"/>
                <w:szCs w:val="13"/>
                <w:color w:val="auto"/>
              </w:rPr>
              <w:t>(3,375)</w:t>
            </w:r>
          </w:p>
        </w:tc>
        <w:tc>
          <w:tcPr>
            <w:tcW w:w="820" w:type="dxa"/>
            <w:vAlign w:val="bottom"/>
          </w:tcPr>
          <w:p>
            <w:pPr>
              <w:jc w:val="right"/>
              <w:ind w:right="704"/>
              <w:spacing w:after="0"/>
              <w:rPr>
                <w:sz w:val="20"/>
                <w:szCs w:val="20"/>
                <w:color w:val="auto"/>
              </w:rPr>
            </w:pPr>
            <w:r>
              <w:rPr>
                <w:rFonts w:ascii="Times New Roman" w:cs="Times New Roman" w:eastAsia="Times New Roman" w:hAnsi="Times New Roman"/>
                <w:sz w:val="11"/>
                <w:szCs w:val="11"/>
                <w:color w:val="auto"/>
                <w:w w:val="71"/>
              </w:rPr>
              <w:t>$</w:t>
            </w:r>
          </w:p>
        </w:tc>
        <w:tc>
          <w:tcPr>
            <w:tcW w:w="14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tcPr>
          <w:p>
            <w:pPr>
              <w:jc w:val="right"/>
              <w:ind w:right="98"/>
              <w:spacing w:after="0" w:line="135" w:lineRule="exact"/>
              <w:rPr>
                <w:sz w:val="20"/>
                <w:szCs w:val="20"/>
                <w:color w:val="auto"/>
              </w:rPr>
            </w:pPr>
            <w:r>
              <w:rPr>
                <w:rFonts w:ascii="Times New Roman" w:cs="Times New Roman" w:eastAsia="Times New Roman" w:hAnsi="Times New Roman"/>
                <w:sz w:val="13"/>
                <w:szCs w:val="13"/>
                <w:color w:val="auto"/>
              </w:rPr>
              <w:t>(31,367)</w:t>
            </w:r>
          </w:p>
        </w:tc>
        <w:tc>
          <w:tcPr>
            <w:tcW w:w="1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7,981</w:t>
            </w:r>
          </w:p>
        </w:tc>
        <w:tc>
          <w:tcPr>
            <w:tcW w:w="140" w:type="dxa"/>
            <w:vAlign w:val="bottom"/>
            <w:gridSpan w:val="2"/>
          </w:tcPr>
          <w:p>
            <w:pPr>
              <w:ind w:left="6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340" w:type="dxa"/>
            <w:vAlign w:val="bottom"/>
            <w:shd w:val="clear" w:color="auto" w:fill="CCEEFF"/>
          </w:tcPr>
          <w:p>
            <w:pPr>
              <w:ind w:left="160"/>
              <w:spacing w:after="0" w:line="117" w:lineRule="exact"/>
              <w:rPr>
                <w:sz w:val="20"/>
                <w:szCs w:val="20"/>
                <w:color w:val="auto"/>
              </w:rPr>
            </w:pPr>
            <w:r>
              <w:rPr>
                <w:rFonts w:ascii="Times New Roman" w:cs="Times New Roman" w:eastAsia="Times New Roman" w:hAnsi="Times New Roman"/>
                <w:sz w:val="13"/>
                <w:szCs w:val="13"/>
                <w:color w:val="auto"/>
              </w:rPr>
              <w:t>Issuance of common stock and warrants net of issuance</w:t>
            </w:r>
          </w:p>
        </w:tc>
        <w:tc>
          <w:tcPr>
            <w:tcW w:w="4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expenses</w:t>
            </w: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spacing w:after="0"/>
              <w:rPr>
                <w:sz w:val="13"/>
                <w:szCs w:val="13"/>
                <w:color w:val="auto"/>
              </w:rPr>
            </w:pPr>
          </w:p>
        </w:tc>
        <w:tc>
          <w:tcPr>
            <w:tcW w:w="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40" w:type="dxa"/>
            <w:vAlign w:val="bottom"/>
          </w:tcPr>
          <w:p>
            <w:pPr>
              <w:ind w:left="160"/>
              <w:spacing w:after="0" w:line="135" w:lineRule="exact"/>
              <w:rPr>
                <w:sz w:val="20"/>
                <w:szCs w:val="20"/>
                <w:color w:val="auto"/>
              </w:rPr>
            </w:pPr>
            <w:r>
              <w:rPr>
                <w:rFonts w:ascii="Times New Roman" w:cs="Times New Roman" w:eastAsia="Times New Roman" w:hAnsi="Times New Roman"/>
                <w:sz w:val="13"/>
                <w:szCs w:val="13"/>
                <w:color w:val="auto"/>
              </w:rPr>
              <w:t>Share-based compensation</w:t>
            </w:r>
          </w:p>
        </w:tc>
        <w:tc>
          <w:tcPr>
            <w:tcW w:w="6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4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56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296</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gridSpan w:val="2"/>
          </w:tcPr>
          <w:p>
            <w:pPr>
              <w:jc w:val="right"/>
              <w:ind w:right="158"/>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spacing w:after="0"/>
              <w:rPr>
                <w:sz w:val="11"/>
                <w:szCs w:val="11"/>
                <w:color w:val="auto"/>
              </w:rPr>
            </w:pPr>
          </w:p>
        </w:tc>
        <w:tc>
          <w:tcPr>
            <w:tcW w:w="14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jc w:val="right"/>
              <w:ind w:right="13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1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296</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40" w:type="dxa"/>
            <w:vAlign w:val="bottom"/>
            <w:shd w:val="clear" w:color="auto" w:fill="CCEEFF"/>
          </w:tcPr>
          <w:p>
            <w:pPr>
              <w:ind w:left="160"/>
              <w:spacing w:after="0" w:line="135" w:lineRule="exact"/>
              <w:rPr>
                <w:sz w:val="20"/>
                <w:szCs w:val="20"/>
                <w:color w:val="auto"/>
              </w:rPr>
            </w:pPr>
            <w:r>
              <w:rPr>
                <w:rFonts w:ascii="Times New Roman" w:cs="Times New Roman" w:eastAsia="Times New Roman" w:hAnsi="Times New Roman"/>
                <w:sz w:val="13"/>
                <w:szCs w:val="13"/>
                <w:color w:val="auto"/>
              </w:rPr>
              <w:t>Unrealized loss on marketable debt security</w:t>
            </w:r>
          </w:p>
        </w:tc>
        <w:tc>
          <w:tcPr>
            <w:tcW w:w="62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58"/>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spacing w:after="0"/>
              <w:rPr>
                <w:sz w:val="11"/>
                <w:szCs w:val="11"/>
                <w:color w:val="auto"/>
              </w:rPr>
            </w:pPr>
          </w:p>
        </w:tc>
        <w:tc>
          <w:tcPr>
            <w:tcW w:w="14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3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3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Net loss</w:t>
            </w: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gridSpan w:val="2"/>
          </w:tcPr>
          <w:p>
            <w:pPr>
              <w:jc w:val="right"/>
              <w:ind w:right="158"/>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spacing w:after="0"/>
              <w:rPr>
                <w:sz w:val="13"/>
                <w:szCs w:val="13"/>
                <w:color w:val="auto"/>
              </w:rPr>
            </w:pPr>
          </w:p>
        </w:tc>
        <w:tc>
          <w:tcPr>
            <w:tcW w:w="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jc w:val="right"/>
              <w:ind w:right="98"/>
              <w:spacing w:after="0"/>
              <w:rPr>
                <w:sz w:val="20"/>
                <w:szCs w:val="20"/>
                <w:color w:val="auto"/>
              </w:rPr>
            </w:pPr>
            <w:r>
              <w:rPr>
                <w:rFonts w:ascii="Times New Roman" w:cs="Times New Roman" w:eastAsia="Times New Roman" w:hAnsi="Times New Roman"/>
                <w:sz w:val="13"/>
                <w:szCs w:val="13"/>
                <w:color w:val="auto"/>
              </w:rPr>
              <w:t>(1,874)</w:t>
            </w:r>
          </w:p>
        </w:tc>
        <w:tc>
          <w:tcPr>
            <w:tcW w:w="140" w:type="dxa"/>
            <w:vAlign w:val="bottom"/>
          </w:tcPr>
          <w:p>
            <w:pPr>
              <w:spacing w:after="0"/>
              <w:rPr>
                <w:sz w:val="13"/>
                <w:szCs w:val="13"/>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(1,874)</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Balances, September 30, 2019</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4,307,666</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42,976</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(3,375</w:t>
            </w:r>
          </w:p>
        </w:tc>
        <w:tc>
          <w:tcPr>
            <w:tcW w:w="200" w:type="dxa"/>
            <w:vAlign w:val="bottom"/>
            <w:tcBorders>
              <w:top w:val="single" w:sz="8" w:color="CCEEFF"/>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8"/>
                <w:szCs w:val="8"/>
                <w:color w:val="auto"/>
                <w:w w:val="73"/>
              </w:rPr>
              <w:t>)</w:t>
            </w:r>
          </w:p>
        </w:tc>
        <w:tc>
          <w:tcPr>
            <w:tcW w:w="820" w:type="dxa"/>
            <w:vAlign w:val="bottom"/>
            <w:tcBorders>
              <w:top w:val="single" w:sz="8" w:color="auto"/>
              <w:bottom w:val="single" w:sz="8" w:color="auto"/>
            </w:tcBorders>
            <w:shd w:val="clear" w:color="auto" w:fill="CCEEFF"/>
          </w:tcPr>
          <w:p>
            <w:pPr>
              <w:jc w:val="right"/>
              <w:ind w:right="704"/>
              <w:spacing w:after="0"/>
              <w:rPr>
                <w:sz w:val="20"/>
                <w:szCs w:val="20"/>
                <w:color w:val="auto"/>
              </w:rPr>
            </w:pPr>
            <w:r>
              <w:rPr>
                <w:rFonts w:ascii="Times New Roman" w:cs="Times New Roman" w:eastAsia="Times New Roman" w:hAnsi="Times New Roman"/>
                <w:sz w:val="11"/>
                <w:szCs w:val="11"/>
                <w:color w:val="auto"/>
                <w:w w:val="71"/>
              </w:rPr>
              <w:t>$</w:t>
            </w:r>
          </w:p>
        </w:tc>
        <w:tc>
          <w:tcPr>
            <w:tcW w:w="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(33,241</w:t>
            </w:r>
          </w:p>
        </w:tc>
        <w:tc>
          <w:tcPr>
            <w:tcW w:w="180" w:type="dxa"/>
            <w:vAlign w:val="bottom"/>
            <w:tcBorders>
              <w:top w:val="single" w:sz="8" w:color="CCEEFF"/>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6,403</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Note 4 for further information</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Note 5 for further information</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Less than 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Includes 721,107 common stock classified as temporary equity as of December 31, 2017.</w:t>
      </w:r>
    </w:p>
    <w:p>
      <w:pPr>
        <w:spacing w:after="0" w:line="225" w:lineRule="exact"/>
        <w:rPr>
          <w:sz w:val="20"/>
          <w:szCs w:val="20"/>
          <w:color w:val="auto"/>
        </w:rPr>
      </w:pPr>
    </w:p>
    <w:p>
      <w:pPr>
        <w:ind w:firstLine="8"/>
        <w:spacing w:after="0" w:line="282" w:lineRule="auto"/>
        <w:tabs>
          <w:tab w:leader="none" w:pos="44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data as of December 31, 2017, June 30, 2018, and for the periods then ended represent the number of shares adjusted to retroactively reflect the 1:15 reverse stock split effected on September 4, 2018. Refer to Note 1 for further information.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interim consolidated financial statements.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Interim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7" w:lineRule="exact"/>
        <w:rPr>
          <w:sz w:val="20"/>
          <w:szCs w:val="20"/>
          <w:color w:val="auto"/>
        </w:rPr>
      </w:pPr>
    </w:p>
    <w:p>
      <w:pPr>
        <w:ind w:left="8460"/>
        <w:spacing w:after="0"/>
        <w:rPr>
          <w:sz w:val="20"/>
          <w:szCs w:val="20"/>
          <w:color w:val="auto"/>
        </w:rPr>
      </w:pPr>
      <w:r>
        <w:rPr>
          <w:rFonts w:ascii="Times New Roman" w:cs="Times New Roman" w:eastAsia="Times New Roman" w:hAnsi="Times New Roman"/>
          <w:sz w:val="18"/>
          <w:szCs w:val="18"/>
          <w:color w:val="auto"/>
        </w:rPr>
        <w:t>For the Nine Months</w:t>
      </w:r>
    </w:p>
    <w:p>
      <w:pPr>
        <w:spacing w:after="0" w:line="27"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8"/>
          <w:szCs w:val="18"/>
          <w:color w:val="auto"/>
        </w:rPr>
        <w:t>Ended 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0" w:type="dxa"/>
            <w:vAlign w:val="bottom"/>
          </w:tcPr>
          <w:p>
            <w:pPr>
              <w:spacing w:after="0"/>
              <w:rPr>
                <w:sz w:val="21"/>
                <w:szCs w:val="21"/>
                <w:color w:val="auto"/>
              </w:rPr>
            </w:pPr>
          </w:p>
        </w:tc>
        <w:tc>
          <w:tcPr>
            <w:tcW w:w="6620" w:type="dxa"/>
            <w:vAlign w:val="bottom"/>
            <w:tcBorders>
              <w:bottom w:val="single" w:sz="8" w:color="CCEEFF"/>
            </w:tcBorders>
          </w:tcPr>
          <w:p>
            <w:pPr>
              <w:spacing w:after="0"/>
              <w:rPr>
                <w:sz w:val="21"/>
                <w:szCs w:val="21"/>
                <w:color w:val="auto"/>
              </w:rPr>
            </w:pPr>
          </w:p>
        </w:tc>
        <w:tc>
          <w:tcPr>
            <w:tcW w:w="460" w:type="dxa"/>
            <w:vAlign w:val="bottom"/>
            <w:tcBorders>
              <w:bottom w:val="single" w:sz="8" w:color="CCEEFF"/>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2019</w:t>
            </w:r>
          </w:p>
        </w:tc>
        <w:tc>
          <w:tcPr>
            <w:tcW w:w="64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CCEEFF"/>
            </w:tcBorders>
          </w:tcPr>
          <w:p>
            <w:pPr>
              <w:spacing w:after="0"/>
              <w:rPr>
                <w:sz w:val="21"/>
                <w:szCs w:val="21"/>
                <w:color w:val="auto"/>
              </w:rPr>
            </w:pPr>
          </w:p>
        </w:tc>
        <w:tc>
          <w:tcPr>
            <w:tcW w:w="20" w:type="dxa"/>
            <w:vAlign w:val="bottom"/>
            <w:tcBorders>
              <w:top w:val="single" w:sz="8" w:color="auto"/>
              <w:bottom w:val="single" w:sz="8" w:color="CCEEFF"/>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1500" w:type="dxa"/>
            <w:vAlign w:val="bottom"/>
            <w:tcBorders>
              <w:top w:val="single" w:sz="8" w:color="auto"/>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2018</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4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780" w:type="dxa"/>
            <w:vAlign w:val="bottom"/>
            <w:gridSpan w:val="2"/>
          </w:tcPr>
          <w:p>
            <w:pPr>
              <w:jc w:val="right"/>
              <w:ind w:right="115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(5,377)</w:t>
            </w:r>
          </w:p>
        </w:tc>
        <w:tc>
          <w:tcPr>
            <w:tcW w:w="440" w:type="dxa"/>
            <w:vAlign w:val="bottom"/>
            <w:gridSpan w:val="2"/>
          </w:tcPr>
          <w:p>
            <w:pPr>
              <w:jc w:val="right"/>
              <w:ind w:right="255"/>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flows from operating activities:</w:t>
            </w:r>
          </w:p>
        </w:tc>
        <w:tc>
          <w:tcPr>
            <w:tcW w:w="4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4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906</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Shares issued to a vendor</w:t>
            </w:r>
          </w:p>
        </w:tc>
        <w:tc>
          <w:tcPr>
            <w:tcW w:w="4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Amortization of discount (premium) on marketable debt securities</w:t>
            </w:r>
          </w:p>
        </w:tc>
        <w:tc>
          <w:tcPr>
            <w:tcW w:w="4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4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Accounts receivable</w:t>
            </w:r>
          </w:p>
        </w:tc>
        <w:tc>
          <w:tcPr>
            <w:tcW w:w="4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364</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payables and accrued liabilities</w:t>
            </w:r>
          </w:p>
        </w:tc>
        <w:tc>
          <w:tcPr>
            <w:tcW w:w="4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(461)</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620" w:type="dxa"/>
            <w:vAlign w:val="bottom"/>
            <w:tcBorders>
              <w:top w:val="single" w:sz="8" w:color="CCEEFF"/>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Net cash flows from operating activities</w:t>
            </w:r>
          </w:p>
        </w:tc>
        <w:tc>
          <w:tcPr>
            <w:tcW w:w="460" w:type="dxa"/>
            <w:vAlign w:val="bottom"/>
            <w:tcBorders>
              <w:top w:val="single" w:sz="8" w:color="CCEEFF"/>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auto"/>
            </w:tcBorders>
            <w:shd w:val="clear" w:color="auto" w:fill="CCEEFF"/>
          </w:tcPr>
          <w:p>
            <w:pPr>
              <w:spacing w:after="0"/>
              <w:rPr>
                <w:sz w:val="20"/>
                <w:szCs w:val="20"/>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(4,531</w:t>
            </w:r>
          </w:p>
        </w:tc>
        <w:tc>
          <w:tcPr>
            <w:tcW w:w="320" w:type="dxa"/>
            <w:vAlign w:val="bottom"/>
            <w:tcBorders>
              <w:top w:val="single" w:sz="8" w:color="CCEEFF"/>
              <w:bottom w:val="single" w:sz="8" w:color="CCEEFF"/>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(3,875</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Investing activities:</w:t>
            </w:r>
          </w:p>
        </w:tc>
        <w:tc>
          <w:tcPr>
            <w:tcW w:w="4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4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Purchase of marketable debt securities</w:t>
            </w:r>
          </w:p>
        </w:tc>
        <w:tc>
          <w:tcPr>
            <w:tcW w:w="4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(2,496)</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620" w:type="dxa"/>
            <w:vAlign w:val="bottom"/>
            <w:tcBorders>
              <w:top w:val="single" w:sz="8" w:color="CCEEFF"/>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Net cash flows from investing activities</w:t>
            </w:r>
          </w:p>
        </w:tc>
        <w:tc>
          <w:tcPr>
            <w:tcW w:w="460" w:type="dxa"/>
            <w:vAlign w:val="bottom"/>
            <w:tcBorders>
              <w:top w:val="single" w:sz="8" w:color="CCEEFF"/>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auto"/>
            </w:tcBorders>
            <w:shd w:val="clear" w:color="auto" w:fill="CCEEFF"/>
          </w:tcPr>
          <w:p>
            <w:pPr>
              <w:spacing w:after="0"/>
              <w:rPr>
                <w:sz w:val="20"/>
                <w:szCs w:val="20"/>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w:t>
            </w:r>
          </w:p>
        </w:tc>
        <w:tc>
          <w:tcPr>
            <w:tcW w:w="320" w:type="dxa"/>
            <w:vAlign w:val="bottom"/>
            <w:tcBorders>
              <w:top w:val="single" w:sz="8" w:color="CCEEFF"/>
              <w:bottom w:val="single" w:sz="8" w:color="CCEEFF"/>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Financing activities:</w:t>
            </w:r>
          </w:p>
        </w:tc>
        <w:tc>
          <w:tcPr>
            <w:tcW w:w="4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Issuance of common stock and warrants, net of issuance costs</w:t>
            </w:r>
          </w:p>
        </w:tc>
        <w:tc>
          <w:tcPr>
            <w:tcW w:w="4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9,562</w:t>
            </w:r>
          </w:p>
        </w:tc>
        <w:tc>
          <w:tcPr>
            <w:tcW w:w="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bottom w:val="single" w:sz="8" w:color="CCEEFF"/>
            </w:tcBorders>
          </w:tcPr>
          <w:p>
            <w:pPr>
              <w:ind w:left="520"/>
              <w:spacing w:after="0" w:line="203" w:lineRule="exact"/>
              <w:rPr>
                <w:sz w:val="20"/>
                <w:szCs w:val="20"/>
                <w:color w:val="auto"/>
              </w:rPr>
            </w:pPr>
            <w:r>
              <w:rPr>
                <w:rFonts w:ascii="Times New Roman" w:cs="Times New Roman" w:eastAsia="Times New Roman" w:hAnsi="Times New Roman"/>
                <w:sz w:val="18"/>
                <w:szCs w:val="18"/>
                <w:color w:val="auto"/>
              </w:rPr>
              <w:t>Net cash flows from financing activities</w:t>
            </w:r>
          </w:p>
        </w:tc>
        <w:tc>
          <w:tcPr>
            <w:tcW w:w="460" w:type="dxa"/>
            <w:vAlign w:val="bottom"/>
            <w:tcBorders>
              <w:top w:val="single" w:sz="8" w:color="CCEEFF"/>
              <w:bottom w:val="single" w:sz="8" w:color="CCEEFF"/>
            </w:tcBorders>
          </w:tcPr>
          <w:p>
            <w:pPr>
              <w:spacing w:after="0"/>
              <w:rPr>
                <w:sz w:val="18"/>
                <w:szCs w:val="18"/>
                <w:color w:val="auto"/>
              </w:rPr>
            </w:pPr>
          </w:p>
        </w:tc>
        <w:tc>
          <w:tcPr>
            <w:tcW w:w="13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9,562</w:t>
            </w:r>
          </w:p>
        </w:tc>
        <w:tc>
          <w:tcPr>
            <w:tcW w:w="32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Increse (decrease) in cash, cash equivalents and restricted cash</w:t>
            </w:r>
          </w:p>
        </w:tc>
        <w:tc>
          <w:tcPr>
            <w:tcW w:w="4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2,535</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(4,114)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4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5,263</w:t>
            </w:r>
          </w:p>
        </w:tc>
        <w:tc>
          <w:tcPr>
            <w:tcW w:w="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10,814</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62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ending of period</w:t>
            </w:r>
          </w:p>
        </w:tc>
        <w:tc>
          <w:tcPr>
            <w:tcW w:w="460" w:type="dxa"/>
            <w:vAlign w:val="bottom"/>
            <w:tcBorders>
              <w:top w:val="single" w:sz="8" w:color="CCEEFF"/>
              <w:bottom w:val="single" w:sz="8" w:color="CCEEFF"/>
            </w:tcBorders>
          </w:tcPr>
          <w:p>
            <w:pPr>
              <w:spacing w:after="0"/>
              <w:rPr>
                <w:sz w:val="22"/>
                <w:szCs w:val="22"/>
                <w:color w:val="auto"/>
              </w:rPr>
            </w:pPr>
          </w:p>
        </w:tc>
        <w:tc>
          <w:tcPr>
            <w:tcW w:w="1320" w:type="dxa"/>
            <w:vAlign w:val="bottom"/>
            <w:tcBorders>
              <w:top w:val="single" w:sz="8" w:color="auto"/>
              <w:bottom w:val="single" w:sz="8" w:color="auto"/>
            </w:tcBorders>
          </w:tcPr>
          <w:p>
            <w:pPr>
              <w:jc w:val="right"/>
              <w:ind w:right="1152"/>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7,798</w:t>
            </w:r>
          </w:p>
        </w:tc>
        <w:tc>
          <w:tcPr>
            <w:tcW w:w="320" w:type="dxa"/>
            <w:vAlign w:val="bottom"/>
            <w:tcBorders>
              <w:top w:val="single" w:sz="8" w:color="CCEEFF"/>
              <w:bottom w:val="single" w:sz="8" w:color="CCEEFF"/>
            </w:tcBorders>
          </w:tcPr>
          <w:p>
            <w:pPr>
              <w:spacing w:after="0"/>
              <w:rPr>
                <w:sz w:val="22"/>
                <w:szCs w:val="22"/>
                <w:color w:val="auto"/>
              </w:rPr>
            </w:pPr>
          </w:p>
        </w:tc>
        <w:tc>
          <w:tcPr>
            <w:tcW w:w="20" w:type="dxa"/>
            <w:vAlign w:val="bottom"/>
            <w:tcBorders>
              <w:top w:val="single" w:sz="8" w:color="CCEEFF"/>
              <w:bottom w:val="single" w:sz="8" w:color="CCEEFF"/>
            </w:tcBorders>
          </w:tcPr>
          <w:p>
            <w:pPr>
              <w:spacing w:after="0"/>
              <w:rPr>
                <w:sz w:val="22"/>
                <w:szCs w:val="22"/>
                <w:color w:val="auto"/>
              </w:rPr>
            </w:pPr>
          </w:p>
        </w:tc>
        <w:tc>
          <w:tcPr>
            <w:tcW w:w="420" w:type="dxa"/>
            <w:vAlign w:val="bottom"/>
            <w:tcBorders>
              <w:top w:val="single" w:sz="8" w:color="auto"/>
              <w:bottom w:val="single" w:sz="8" w:color="auto"/>
            </w:tcBorders>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6,700</w:t>
            </w:r>
          </w:p>
        </w:tc>
        <w:tc>
          <w:tcPr>
            <w:tcW w:w="20" w:type="dxa"/>
            <w:vAlign w:val="bottom"/>
            <w:tcBorders>
              <w:top w:val="single" w:sz="8" w:color="CCEEFF"/>
              <w:bottom w:val="single" w:sz="8" w:color="CCEEFF"/>
            </w:tcBorders>
          </w:tcPr>
          <w:p>
            <w:pPr>
              <w:spacing w:after="0"/>
              <w:rPr>
                <w:sz w:val="22"/>
                <w:szCs w:val="22"/>
                <w:color w:val="auto"/>
              </w:rPr>
            </w:pPr>
          </w:p>
        </w:tc>
        <w:tc>
          <w:tcPr>
            <w:tcW w:w="80" w:type="dxa"/>
            <w:vAlign w:val="bottom"/>
            <w:tcBorders>
              <w:top w:val="single" w:sz="8" w:color="CCEEFF"/>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6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4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6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Recognition of right-of-use asset and lease liability upon adoption of ASU 2016-02</w:t>
            </w:r>
          </w:p>
        </w:tc>
        <w:tc>
          <w:tcPr>
            <w:tcW w:w="1780" w:type="dxa"/>
            <w:vAlign w:val="bottom"/>
            <w:gridSpan w:val="2"/>
          </w:tcPr>
          <w:p>
            <w:pPr>
              <w:jc w:val="right"/>
              <w:ind w:right="115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630</w:t>
            </w:r>
          </w:p>
        </w:tc>
        <w:tc>
          <w:tcPr>
            <w:tcW w:w="440" w:type="dxa"/>
            <w:vAlign w:val="bottom"/>
            <w:gridSpan w:val="2"/>
          </w:tcPr>
          <w:p>
            <w:pPr>
              <w:jc w:val="right"/>
              <w:ind w:right="255"/>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6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4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received from interest</w:t>
            </w:r>
          </w:p>
        </w:tc>
        <w:tc>
          <w:tcPr>
            <w:tcW w:w="1780" w:type="dxa"/>
            <w:vAlign w:val="bottom"/>
            <w:gridSpan w:val="2"/>
          </w:tcPr>
          <w:p>
            <w:pPr>
              <w:jc w:val="right"/>
              <w:ind w:right="115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61</w:t>
            </w:r>
          </w:p>
        </w:tc>
        <w:tc>
          <w:tcPr>
            <w:tcW w:w="440" w:type="dxa"/>
            <w:vAlign w:val="bottom"/>
            <w:gridSpan w:val="2"/>
          </w:tcPr>
          <w:p>
            <w:pPr>
              <w:jc w:val="right"/>
              <w:ind w:right="255"/>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these interim consolidated financial statements.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INTERIM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NOTE 1 -</w:t>
      </w:r>
      <w:r>
        <w:rPr>
          <w:sz w:val="20"/>
          <w:szCs w:val="20"/>
          <w:color w:val="auto"/>
        </w:rPr>
        <w:tab/>
      </w:r>
      <w:r>
        <w:rPr>
          <w:rFonts w:ascii="Times New Roman" w:cs="Times New Roman" w:eastAsia="Times New Roman" w:hAnsi="Times New Roman"/>
          <w:sz w:val="17"/>
          <w:szCs w:val="17"/>
          <w:b w:val="1"/>
          <w:bCs w:val="1"/>
          <w:color w:val="auto"/>
        </w:rPr>
        <w:t>GENERAL</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b w:val="1"/>
          <w:bCs w:val="1"/>
          <w:color w:val="auto"/>
        </w:rPr>
        <w:t>A. Description of Business:</w:t>
      </w:r>
    </w:p>
    <w:p>
      <w:pPr>
        <w:spacing w:after="0" w:line="229" w:lineRule="exact"/>
        <w:rPr>
          <w:sz w:val="20"/>
          <w:szCs w:val="20"/>
          <w:color w:val="auto"/>
        </w:rPr>
      </w:pPr>
    </w:p>
    <w:p>
      <w:pPr>
        <w:jc w:val="both"/>
        <w:ind w:left="920"/>
        <w:spacing w:after="0" w:line="266" w:lineRule="auto"/>
        <w:rPr>
          <w:sz w:val="20"/>
          <w:szCs w:val="20"/>
          <w:color w:val="auto"/>
        </w:rPr>
      </w:pPr>
      <w:r>
        <w:rPr>
          <w:rFonts w:ascii="Times New Roman" w:cs="Times New Roman" w:eastAsia="Times New Roman" w:hAnsi="Times New Roman"/>
          <w:sz w:val="18"/>
          <w:szCs w:val="18"/>
          <w:color w:val="auto"/>
        </w:rPr>
        <w:t>Microbot Medical Inc. (the “Company”) is a pre-clinical medical device company specializing in the research, design and development of next generation micro-robotics assisted medical technologies targeting the minimally invasive surgery space. The Company is primarily focused on leveraging its micro-robotic technologies with the goal of improving surgical outcomes for patients.</w:t>
      </w:r>
    </w:p>
    <w:p>
      <w:pPr>
        <w:spacing w:after="0" w:line="176" w:lineRule="exact"/>
        <w:rPr>
          <w:sz w:val="20"/>
          <w:szCs w:val="20"/>
          <w:color w:val="auto"/>
        </w:rPr>
      </w:pPr>
    </w:p>
    <w:p>
      <w:pPr>
        <w:jc w:val="both"/>
        <w:ind w:left="920"/>
        <w:spacing w:after="0" w:line="266" w:lineRule="auto"/>
        <w:rPr>
          <w:sz w:val="20"/>
          <w:szCs w:val="20"/>
          <w:color w:val="auto"/>
        </w:rPr>
      </w:pPr>
      <w:r>
        <w:rPr>
          <w:rFonts w:ascii="Times New Roman" w:cs="Times New Roman" w:eastAsia="Times New Roman" w:hAnsi="Times New Roman"/>
          <w:sz w:val="18"/>
          <w:szCs w:val="18"/>
          <w:color w:val="auto"/>
        </w:rPr>
        <w:t>It was incorporated on August 2, 1988 in the State of Delaware under the name Cellular Transplants, Inc. The original Certificate of Incorporation was restated on February 14, 1992 to change the name of the Company to Cyto Therapeutics, Inc. On May 24, 2000, the Certificate of Incorporation as restated was further amended to change the name of the Company to StemCells, Inc.</w:t>
      </w:r>
    </w:p>
    <w:p>
      <w:pPr>
        <w:spacing w:after="0" w:line="176" w:lineRule="exact"/>
        <w:rPr>
          <w:sz w:val="20"/>
          <w:szCs w:val="20"/>
          <w:color w:val="auto"/>
        </w:rPr>
      </w:pPr>
    </w:p>
    <w:p>
      <w:pPr>
        <w:jc w:val="both"/>
        <w:ind w:left="920"/>
        <w:spacing w:after="0" w:line="261" w:lineRule="auto"/>
        <w:rPr>
          <w:sz w:val="20"/>
          <w:szCs w:val="20"/>
          <w:color w:val="auto"/>
        </w:rPr>
      </w:pPr>
      <w:r>
        <w:rPr>
          <w:rFonts w:ascii="Times New Roman" w:cs="Times New Roman" w:eastAsia="Times New Roman" w:hAnsi="Times New Roman"/>
          <w:sz w:val="18"/>
          <w:szCs w:val="18"/>
          <w:color w:val="auto"/>
        </w:rPr>
        <w:t>On November 28, 2016, the Company consummated a transaction pursuant to an Agreement and Plan of Merger, dated August 15, 2016, with Microbot Medical Ltd., a private medical device company organized under the laws of the State of Israel (“Microbot Israel”). On the same day and in connection with the Merger, the Company changed its name from StemCells, Inc. to Microbot Medical Inc. On November 29, 2016, the Company’s common stock began trading on the Nasdaq Capital Market under the symbol “MBOT”.</w:t>
      </w:r>
    </w:p>
    <w:p>
      <w:pPr>
        <w:spacing w:after="0" w:line="180" w:lineRule="exact"/>
        <w:rPr>
          <w:sz w:val="20"/>
          <w:szCs w:val="20"/>
          <w:color w:val="auto"/>
        </w:rPr>
      </w:pPr>
    </w:p>
    <w:p>
      <w:pPr>
        <w:jc w:val="both"/>
        <w:ind w:left="920"/>
        <w:spacing w:after="0" w:line="266" w:lineRule="auto"/>
        <w:rPr>
          <w:sz w:val="20"/>
          <w:szCs w:val="20"/>
          <w:color w:val="auto"/>
        </w:rPr>
      </w:pPr>
      <w:r>
        <w:rPr>
          <w:rFonts w:ascii="Times New Roman" w:cs="Times New Roman" w:eastAsia="Times New Roman" w:hAnsi="Times New Roman"/>
          <w:sz w:val="18"/>
          <w:szCs w:val="18"/>
          <w:color w:val="auto"/>
        </w:rPr>
        <w:t>Prior to the Merger, the Company was a biopharmaceutical company that conducted research, development, and commercialization of stem cell therapeutics and related technologies. The sale of substantially all material assets relating to the stem cell business were completed on November 29, 2016.</w:t>
      </w:r>
    </w:p>
    <w:p>
      <w:pPr>
        <w:spacing w:after="0" w:line="176" w:lineRule="exact"/>
        <w:rPr>
          <w:sz w:val="20"/>
          <w:szCs w:val="20"/>
          <w:color w:val="auto"/>
        </w:rPr>
      </w:pPr>
    </w:p>
    <w:p>
      <w:pPr>
        <w:jc w:val="both"/>
        <w:ind w:left="920"/>
        <w:spacing w:after="0" w:line="282" w:lineRule="auto"/>
        <w:rPr>
          <w:sz w:val="20"/>
          <w:szCs w:val="20"/>
          <w:color w:val="auto"/>
        </w:rPr>
      </w:pPr>
      <w:r>
        <w:rPr>
          <w:rFonts w:ascii="Times New Roman" w:cs="Times New Roman" w:eastAsia="Times New Roman" w:hAnsi="Times New Roman"/>
          <w:sz w:val="18"/>
          <w:szCs w:val="18"/>
          <w:color w:val="auto"/>
        </w:rPr>
        <w:t>The Company and its subsidiaries are collectively referred to as the “Company”. “StemCells” or “StemCells, Inc.” refers to the Company prior to the Merger.</w:t>
      </w:r>
    </w:p>
    <w:p>
      <w:pPr>
        <w:spacing w:after="0" w:line="15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b w:val="1"/>
          <w:bCs w:val="1"/>
          <w:color w:val="auto"/>
        </w:rPr>
        <w:t>B. Going Concern:</w:t>
      </w:r>
    </w:p>
    <w:p>
      <w:pPr>
        <w:spacing w:after="0" w:line="229" w:lineRule="exact"/>
        <w:rPr>
          <w:sz w:val="20"/>
          <w:szCs w:val="20"/>
          <w:color w:val="auto"/>
        </w:rPr>
      </w:pPr>
    </w:p>
    <w:p>
      <w:pPr>
        <w:jc w:val="both"/>
        <w:ind w:left="920"/>
        <w:spacing w:after="0" w:line="253" w:lineRule="auto"/>
        <w:rPr>
          <w:sz w:val="20"/>
          <w:szCs w:val="20"/>
          <w:color w:val="auto"/>
        </w:rPr>
      </w:pPr>
      <w:r>
        <w:rPr>
          <w:rFonts w:ascii="Times New Roman" w:cs="Times New Roman" w:eastAsia="Times New Roman" w:hAnsi="Times New Roman"/>
          <w:sz w:val="18"/>
          <w:szCs w:val="18"/>
          <w:color w:val="auto"/>
        </w:rPr>
        <w:t>The unaudited financial statements as of September 30, 2019 have been prepared under the assumption that the Company will continue as a going concern for the next 12 months. The Company’s ability to continue as a going concern is dependent upon its uncertain ability to obtain additional equity and/or debt financing and reduce expenditures. The Company has incurred operating losses and negative cash flows from operating activities each year since inception. As of September 30, 2019, the Company had an accumulated deficit of approximately $33,241. Due to continuing research and development activities, the Company expects to continue to incur additional losses for the foreseeable future. The Company’s management plans to continue to fund its current operations as well as other development activities relating to additional product candidates, through future issuances of either debt and/or equity securities and possibly additional grants from the Israeli Innovation Authority and other government institutions. The Company’s ability to raise additional capital in the equity and debt markets is dependent on a number of factors, including, but not limited to, the market demand for the Company’s stock, which itself is subject to a number of development and business risks and uncertainties, as well as the uncertainty that the Company would be able to raise such additional capital at a price or on terms that are favorable to the Company. These factors raise substantial doubt to the company’s ability to continue as a going concern.</w:t>
      </w:r>
    </w:p>
    <w:p>
      <w:pPr>
        <w:spacing w:after="0" w:line="193" w:lineRule="exact"/>
        <w:rPr>
          <w:sz w:val="20"/>
          <w:szCs w:val="20"/>
          <w:color w:val="auto"/>
        </w:rPr>
      </w:pPr>
    </w:p>
    <w:p>
      <w:pPr>
        <w:jc w:val="both"/>
        <w:ind w:left="920"/>
        <w:spacing w:after="0" w:line="266" w:lineRule="auto"/>
        <w:rPr>
          <w:sz w:val="20"/>
          <w:szCs w:val="20"/>
          <w:color w:val="auto"/>
        </w:rPr>
      </w:pPr>
      <w:r>
        <w:rPr>
          <w:rFonts w:ascii="Times New Roman" w:cs="Times New Roman" w:eastAsia="Times New Roman" w:hAnsi="Times New Roman"/>
          <w:sz w:val="18"/>
          <w:szCs w:val="18"/>
          <w:color w:val="auto"/>
        </w:rPr>
        <w:t>The accompanying financial statements as of September 30, 2019 do not include any adjustments that might result from the outcome of this uncertainty. If the Company is unable to continue as a going concern, it may have to liquidate its assets and may receive less than the value at which those assets are carried on the financial statements.</w:t>
      </w:r>
    </w:p>
    <w:p>
      <w:pPr>
        <w:spacing w:after="0" w:line="17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b w:val="1"/>
          <w:bCs w:val="1"/>
          <w:color w:val="auto"/>
        </w:rPr>
        <w:t>C. Use of Estimates:</w:t>
      </w:r>
    </w:p>
    <w:p>
      <w:pPr>
        <w:spacing w:after="0" w:line="229" w:lineRule="exact"/>
        <w:rPr>
          <w:sz w:val="20"/>
          <w:szCs w:val="20"/>
          <w:color w:val="auto"/>
        </w:rPr>
      </w:pPr>
    </w:p>
    <w:p>
      <w:pPr>
        <w:jc w:val="both"/>
        <w:ind w:left="920"/>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pertaining to transactions and matters whose ultimate effect on the financial statements cannot precisely be determined at the time of financial statements preparation. Although these estimates are based on management’s best judgment, actual results may differ from these estimates.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INTERIM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b w:val="1"/>
          <w:bCs w:val="1"/>
          <w:color w:val="auto"/>
        </w:rPr>
        <w:t>D. Reverse Stock Split:</w:t>
      </w:r>
    </w:p>
    <w:p>
      <w:pPr>
        <w:spacing w:after="0" w:line="229" w:lineRule="exact"/>
        <w:rPr>
          <w:sz w:val="20"/>
          <w:szCs w:val="20"/>
          <w:color w:val="auto"/>
        </w:rPr>
      </w:pPr>
    </w:p>
    <w:p>
      <w:pPr>
        <w:jc w:val="both"/>
        <w:ind w:left="920"/>
        <w:spacing w:after="0" w:line="254" w:lineRule="auto"/>
        <w:rPr>
          <w:sz w:val="20"/>
          <w:szCs w:val="20"/>
          <w:color w:val="auto"/>
        </w:rPr>
      </w:pPr>
      <w:r>
        <w:rPr>
          <w:rFonts w:ascii="Times New Roman" w:cs="Times New Roman" w:eastAsia="Times New Roman" w:hAnsi="Times New Roman"/>
          <w:sz w:val="18"/>
          <w:szCs w:val="18"/>
          <w:color w:val="auto"/>
        </w:rPr>
        <w:t>On September 4, 2018, the Company filed a Certificate of Amendment to its Restated Certificate of Incorporation with the Secretary of State of the State of Delaware to affect a one-for-15 reverse stock split of the Company’s common stock (the “Reverse Split”). As a result of the Reverse Split, every 15 shares of the Company’s old common stock were converted into one share of the Company’s new common stock. Fractional shares resulting from the Reverse Split were rounded up to the nearest whole number. The Reverse Split automatically and proportionately adjusted, based on the one-for-fifteen split ratio, all issued and outstanding shares of the Company’s common stock, as well as common stock underlying convertible preferred stock, stock options, warrants and other derivative securities outstanding at the time of the effectiveness of the Reverse Split. The exercise price on outstanding equity based-grants was proportionately increased, while the number of shares available under the Company’s equity-based plans was also proportionately reduced. Share and per share data (except par value) for the periods presented reflect the effects of the Reverse Split. References to numbers of shares of common stock and per share data in the accompanying financial statements and notes thereto for periods ended prior to September 4, 2018 have been adjusted to reflect the Reverse Split on a retroactive basis.</w:t>
      </w:r>
    </w:p>
    <w:p>
      <w:pPr>
        <w:spacing w:after="0" w:line="18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NOTE 2 -</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b w:val="1"/>
          <w:bCs w:val="1"/>
          <w:color w:val="auto"/>
        </w:rPr>
        <w:t>Unaudited Interim Financial Statements:</w:t>
      </w:r>
    </w:p>
    <w:p>
      <w:pPr>
        <w:spacing w:after="0" w:line="229" w:lineRule="exact"/>
        <w:rPr>
          <w:sz w:val="20"/>
          <w:szCs w:val="20"/>
          <w:color w:val="auto"/>
        </w:rPr>
      </w:pPr>
    </w:p>
    <w:p>
      <w:pPr>
        <w:jc w:val="both"/>
        <w:ind w:left="920"/>
        <w:spacing w:after="0" w:line="258" w:lineRule="auto"/>
        <w:rPr>
          <w:sz w:val="20"/>
          <w:szCs w:val="20"/>
          <w:color w:val="auto"/>
        </w:rPr>
      </w:pPr>
      <w:r>
        <w:rPr>
          <w:rFonts w:ascii="Times New Roman" w:cs="Times New Roman" w:eastAsia="Times New Roman" w:hAnsi="Times New Roman"/>
          <w:sz w:val="18"/>
          <w:szCs w:val="18"/>
          <w:color w:val="auto"/>
        </w:rPr>
        <w:t>The accompanying unaudited interim condensed consolidated financial statements have been prepared in accordance with U.S. GAAP for interim financial information and with the instructions to Form 10-Q and Article 10 of U.S. Securities and Exchange Commission (“SEC”) regulations. Accordingly, they do not include all the information and footnotes required by GAAP for complete financial statements. In the opinion of management, all adjustments considered necessary for a fair presentation have been included (consisting only of normal recurring adjustments except as otherwise discussed).</w:t>
      </w:r>
    </w:p>
    <w:p>
      <w:pPr>
        <w:spacing w:after="0" w:line="184" w:lineRule="exact"/>
        <w:rPr>
          <w:sz w:val="20"/>
          <w:szCs w:val="20"/>
          <w:color w:val="auto"/>
        </w:rPr>
      </w:pPr>
    </w:p>
    <w:p>
      <w:pPr>
        <w:jc w:val="both"/>
        <w:ind w:left="920"/>
        <w:spacing w:after="0" w:line="282" w:lineRule="auto"/>
        <w:rPr>
          <w:sz w:val="20"/>
          <w:szCs w:val="20"/>
          <w:color w:val="auto"/>
        </w:rPr>
      </w:pPr>
      <w:r>
        <w:rPr>
          <w:rFonts w:ascii="Times New Roman" w:cs="Times New Roman" w:eastAsia="Times New Roman" w:hAnsi="Times New Roman"/>
          <w:sz w:val="18"/>
          <w:szCs w:val="18"/>
          <w:color w:val="auto"/>
        </w:rPr>
        <w:t>Operating results for the three- and nine-month periods ended September 30, 2019, are not necessarily indicative of the results that may be expected for the year ended December 31, 2019.</w:t>
      </w:r>
    </w:p>
    <w:p>
      <w:pPr>
        <w:spacing w:after="0" w:line="15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b w:val="1"/>
          <w:bCs w:val="1"/>
          <w:color w:val="auto"/>
        </w:rPr>
        <w:t>Significant Accounting Policies:</w:t>
      </w:r>
    </w:p>
    <w:p>
      <w:pPr>
        <w:spacing w:after="0" w:line="229" w:lineRule="exact"/>
        <w:rPr>
          <w:sz w:val="20"/>
          <w:szCs w:val="20"/>
          <w:color w:val="auto"/>
        </w:rPr>
      </w:pPr>
    </w:p>
    <w:p>
      <w:pPr>
        <w:jc w:val="both"/>
        <w:ind w:left="920"/>
        <w:spacing w:after="0" w:line="282" w:lineRule="auto"/>
        <w:rPr>
          <w:sz w:val="20"/>
          <w:szCs w:val="20"/>
          <w:color w:val="auto"/>
        </w:rPr>
      </w:pPr>
      <w:r>
        <w:rPr>
          <w:rFonts w:ascii="Times New Roman" w:cs="Times New Roman" w:eastAsia="Times New Roman" w:hAnsi="Times New Roman"/>
          <w:sz w:val="18"/>
          <w:szCs w:val="18"/>
          <w:color w:val="auto"/>
        </w:rPr>
        <w:t>The significant accounting policies followed in the preparation of these unaudited interim condensed consolidated financial statements are identical to those applied in the preparation of the latest annual audited financial statements with the exception of the following:</w:t>
      </w:r>
    </w:p>
    <w:p>
      <w:pPr>
        <w:spacing w:after="0" w:line="15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b w:val="1"/>
          <w:bCs w:val="1"/>
          <w:color w:val="auto"/>
        </w:rPr>
        <w:t>Short-term Investments:</w:t>
      </w:r>
    </w:p>
    <w:p>
      <w:pPr>
        <w:spacing w:after="0" w:line="22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Company began investing excess cash in short-term investments during the first quarter of 2019.</w:t>
      </w:r>
    </w:p>
    <w:p>
      <w:pPr>
        <w:spacing w:after="0" w:line="225" w:lineRule="exact"/>
        <w:rPr>
          <w:sz w:val="20"/>
          <w:szCs w:val="20"/>
          <w:color w:val="auto"/>
        </w:rPr>
      </w:pPr>
    </w:p>
    <w:p>
      <w:pPr>
        <w:jc w:val="both"/>
        <w:ind w:left="920"/>
        <w:spacing w:after="0" w:line="258" w:lineRule="auto"/>
        <w:rPr>
          <w:sz w:val="20"/>
          <w:szCs w:val="20"/>
          <w:color w:val="auto"/>
        </w:rPr>
      </w:pPr>
      <w:r>
        <w:rPr>
          <w:rFonts w:ascii="Times New Roman" w:cs="Times New Roman" w:eastAsia="Times New Roman" w:hAnsi="Times New Roman"/>
          <w:sz w:val="18"/>
          <w:szCs w:val="18"/>
          <w:color w:val="auto"/>
        </w:rPr>
        <w:t>Marketable debt securities are considered to be available for sale and are carried at fair value. Unrealized gains and losses net of tax, if any, are reported as a separate component of shareholders’ equity. The cost of marketable debt securities classified as available for sale is adjusted for amortization of premiums and accretion of discounts to maturity. Such amortization and accretion are included in interest income. Realized gains and losses and declines in value judged to be other than temporary, if any, are also included in other income, net. Interest on securities classified as available for sale is included in interest income. The cost of securities sold is based on the specific identification method.</w:t>
      </w:r>
    </w:p>
    <w:p>
      <w:pPr>
        <w:spacing w:after="0" w:line="184" w:lineRule="exact"/>
        <w:rPr>
          <w:sz w:val="20"/>
          <w:szCs w:val="20"/>
          <w:color w:val="auto"/>
        </w:rPr>
      </w:pPr>
    </w:p>
    <w:p>
      <w:pPr>
        <w:jc w:val="both"/>
        <w:ind w:left="920"/>
        <w:spacing w:after="0" w:line="258" w:lineRule="auto"/>
        <w:rPr>
          <w:sz w:val="20"/>
          <w:szCs w:val="20"/>
          <w:color w:val="auto"/>
        </w:rPr>
      </w:pPr>
      <w:r>
        <w:rPr>
          <w:rFonts w:ascii="Times New Roman" w:cs="Times New Roman" w:eastAsia="Times New Roman" w:hAnsi="Times New Roman"/>
          <w:sz w:val="18"/>
          <w:szCs w:val="18"/>
          <w:color w:val="auto"/>
        </w:rPr>
        <w:t>Management evaluates whether available-for-sale securities are other-than-temporarily impaired (OTTI) on a quarterly basis. Debt securities with unrealized losses are considered OTTI if the Company intends to sell the security or if it is more likely than not that the Company will be required to sell such security prior to any anticipated recovery. If management determines that a security is OTTI under these circumstances, the impairment recognized in earnings is measured as the entire difference between the amortized cost and the then-current fair value. During the three and nine-months ended September 30, 2019, no investment OTTI losses were realized.</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9" w:name="page10"/>
    <w:bookmarkEnd w:id="9"/>
    <w:p>
      <w:pPr>
        <w:jc w:val="center"/>
        <w:ind w:right="920"/>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b w:val="1"/>
          <w:bCs w:val="1"/>
          <w:u w:val="single" w:color="auto"/>
          <w:color w:val="auto"/>
        </w:rPr>
        <w:t>NOTES TO INTERIM CONSOLIDATED FINANCIAL STATEMENTS</w:t>
      </w:r>
    </w:p>
    <w:p>
      <w:pPr>
        <w:spacing w:after="0" w:line="9"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carrying values of cash and cash equivalents, other receivable and other accounts payable and accrued liabilities approximate their fair value due to the short-term maturity of these instruments.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measures the fair value of certain of its financial instruments (marketable debt security) on a recurring basis.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fair value hierarchy is used to rank the quality and reliability of the information used to determine fair values. Financial assets and liabilities carried at fair value will be classified and disclosed in one of the following three categories: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 Quoted prices (unadjusted) in active markets for identical assets and liabilities.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 Inputs other than Level 1 that are observable, either directly or indirectly, such as unadjusted quoted prices for similar assets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liabilities, unadjusted quoted prices in the markets that are not active, or other inputs that are observable or can be corroborated by observable market data for substantially the full term of the assets or liabilities.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 Unobservable inputs that are supported by little or no market activity and that are significant to the fair value of the assets or liabilities.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prior period amounts have been reclassified to conform to current period presentation.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February 2016, the Financial Accounting Standards Board (“FASB”) issued ASU 2016-02, Leases (Topic 842). This ASU requires entities that lease assets to recognize on the balance sheet the assets and liabilities for the rights and obligations created by leases with lease terms of more than 12 months. The Company adopted this ASU effective January 1, 2019 using the modified retrospective application, applying the new standard to leases in place as of the adoption date. Prior periods have not been adjusted.</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Arrangements that are determined to be leases at inception are recognized as long-term right-of-use assets (“ROU”) and lease liabilities in the condensed consolidated balance sheet at lease commencement. Operating lease ROU assets and operating lease liabilities are recognized based on the present value of the future fixed lease payments over the lease term at commencement date. As most of the Company’s leases do not provide an implicit rate, the Company applies its incremental borrowing rate based on the economic environment at commencement date in determining the present value of future payments. Lease terms may include options to extend or terminate the lease when it is reasonably certain that the Company will exercise that option. Lease expense for operating leases or payments are recognized on a straight-line basis over the lease term.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Prior to January 1, 2019, warrants with non-standard anti-dilution provisions (referred to as down round protection) were classified as liabilities and re-measured each reporting period. On January 1, 2019, the Company adopted the provisions of Accounting Standards Update (“ASU”) 2017-11, which includes Part I “Accounting for Certain Financial Instruments with Down Round Features” and Part II “Replacement of the Indefinite Deferral for Mandatorily Redeemable Financial Instruments of Certain Nonpublic Entities and Certain Mandatorily Redeemable Non-Controlling Interests with a Scope Exception”, which indicates that a down round feature no longer precludes equity classification when assessing whether an investment is indexed to an entity’s own stock. The Company used a full retrospective approach to adoption and restated its financial statements as of the earliest period presented. As a result of the adoption of ASU 2017-11, the Company’s warrants were reclassified from liabilities to shareholders’ equity.</w:t>
      </w:r>
    </w:p>
    <w:p>
      <w:pPr>
        <w:spacing w:after="0" w:line="185"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17145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500"/>
          </w:cols>
          <w:pgMar w:left="1160" w:top="684" w:right="2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INTERIM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234"/>
        </w:trPr>
        <w:tc>
          <w:tcPr>
            <w:tcW w:w="6100" w:type="dxa"/>
            <w:vAlign w:val="bottom"/>
            <w:gridSpan w:val="3"/>
          </w:tcPr>
          <w:p>
            <w:pPr>
              <w:jc w:val="right"/>
              <w:ind w:right="890"/>
              <w:spacing w:after="0"/>
              <w:rPr>
                <w:sz w:val="20"/>
                <w:szCs w:val="20"/>
                <w:color w:val="auto"/>
              </w:rPr>
            </w:pPr>
            <w:r>
              <w:rPr>
                <w:rFonts w:ascii="Times New Roman" w:cs="Times New Roman" w:eastAsia="Times New Roman" w:hAnsi="Times New Roman"/>
                <w:sz w:val="18"/>
                <w:szCs w:val="18"/>
                <w:color w:val="auto"/>
                <w:w w:val="99"/>
              </w:rPr>
              <w:t>The cumulative effect of adoption of ASU 2017-11 resulted as follows:</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5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1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For the</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For the</w:t>
            </w:r>
          </w:p>
        </w:tc>
      </w:tr>
      <w:tr>
        <w:trPr>
          <w:trHeight w:val="216"/>
        </w:trPr>
        <w:tc>
          <w:tcPr>
            <w:tcW w:w="5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Nine Months ended</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year ended</w:t>
            </w:r>
          </w:p>
        </w:tc>
      </w:tr>
      <w:tr>
        <w:trPr>
          <w:trHeight w:val="241"/>
        </w:trPr>
        <w:tc>
          <w:tcPr>
            <w:tcW w:w="5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September 30, 2018</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December 31 2018</w:t>
            </w:r>
          </w:p>
        </w:tc>
      </w:tr>
      <w:tr>
        <w:trPr>
          <w:trHeight w:val="216"/>
        </w:trPr>
        <w:tc>
          <w:tcPr>
            <w:tcW w:w="5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1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0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warrant liability</w:t>
            </w:r>
          </w:p>
        </w:tc>
        <w:tc>
          <w:tcPr>
            <w:tcW w:w="2160" w:type="dxa"/>
            <w:vAlign w:val="bottom"/>
            <w:shd w:val="clear" w:color="auto" w:fill="CCEEFF"/>
          </w:tcPr>
          <w:p>
            <w:pPr>
              <w:jc w:val="right"/>
              <w:ind w:right="197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2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5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160" w:type="dxa"/>
            <w:vAlign w:val="bottom"/>
          </w:tcPr>
          <w:p>
            <w:pPr>
              <w:jc w:val="right"/>
              <w:ind w:right="197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2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5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160" w:type="dxa"/>
            <w:vAlign w:val="bottom"/>
            <w:shd w:val="clear" w:color="auto" w:fill="CCEEFF"/>
          </w:tcPr>
          <w:p>
            <w:pPr>
              <w:jc w:val="right"/>
              <w:ind w:right="197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2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w:t>
            </w:r>
          </w:p>
        </w:tc>
      </w:tr>
    </w:tbl>
    <w:p>
      <w:pPr>
        <w:spacing w:after="0" w:line="19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Refer to Note 6 for further information regarding the outstanding warrants as of September 30, 2019.</w:t>
      </w:r>
    </w:p>
    <w:p>
      <w:pPr>
        <w:spacing w:after="0" w:line="22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b w:val="1"/>
          <w:bCs w:val="1"/>
          <w:color w:val="auto"/>
        </w:rPr>
        <w:t>Recent Accounting Standards:</w:t>
      </w:r>
    </w:p>
    <w:p>
      <w:pPr>
        <w:spacing w:after="0" w:line="229" w:lineRule="exact"/>
        <w:rPr>
          <w:sz w:val="20"/>
          <w:szCs w:val="20"/>
          <w:color w:val="auto"/>
        </w:rPr>
      </w:pPr>
    </w:p>
    <w:p>
      <w:pPr>
        <w:jc w:val="both"/>
        <w:ind w:left="920"/>
        <w:spacing w:after="0" w:line="258" w:lineRule="auto"/>
        <w:rPr>
          <w:sz w:val="20"/>
          <w:szCs w:val="20"/>
          <w:color w:val="auto"/>
        </w:rPr>
      </w:pPr>
      <w:r>
        <w:rPr>
          <w:rFonts w:ascii="Times New Roman" w:cs="Times New Roman" w:eastAsia="Times New Roman" w:hAnsi="Times New Roman"/>
          <w:sz w:val="18"/>
          <w:szCs w:val="18"/>
          <w:color w:val="auto"/>
        </w:rPr>
        <w:t>In June 2016, the FASB issued ASU 2016-13 “Financial Instruments – Credit Losses” to improve information on credit losses for financial assets and net investment in leases that are not accounted for at fair value through net income. This ASU replaces the current incurred loss impairment methodology with a methodology that reflects expected credit losses. This ASU is effective for the Company in the first quarter of 2020, with early adoption permitted. The Company does not expect that this ASU will have a material effect on the Company’s consolidated financial statements.</w:t>
      </w:r>
    </w:p>
    <w:p>
      <w:pPr>
        <w:spacing w:after="0" w:line="184" w:lineRule="exact"/>
        <w:rPr>
          <w:sz w:val="20"/>
          <w:szCs w:val="20"/>
          <w:color w:val="auto"/>
        </w:rPr>
      </w:pPr>
    </w:p>
    <w:p>
      <w:pPr>
        <w:jc w:val="both"/>
        <w:ind w:left="920"/>
        <w:spacing w:after="0" w:line="261" w:lineRule="auto"/>
        <w:rPr>
          <w:sz w:val="20"/>
          <w:szCs w:val="20"/>
          <w:color w:val="auto"/>
        </w:rPr>
      </w:pPr>
      <w:r>
        <w:rPr>
          <w:rFonts w:ascii="Times New Roman" w:cs="Times New Roman" w:eastAsia="Times New Roman" w:hAnsi="Times New Roman"/>
          <w:sz w:val="18"/>
          <w:szCs w:val="18"/>
          <w:color w:val="auto"/>
        </w:rPr>
        <w:t>In August 2018, the FASB issued ASU 2018-13, “Changes to Disclosure Requirements for Fair Value Measurements”, which will improve the effectiveness of disclosure requirements for recurring and nonrecurring fair value measurements. This ASU removes, modifies, and adds certain disclosure requirements, and is effective for the Company beginning on January 1, 2020. The Company does not expect that this ASU will have a material effect on the Company’s consolidated financial statements.</w:t>
      </w:r>
    </w:p>
    <w:p>
      <w:pPr>
        <w:spacing w:after="0" w:line="17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NOTE 3 -</w:t>
      </w:r>
      <w:r>
        <w:rPr>
          <w:sz w:val="20"/>
          <w:szCs w:val="20"/>
          <w:color w:val="auto"/>
        </w:rPr>
        <w:tab/>
      </w:r>
      <w:r>
        <w:rPr>
          <w:rFonts w:ascii="Times New Roman" w:cs="Times New Roman" w:eastAsia="Times New Roman" w:hAnsi="Times New Roman"/>
          <w:sz w:val="17"/>
          <w:szCs w:val="17"/>
          <w:b w:val="1"/>
          <w:bCs w:val="1"/>
          <w:color w:val="auto"/>
        </w:rPr>
        <w:t>SHORT-TERM INVESTMENTS</w:t>
      </w:r>
    </w:p>
    <w:p>
      <w:pPr>
        <w:spacing w:after="0" w:line="22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following table summarizes the Company’s marketable debt securities as of September 30, 2019 and December 31, 2018.</w:t>
      </w:r>
    </w:p>
    <w:p>
      <w:pPr>
        <w:spacing w:after="0" w:line="239" w:lineRule="exact"/>
        <w:rPr>
          <w:sz w:val="20"/>
          <w:szCs w:val="20"/>
          <w:color w:val="auto"/>
        </w:rPr>
      </w:pPr>
    </w:p>
    <w:tbl>
      <w:tblPr>
        <w:tblLayout w:type="fixed"/>
        <w:tblInd w:w="920" w:type="dxa"/>
        <w:tblCellMar>
          <w:top w:w="0" w:type="dxa"/>
          <w:left w:w="0" w:type="dxa"/>
          <w:bottom w:w="0" w:type="dxa"/>
          <w:right w:w="0" w:type="dxa"/>
        </w:tblCellMar>
      </w:tblPr>
      <w:tr>
        <w:trPr>
          <w:trHeight w:val="241"/>
        </w:trPr>
        <w:tc>
          <w:tcPr>
            <w:tcW w:w="36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8"/>
                <w:szCs w:val="18"/>
                <w:color w:val="auto"/>
              </w:rPr>
              <w:t>As of September 30, 2019</w:t>
            </w: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98"/>
        </w:trPr>
        <w:tc>
          <w:tcPr>
            <w:tcW w:w="3680" w:type="dxa"/>
            <w:vAlign w:val="bottom"/>
          </w:tcPr>
          <w:p>
            <w:pPr>
              <w:spacing w:after="0"/>
              <w:rPr>
                <w:sz w:val="17"/>
                <w:szCs w:val="17"/>
                <w:color w:val="auto"/>
              </w:rPr>
            </w:pPr>
          </w:p>
        </w:tc>
        <w:tc>
          <w:tcPr>
            <w:tcW w:w="1120" w:type="dxa"/>
            <w:vAlign w:val="bottom"/>
            <w:gridSpan w:val="3"/>
          </w:tcPr>
          <w:p>
            <w:pPr>
              <w:jc w:val="right"/>
              <w:ind w:right="280"/>
              <w:spacing w:after="0" w:line="198" w:lineRule="exact"/>
              <w:rPr>
                <w:sz w:val="20"/>
                <w:szCs w:val="20"/>
                <w:color w:val="auto"/>
              </w:rPr>
            </w:pPr>
            <w:r>
              <w:rPr>
                <w:rFonts w:ascii="Times New Roman" w:cs="Times New Roman" w:eastAsia="Times New Roman" w:hAnsi="Times New Roman"/>
                <w:sz w:val="18"/>
                <w:szCs w:val="18"/>
                <w:color w:val="auto"/>
              </w:rPr>
              <w:t>Amortized</w:t>
            </w:r>
          </w:p>
        </w:tc>
        <w:tc>
          <w:tcPr>
            <w:tcW w:w="1100" w:type="dxa"/>
            <w:vAlign w:val="bottom"/>
            <w:gridSpan w:val="3"/>
          </w:tcPr>
          <w:p>
            <w:pPr>
              <w:ind w:left="60"/>
              <w:spacing w:after="0" w:line="198" w:lineRule="exact"/>
              <w:rPr>
                <w:sz w:val="20"/>
                <w:szCs w:val="20"/>
                <w:color w:val="auto"/>
              </w:rPr>
            </w:pPr>
            <w:r>
              <w:rPr>
                <w:rFonts w:ascii="Times New Roman" w:cs="Times New Roman" w:eastAsia="Times New Roman" w:hAnsi="Times New Roman"/>
                <w:sz w:val="18"/>
                <w:szCs w:val="18"/>
                <w:color w:val="auto"/>
              </w:rPr>
              <w:t>Unrealized</w:t>
            </w:r>
          </w:p>
        </w:tc>
        <w:tc>
          <w:tcPr>
            <w:tcW w:w="100" w:type="dxa"/>
            <w:vAlign w:val="bottom"/>
          </w:tcPr>
          <w:p>
            <w:pPr>
              <w:spacing w:after="0"/>
              <w:rPr>
                <w:sz w:val="17"/>
                <w:szCs w:val="17"/>
                <w:color w:val="auto"/>
              </w:rPr>
            </w:pPr>
          </w:p>
        </w:tc>
        <w:tc>
          <w:tcPr>
            <w:tcW w:w="1020" w:type="dxa"/>
            <w:vAlign w:val="bottom"/>
            <w:gridSpan w:val="2"/>
          </w:tcPr>
          <w:p>
            <w:pPr>
              <w:jc w:val="right"/>
              <w:ind w:right="340"/>
              <w:spacing w:after="0" w:line="198" w:lineRule="exact"/>
              <w:rPr>
                <w:sz w:val="20"/>
                <w:szCs w:val="20"/>
                <w:color w:val="auto"/>
              </w:rPr>
            </w:pPr>
            <w:r>
              <w:rPr>
                <w:rFonts w:ascii="Times New Roman" w:cs="Times New Roman" w:eastAsia="Times New Roman" w:hAnsi="Times New Roman"/>
                <w:sz w:val="18"/>
                <w:szCs w:val="18"/>
                <w:color w:val="auto"/>
              </w:rPr>
              <w:t>Realized</w:t>
            </w:r>
          </w:p>
        </w:tc>
        <w:tc>
          <w:tcPr>
            <w:tcW w:w="100" w:type="dxa"/>
            <w:vAlign w:val="bottom"/>
          </w:tcPr>
          <w:p>
            <w:pPr>
              <w:spacing w:after="0"/>
              <w:rPr>
                <w:sz w:val="17"/>
                <w:szCs w:val="17"/>
                <w:color w:val="auto"/>
              </w:rPr>
            </w:pPr>
          </w:p>
        </w:tc>
        <w:tc>
          <w:tcPr>
            <w:tcW w:w="780" w:type="dxa"/>
            <w:vAlign w:val="bottom"/>
          </w:tcPr>
          <w:p>
            <w:pPr>
              <w:jc w:val="right"/>
              <w:ind w:right="210"/>
              <w:spacing w:after="0" w:line="198" w:lineRule="exact"/>
              <w:rPr>
                <w:sz w:val="20"/>
                <w:szCs w:val="20"/>
                <w:color w:val="auto"/>
              </w:rPr>
            </w:pPr>
            <w:r>
              <w:rPr>
                <w:rFonts w:ascii="Times New Roman" w:cs="Times New Roman" w:eastAsia="Times New Roman" w:hAnsi="Times New Roman"/>
                <w:sz w:val="18"/>
                <w:szCs w:val="18"/>
                <w:color w:val="auto"/>
              </w:rPr>
              <w:t>Fair</w:t>
            </w:r>
          </w:p>
        </w:tc>
        <w:tc>
          <w:tcPr>
            <w:tcW w:w="80" w:type="dxa"/>
            <w:vAlign w:val="bottom"/>
          </w:tcPr>
          <w:p>
            <w:pPr>
              <w:spacing w:after="0"/>
              <w:rPr>
                <w:sz w:val="17"/>
                <w:szCs w:val="17"/>
                <w:color w:val="auto"/>
              </w:rPr>
            </w:pPr>
          </w:p>
        </w:tc>
      </w:tr>
      <w:tr>
        <w:trPr>
          <w:trHeight w:val="241"/>
        </w:trPr>
        <w:tc>
          <w:tcPr>
            <w:tcW w:w="3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cost</w:t>
            </w:r>
          </w:p>
        </w:tc>
        <w:tc>
          <w:tcPr>
            <w:tcW w:w="100" w:type="dxa"/>
            <w:vAlign w:val="bottom"/>
          </w:tcPr>
          <w:p>
            <w:pPr>
              <w:spacing w:after="0"/>
              <w:rPr>
                <w:sz w:val="20"/>
                <w:szCs w:val="20"/>
                <w:color w:val="auto"/>
              </w:rPr>
            </w:pP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gains</w:t>
            </w:r>
          </w:p>
        </w:tc>
        <w:tc>
          <w:tcPr>
            <w:tcW w:w="100" w:type="dxa"/>
            <w:vAlign w:val="bottom"/>
          </w:tcPr>
          <w:p>
            <w:pPr>
              <w:spacing w:after="0"/>
              <w:rPr>
                <w:sz w:val="20"/>
                <w:szCs w:val="20"/>
                <w:color w:val="auto"/>
              </w:rPr>
            </w:pPr>
          </w:p>
        </w:tc>
        <w:tc>
          <w:tcPr>
            <w:tcW w:w="10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gains</w:t>
            </w:r>
          </w:p>
        </w:tc>
        <w:tc>
          <w:tcPr>
            <w:tcW w:w="100" w:type="dxa"/>
            <w:vAlign w:val="bottom"/>
          </w:tcPr>
          <w:p>
            <w:pPr>
              <w:spacing w:after="0"/>
              <w:rPr>
                <w:sz w:val="20"/>
                <w:szCs w:val="20"/>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value</w:t>
            </w:r>
          </w:p>
        </w:tc>
      </w:tr>
      <w:tr>
        <w:trPr>
          <w:trHeight w:val="243"/>
        </w:trPr>
        <w:tc>
          <w:tcPr>
            <w:tcW w:w="368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Bond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2,503</w:t>
            </w: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447"/>
        </w:trPr>
        <w:tc>
          <w:tcPr>
            <w:tcW w:w="3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5"/>
          </w:tcPr>
          <w:p>
            <w:pPr>
              <w:jc w:val="right"/>
              <w:ind w:right="240"/>
              <w:spacing w:after="0"/>
              <w:rPr>
                <w:sz w:val="20"/>
                <w:szCs w:val="20"/>
                <w:color w:val="auto"/>
              </w:rPr>
            </w:pPr>
            <w:r>
              <w:rPr>
                <w:rFonts w:ascii="Times New Roman" w:cs="Times New Roman" w:eastAsia="Times New Roman" w:hAnsi="Times New Roman"/>
                <w:sz w:val="18"/>
                <w:szCs w:val="18"/>
                <w:color w:val="auto"/>
              </w:rPr>
              <w:t>As of December 31, 2018</w:t>
            </w: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98"/>
        </w:trPr>
        <w:tc>
          <w:tcPr>
            <w:tcW w:w="3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20"/>
              <w:spacing w:after="0" w:line="198" w:lineRule="exact"/>
              <w:rPr>
                <w:sz w:val="20"/>
                <w:szCs w:val="20"/>
                <w:color w:val="auto"/>
              </w:rPr>
            </w:pPr>
            <w:r>
              <w:rPr>
                <w:rFonts w:ascii="Times New Roman" w:cs="Times New Roman" w:eastAsia="Times New Roman" w:hAnsi="Times New Roman"/>
                <w:sz w:val="18"/>
                <w:szCs w:val="18"/>
                <w:color w:val="auto"/>
              </w:rPr>
              <w:t>Amortized</w:t>
            </w:r>
          </w:p>
        </w:tc>
        <w:tc>
          <w:tcPr>
            <w:tcW w:w="100" w:type="dxa"/>
            <w:vAlign w:val="bottom"/>
          </w:tcPr>
          <w:p>
            <w:pPr>
              <w:spacing w:after="0"/>
              <w:rPr>
                <w:sz w:val="17"/>
                <w:szCs w:val="17"/>
                <w:color w:val="auto"/>
              </w:rPr>
            </w:pPr>
          </w:p>
        </w:tc>
        <w:tc>
          <w:tcPr>
            <w:tcW w:w="1000" w:type="dxa"/>
            <w:vAlign w:val="bottom"/>
            <w:gridSpan w:val="2"/>
          </w:tcPr>
          <w:p>
            <w:pPr>
              <w:jc w:val="right"/>
              <w:ind w:right="200"/>
              <w:spacing w:after="0" w:line="198" w:lineRule="exact"/>
              <w:rPr>
                <w:sz w:val="20"/>
                <w:szCs w:val="20"/>
                <w:color w:val="auto"/>
              </w:rPr>
            </w:pPr>
            <w:r>
              <w:rPr>
                <w:rFonts w:ascii="Times New Roman" w:cs="Times New Roman" w:eastAsia="Times New Roman" w:hAnsi="Times New Roman"/>
                <w:sz w:val="18"/>
                <w:szCs w:val="18"/>
                <w:color w:val="auto"/>
                <w:w w:val="98"/>
              </w:rPr>
              <w:t>Unrealized</w:t>
            </w:r>
          </w:p>
        </w:tc>
        <w:tc>
          <w:tcPr>
            <w:tcW w:w="100" w:type="dxa"/>
            <w:vAlign w:val="bottom"/>
          </w:tcPr>
          <w:p>
            <w:pPr>
              <w:spacing w:after="0"/>
              <w:rPr>
                <w:sz w:val="17"/>
                <w:szCs w:val="17"/>
                <w:color w:val="auto"/>
              </w:rPr>
            </w:pPr>
          </w:p>
        </w:tc>
        <w:tc>
          <w:tcPr>
            <w:tcW w:w="1020" w:type="dxa"/>
            <w:vAlign w:val="bottom"/>
            <w:gridSpan w:val="2"/>
          </w:tcPr>
          <w:p>
            <w:pPr>
              <w:jc w:val="right"/>
              <w:ind w:right="300"/>
              <w:spacing w:after="0" w:line="198" w:lineRule="exact"/>
              <w:rPr>
                <w:sz w:val="20"/>
                <w:szCs w:val="20"/>
                <w:color w:val="auto"/>
              </w:rPr>
            </w:pPr>
            <w:r>
              <w:rPr>
                <w:rFonts w:ascii="Times New Roman" w:cs="Times New Roman" w:eastAsia="Times New Roman" w:hAnsi="Times New Roman"/>
                <w:sz w:val="18"/>
                <w:szCs w:val="18"/>
                <w:color w:val="auto"/>
              </w:rPr>
              <w:t>Realized</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1"/>
        </w:trPr>
        <w:tc>
          <w:tcPr>
            <w:tcW w:w="3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Cost</w:t>
            </w:r>
          </w:p>
        </w:tc>
        <w:tc>
          <w:tcPr>
            <w:tcW w:w="100" w:type="dxa"/>
            <w:vAlign w:val="bottom"/>
          </w:tcPr>
          <w:p>
            <w:pPr>
              <w:spacing w:after="0"/>
              <w:rPr>
                <w:sz w:val="20"/>
                <w:szCs w:val="20"/>
                <w:color w:val="auto"/>
              </w:rPr>
            </w:pP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gains</w:t>
            </w:r>
          </w:p>
        </w:tc>
        <w:tc>
          <w:tcPr>
            <w:tcW w:w="100" w:type="dxa"/>
            <w:vAlign w:val="bottom"/>
          </w:tcPr>
          <w:p>
            <w:pPr>
              <w:spacing w:after="0"/>
              <w:rPr>
                <w:sz w:val="20"/>
                <w:szCs w:val="20"/>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gains</w:t>
            </w:r>
          </w:p>
        </w:tc>
        <w:tc>
          <w:tcPr>
            <w:tcW w:w="1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Fair value</w:t>
            </w:r>
          </w:p>
        </w:tc>
      </w:tr>
      <w:tr>
        <w:trPr>
          <w:trHeight w:val="243"/>
        </w:trPr>
        <w:tc>
          <w:tcPr>
            <w:tcW w:w="3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Bond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ind w:left="920"/>
        <w:spacing w:after="0" w:line="266" w:lineRule="auto"/>
        <w:rPr>
          <w:sz w:val="20"/>
          <w:szCs w:val="20"/>
          <w:color w:val="auto"/>
        </w:rPr>
      </w:pPr>
      <w:r>
        <w:rPr>
          <w:rFonts w:ascii="Times New Roman" w:cs="Times New Roman" w:eastAsia="Times New Roman" w:hAnsi="Times New Roman"/>
          <w:sz w:val="18"/>
          <w:szCs w:val="18"/>
          <w:color w:val="auto"/>
        </w:rPr>
        <w:t>The Company’s financial asset is measured at fair value on a recurring basis by level within the fair value hierarchy. The Company’s marketable security is classified as Level 1. Other than the marketable debt security, the Company doesn’t have any other financial assets or financial liabilities marked to market at fair value.</w:t>
      </w:r>
    </w:p>
    <w:p>
      <w:pPr>
        <w:spacing w:after="0" w:line="17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contractual maturity of the marketable security is one year.</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INTERIM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NOTE 4 -</w:t>
      </w:r>
      <w:r>
        <w:rPr>
          <w:sz w:val="20"/>
          <w:szCs w:val="20"/>
          <w:color w:val="auto"/>
        </w:rPr>
        <w:tab/>
      </w:r>
      <w:r>
        <w:rPr>
          <w:rFonts w:ascii="Times New Roman" w:cs="Times New Roman" w:eastAsia="Times New Roman" w:hAnsi="Times New Roman"/>
          <w:sz w:val="17"/>
          <w:szCs w:val="17"/>
          <w:b w:val="1"/>
          <w:bCs w:val="1"/>
          <w:color w:val="auto"/>
        </w:rPr>
        <w:t>LEASES</w:t>
      </w:r>
    </w:p>
    <w:p>
      <w:pPr>
        <w:spacing w:after="0" w:line="229" w:lineRule="exact"/>
        <w:rPr>
          <w:sz w:val="20"/>
          <w:szCs w:val="20"/>
          <w:color w:val="auto"/>
        </w:rPr>
      </w:pPr>
    </w:p>
    <w:p>
      <w:pPr>
        <w:jc w:val="both"/>
        <w:ind w:left="920"/>
        <w:spacing w:after="0" w:line="258" w:lineRule="auto"/>
        <w:rPr>
          <w:sz w:val="20"/>
          <w:szCs w:val="20"/>
          <w:color w:val="auto"/>
        </w:rPr>
      </w:pPr>
      <w:r>
        <w:rPr>
          <w:rFonts w:ascii="Times New Roman" w:cs="Times New Roman" w:eastAsia="Times New Roman" w:hAnsi="Times New Roman"/>
          <w:sz w:val="18"/>
          <w:szCs w:val="18"/>
          <w:color w:val="auto"/>
        </w:rPr>
        <w:t>On January 1, 2019, the Company adopted ASU 2016-02, Leases (Topic 842) (“ASU 2016-02”) using the modified retrospective approach for all lease arrangements at the beginning period of adoption. Leases existing for the reporting period beginning January 1, 2019 are presented under ASU 2016-02. The Company leases office space and vehicles under operating leases. At September 30, 2019, the Company’s ROU assets and lease liabilities for operating leases totaled $421 and $445, respectively. The impact of adopting the new lease standard was not material to the Company’s condensed consolidated statement of operations for the periods presented.</w:t>
      </w:r>
    </w:p>
    <w:p>
      <w:pPr>
        <w:spacing w:after="0" w:line="18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Supplemental cash flow information related to operating leases was as follows (unaudited):</w:t>
      </w:r>
    </w:p>
    <w:p>
      <w:pPr>
        <w:spacing w:after="0" w:line="225"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38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Nine Months ended</w:t>
            </w:r>
          </w:p>
        </w:tc>
        <w:tc>
          <w:tcPr>
            <w:tcW w:w="0" w:type="dxa"/>
            <w:vAlign w:val="bottom"/>
          </w:tcPr>
          <w:p>
            <w:pPr>
              <w:spacing w:after="0"/>
              <w:rPr>
                <w:sz w:val="1"/>
                <w:szCs w:val="1"/>
                <w:color w:val="auto"/>
              </w:rPr>
            </w:pPr>
          </w:p>
        </w:tc>
      </w:tr>
      <w:tr>
        <w:trPr>
          <w:trHeight w:val="241"/>
        </w:trPr>
        <w:tc>
          <w:tcPr>
            <w:tcW w:w="38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September 30, 2019</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80" w:type="dxa"/>
            <w:vAlign w:val="bottom"/>
          </w:tcPr>
          <w:p>
            <w:pPr>
              <w:spacing w:after="0"/>
              <w:rPr>
                <w:sz w:val="21"/>
                <w:szCs w:val="21"/>
                <w:color w:val="auto"/>
              </w:rPr>
            </w:pPr>
          </w:p>
        </w:tc>
        <w:tc>
          <w:tcPr>
            <w:tcW w:w="5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payments for operating leases</w:t>
            </w:r>
          </w:p>
        </w:tc>
        <w:tc>
          <w:tcPr>
            <w:tcW w:w="200" w:type="dxa"/>
            <w:vAlign w:val="bottom"/>
            <w:tcBorders>
              <w:bottom w:val="single" w:sz="8" w:color="CCEEFF"/>
            </w:tcBorders>
            <w:gridSpan w:val="2"/>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Leases recorded on the balance sheet consist of the following (in thousands):</w:t>
            </w: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66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38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w w:val="99"/>
              </w:rPr>
              <w:t>September 30, 2019</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right of use asset</w:t>
            </w:r>
          </w:p>
        </w:tc>
        <w:tc>
          <w:tcPr>
            <w:tcW w:w="3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 current</w:t>
            </w:r>
          </w:p>
        </w:tc>
        <w:tc>
          <w:tcPr>
            <w:tcW w:w="32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80" w:type="dxa"/>
            <w:vAlign w:val="bottom"/>
          </w:tcPr>
          <w:p>
            <w:pPr>
              <w:spacing w:after="0"/>
              <w:rPr>
                <w:sz w:val="20"/>
                <w:szCs w:val="20"/>
                <w:color w:val="auto"/>
              </w:rPr>
            </w:pPr>
          </w:p>
        </w:tc>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 non-current</w:t>
            </w:r>
          </w:p>
        </w:tc>
        <w:tc>
          <w:tcPr>
            <w:tcW w:w="3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52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38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w w:val="99"/>
              </w:rPr>
              <w:t>September 30, 2019</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5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 weighted average remaining lease term (in years)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leases weighted average discount rate</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Undiscounted maturities of operating lease payments as of September 30, 2019 are summarized as follows (in thousands):</w:t>
      </w:r>
    </w:p>
    <w:p>
      <w:pPr>
        <w:spacing w:after="0" w:line="239" w:lineRule="exact"/>
        <w:rPr>
          <w:sz w:val="20"/>
          <w:szCs w:val="20"/>
          <w:color w:val="auto"/>
        </w:rPr>
      </w:pPr>
    </w:p>
    <w:tbl>
      <w:tblPr>
        <w:tblLayout w:type="fixed"/>
        <w:tblInd w:w="1300" w:type="dxa"/>
        <w:tblCellMar>
          <w:top w:w="0" w:type="dxa"/>
          <w:left w:w="0" w:type="dxa"/>
          <w:bottom w:w="0" w:type="dxa"/>
          <w:right w:w="0" w:type="dxa"/>
        </w:tblCellMar>
      </w:tblPr>
      <w:tr>
        <w:trPr>
          <w:trHeight w:val="241"/>
        </w:trPr>
        <w:tc>
          <w:tcPr>
            <w:tcW w:w="5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Operating Leases</w:t>
            </w:r>
          </w:p>
        </w:tc>
      </w:tr>
      <w:tr>
        <w:trPr>
          <w:trHeight w:val="216"/>
        </w:trPr>
        <w:tc>
          <w:tcPr>
            <w:tcW w:w="5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2019</w:t>
            </w:r>
          </w:p>
        </w:tc>
        <w:tc>
          <w:tcPr>
            <w:tcW w:w="20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83</w:t>
            </w:r>
          </w:p>
        </w:tc>
        <w:tc>
          <w:tcPr>
            <w:tcW w:w="40" w:type="dxa"/>
            <w:vAlign w:val="bottom"/>
            <w:shd w:val="clear" w:color="auto" w:fill="CCEEFF"/>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302</w:t>
            </w:r>
          </w:p>
        </w:tc>
        <w:tc>
          <w:tcPr>
            <w:tcW w:w="40" w:type="dxa"/>
            <w:vAlign w:val="bottom"/>
          </w:tcPr>
          <w:p>
            <w:pPr>
              <w:spacing w:after="0"/>
              <w:rPr>
                <w:sz w:val="18"/>
                <w:szCs w:val="18"/>
                <w:color w:val="auto"/>
              </w:rPr>
            </w:pPr>
          </w:p>
        </w:tc>
      </w:tr>
      <w:tr>
        <w:trPr>
          <w:trHeight w:val="250"/>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w:t>
            </w:r>
          </w:p>
        </w:tc>
        <w:tc>
          <w:tcPr>
            <w:tcW w:w="40" w:type="dxa"/>
            <w:vAlign w:val="bottom"/>
            <w:shd w:val="clear" w:color="auto" w:fill="CCEEFF"/>
          </w:tcPr>
          <w:p>
            <w:pPr>
              <w:spacing w:after="0"/>
              <w:rPr>
                <w:sz w:val="21"/>
                <w:szCs w:val="21"/>
                <w:color w:val="auto"/>
              </w:rPr>
            </w:pPr>
          </w:p>
        </w:tc>
      </w:tr>
      <w:tr>
        <w:trPr>
          <w:trHeight w:val="203"/>
        </w:trPr>
        <w:tc>
          <w:tcPr>
            <w:tcW w:w="54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future lease payments</w:t>
            </w:r>
          </w:p>
        </w:tc>
        <w:tc>
          <w:tcPr>
            <w:tcW w:w="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464</w:t>
            </w: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r>
      <w:tr>
        <w:trPr>
          <w:trHeight w:val="250"/>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7"/>
        </w:trPr>
        <w:tc>
          <w:tcPr>
            <w:tcW w:w="54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lease liability balance</w:t>
            </w:r>
          </w:p>
        </w:tc>
        <w:tc>
          <w:tcPr>
            <w:tcW w:w="20" w:type="dxa"/>
            <w:vAlign w:val="bottom"/>
            <w:tcBorders>
              <w:top w:val="single" w:sz="8" w:color="CCEEFF"/>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20" w:type="dxa"/>
            <w:vAlign w:val="bottom"/>
            <w:tcBorders>
              <w:top w:val="single" w:sz="8" w:color="CCEEFF"/>
              <w:bottom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r>
      <w:tr>
        <w:trPr>
          <w:trHeight w:val="20"/>
        </w:trPr>
        <w:tc>
          <w:tcPr>
            <w:tcW w:w="5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NOTE 5 -</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b w:val="1"/>
          <w:bCs w:val="1"/>
          <w:color w:val="auto"/>
        </w:rPr>
        <w:t>Government Grants:</w:t>
      </w:r>
    </w:p>
    <w:p>
      <w:pPr>
        <w:spacing w:after="0" w:line="229" w:lineRule="exact"/>
        <w:rPr>
          <w:sz w:val="20"/>
          <w:szCs w:val="20"/>
          <w:color w:val="auto"/>
        </w:rPr>
      </w:pPr>
    </w:p>
    <w:p>
      <w:pPr>
        <w:jc w:val="both"/>
        <w:ind w:left="920"/>
        <w:spacing w:after="0" w:line="261" w:lineRule="auto"/>
        <w:rPr>
          <w:sz w:val="20"/>
          <w:szCs w:val="20"/>
          <w:color w:val="auto"/>
        </w:rPr>
      </w:pPr>
      <w:r>
        <w:rPr>
          <w:rFonts w:ascii="Times New Roman" w:cs="Times New Roman" w:eastAsia="Times New Roman" w:hAnsi="Times New Roman"/>
          <w:sz w:val="18"/>
          <w:szCs w:val="18"/>
          <w:color w:val="auto"/>
        </w:rPr>
        <w:t>Microbot Israel obtained from the Israeli Innovation Authority (“IIA”) grants for participation in research and development for the years 2013 through September 30, 2019 in the total amount of approximately $1,500 and, in return, Microbot Israel is obligated to pay royalties amounting to 3%-3.5% of its future sales up to the amount of the grant. The grant is linked to the exchange rate of the dollar to the New Israeli Shekel and bears interest of Libor per annum.</w:t>
      </w:r>
    </w:p>
    <w:p>
      <w:pPr>
        <w:spacing w:after="0" w:line="180" w:lineRule="exact"/>
        <w:rPr>
          <w:sz w:val="20"/>
          <w:szCs w:val="20"/>
          <w:color w:val="auto"/>
        </w:rPr>
      </w:pPr>
    </w:p>
    <w:p>
      <w:pPr>
        <w:jc w:val="both"/>
        <w:ind w:left="920"/>
        <w:spacing w:after="0" w:line="266" w:lineRule="auto"/>
        <w:rPr>
          <w:sz w:val="20"/>
          <w:szCs w:val="20"/>
          <w:color w:val="auto"/>
        </w:rPr>
      </w:pPr>
      <w:r>
        <w:rPr>
          <w:rFonts w:ascii="Times New Roman" w:cs="Times New Roman" w:eastAsia="Times New Roman" w:hAnsi="Times New Roman"/>
          <w:sz w:val="18"/>
          <w:szCs w:val="18"/>
          <w:color w:val="auto"/>
        </w:rPr>
        <w:t>The repayment of the grants is contingent upon the successful completion of the Company’s research and development programs and generating sales. The Company has no obligation to repay these grants, if the project fails, is unsuccessful or aborted or if no sales are generated. The financial risk is assumed completely by the Government of Israel. The grants are received from the Government on a project-by-project basis.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12" w:name="page13"/>
    <w:bookmarkEnd w:id="12"/>
    <w:p>
      <w:pPr>
        <w:jc w:val="center"/>
        <w:ind w:right="920"/>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b w:val="1"/>
          <w:bCs w:val="1"/>
          <w:u w:val="single" w:color="auto"/>
          <w:color w:val="auto"/>
        </w:rPr>
        <w:t>NOTES TO INTERIM CONSOLIDATED FINANCIAL STATEMENTS</w:t>
      </w:r>
    </w:p>
    <w:p>
      <w:pPr>
        <w:spacing w:after="0" w:line="9"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TRDF Agreement: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Israel signed an agreement with the Technion Research and Development Foundation (“TRDF”) in June 2012 by which TRDF transferred to Microbot Israel a global, exclusive, royalty-bearing license. As partial consideration for the license, Microbot Israel shall pay TRDF royalties on net sales (between 1.5%-3%) and on sublicense income as detailed in the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Research Agreements: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Agreement with Washington University</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27, 2017, the Company entered into a Contract Research Agreement (the “Research Agreement”) with The Washington University (“Washington U.”), pursuant to which the parties are collaborating to determine the effectiveness of the Company’s self-cleaning shunt.</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study in Washington U. includes several phases. The first phase (initial research) was completed. An agreement on the second phase was entered in September 2018 with total expected costs of approximately $248. As of September 30, 2019, his study is still on going and will be extended to continue until March 1, 2020. Pursuant to the Research Agreement, all rights, title and interest in the data, information and results obtained or arrived at by Washington U. in the performance of its services under the Research Agreement, as well as any patentable inventions obtained or arrived at in the performance of such services, will be jointly owned by the Company and Washington U., and each will have full right to practice and grant licenses in joint inventions. Additionally, Washington U. granted to the Company: (a) a non-exclusive, worldwide, royalty-free, fully paid-up, perpetual and irrevocable license to use and practice patentable inventions (other than joint inventions and improvements to Washington U.’s animal models) obtained or arrived at by Washington U. in the provision of its services under the Research Agreement (“University Inventions”) with respect to the self-cleaning shunt; and (b) an exclusive option to obtain an exclusive worldwide license in University Inventions, on terms to be negotiated between the parties.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Agreement with Wayne State University</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September 12, 2016, the Company entered into a research agreement (the “WSU Agreement”) with Wayne State University (“WSU.”), pursuant to which the parties are collaborating to determine the efficacy of the Company’s self-cleaning shunt.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study in WSU includes several phases. The first phase (initial research) was completed. An agreement on the second phase was entered in April 2018 with total expected costs of approximately $130. In July 2018 the contract was updated to include phase 2.1 (preliminary phase to phase 2) with total expected costs of approximately $213. Pursuant to the WSU Agreement, WSU shall own all data generated by the research and the Company shall have unrestricted free right to use and disclose all the results, information and material generated from the WSU Agreement.</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Rights to inventions, improvements or discoveries, whether or not patentable or copyrightable made solely by the employees of the Company in the course of performance of the workplan agreed upon between the Company and WSU shall belong to the Company.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Rights to inventions, improvements or discoveries, whether or not patentable or copyrightable made solely by the employees of WSU in the course of performance of the workplan agreed upon between the Company and WSU shall belong to WSU. WSU shall grant the Company with a worldwide non-exclusive, perpetual, royalty-free license to university inventions to use and practice patentable inventions.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Rights to inventions, improvements or discoveries, whether or not patentable or copyrightable made by at least one employee of WSU and one employee of the Company in the course of performance of the workplan agreed upon between the Company and WSU shall belong to WSU and the Company jointly. Both the Company and WSU will be free to use and license to others the rights of joint inventions for any and all purposes without consultation or obligation to the other party. WSU granted the Company a first option to negotiate an exclusive license to use and practice WSU inventions and its interest in the joint inventions as detailed in the WSU Agreement.</w:t>
      </w:r>
    </w:p>
    <w:p>
      <w:pPr>
        <w:spacing w:after="0" w:line="184"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17145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500"/>
          </w:cols>
          <w:pgMar w:left="1160" w:top="684" w:right="239" w:bottom="1440" w:gutter="0" w:footer="0" w:header="0"/>
        </w:sectPr>
      </w:pPr>
    </w:p>
    <w:bookmarkStart w:id="13" w:name="page14"/>
    <w:bookmarkEnd w:id="13"/>
    <w:p>
      <w:pPr>
        <w:jc w:val="center"/>
        <w:ind w:right="920"/>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b w:val="1"/>
          <w:bCs w:val="1"/>
          <w:u w:val="single" w:color="auto"/>
          <w:color w:val="auto"/>
        </w:rPr>
        <w:t>NOTES TO INTERIM CONSOLIDATED FINANCIAL STATEMENTS</w:t>
      </w:r>
    </w:p>
    <w:p>
      <w:pPr>
        <w:spacing w:after="0" w:line="9"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Sabby Litigation: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is named as the defendant in a lawsuit (the “Matter”), captioned Sabby Healthcare Master Fund Ltd. and Sabby Volatility Warrant Master Fund Ltd., Plaintiffs, against Microbot Medical Inc., Defendant, in the Supreme Court of the State of New York, County of New York (the “Court”) (Index No. 654581/2017). The complaint alleged, among other things, that the Company breached multiple representations and warranties contained in the Securities Purchase Agreement (the “SPA”) related to the Company’s June 8, 2017 equity financing (the “Financing”) of which the Plaintiffs participated. The complaint sought rescission of the SPA and return of the Plaintiffs’ $3,375 purchase price with respect to the Financing, and damages in an amount to be determined at trial, but alleged to exceed $1 million. A trial was held on February 11, 2019. On February 28, 2019, the Court issued a Decision and Order After Trial to rescind the SPA. The rescission would require the Plaintiffs to transfer back to the Company the shares they purchased in the Financing, and for the Company to return to Plaintiffs their purchase price of $3,375. Accordingly, the Company recorded a provision for extinguishment dispute as of $3,375 in current liabilities against Treasury shares classified in Equity.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27, 2019, the Company filed a Notice of Appeal and an Undertaking to stay execution of the judgment pending appeal.</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accordance with New York law, in order to move forward with the appeal and to stay the lower court’s judgment, the Company placed approximately $4,200 in escrow with a surety bonding agent on March 26, 2019 in accordance with provisions set forth in the judgment from the Matter, which represents the judgment amount, plus interest and the fee to the bonding company. Accordingly, the Company recorded additional expenses of $178 with respect to interest from the judgement date and up until September 30, 2019.</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Tolling and Standstill Agreement: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April 4, 2018, Microbot entered into a Tolling and Standstill Agreement with Empery Asset Master, Ltd., Empery Tax Efficient LP, Empery Tax Efficient II LP, and Hudson Bay Master Fund, Ltd., the other investors in the Financing (“Other Investors”). Pursuant to the Tolling Agreement, among other things, (a) the Other Investors agree not to bring any claims against Microbot arising out of the Matter, (b) the parties agree that if Microbot reaches an agreement to settle the claims asserted by the Sabby Funds in the above suit, Microbot will provide the same settlement terms on a pro rata basis to the Other Investors, and the Other Investors will either accept same or waive all of their claims and (c) the parties froze in time the rights and privileges of each party as of the effective date of the Tolling Agreement, until (i) an agreement to settle the suit is executed; (ii) a judgment in the suit is obtained; or (iii) the suit is otherwise dismissed with prejudice.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provision has been recorded with respect to the Tolling Agreement since no settlement was reached with respect to the Matter.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Alliance Litigation: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April 28, 2019, the Company brought an action against Alliance Investment Management, Ltd. (“Alliance”) in the Southern District of New York under Section 16(b) of the Securities Exchange Act of 1934, 15 U.S.C. 78p(b), to compel Alliance to disgorge short swing profits realized by Alliance from purchases and sales of the Company’s securities within a period of less than six months, while Alliance was a beneficial owner of more than 10% of the Company’s outstanding common stock and a statutory “insider” for purposes of the statute. The case is Microbot Medical Inc. v. Alliance Investment Management, Ltd., No. 19-cv-3782-GBD (SDNY). The amount of profits the Company is seeking to divest is estimated to be approximately $480,000.</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21, 2019, Alliance filed an answer to the Company’s action claiming that Alliance’s client Joseph Mona was the “beneficial owner” of the shares traded by Alliance. On October 18, 21, and 28, Joseph Mona filed Section 16(a) and Schedule 13G reports, which are substantially similar to the reports previously filed by Alliance.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28, 2019, Alliance filed a motion for summary judgment requesting that the Court dismiss the claims against Alliance in view of Joseph Mona’s SEC filings. On November 7, 2019, U.S. Magistrate Judge Robert W. Lehrburger ordered Alliance to produce relevant trading records, to enable the Company to determine whether to proceed against Alliance and/or Joseph Mona. Alliance has agreed to postpone the Company’s response to their motion for summary judgment pending Alliance’s required production of the trading records.</w:t>
      </w:r>
    </w:p>
    <w:p>
      <w:pPr>
        <w:spacing w:after="0" w:line="180"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17145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500"/>
          </w:cols>
          <w:pgMar w:left="1160" w:top="684" w:right="2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INTERIM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b w:val="1"/>
          <w:bCs w:val="1"/>
          <w:color w:val="auto"/>
        </w:rPr>
        <w:t>Agreement with CardioSert Ltd.:</w:t>
      </w:r>
    </w:p>
    <w:p>
      <w:pPr>
        <w:spacing w:after="0" w:line="229" w:lineRule="exact"/>
        <w:rPr>
          <w:sz w:val="20"/>
          <w:szCs w:val="20"/>
          <w:color w:val="auto"/>
        </w:rPr>
      </w:pPr>
    </w:p>
    <w:p>
      <w:pPr>
        <w:jc w:val="both"/>
        <w:ind w:left="920"/>
        <w:spacing w:after="0" w:line="282" w:lineRule="auto"/>
        <w:rPr>
          <w:sz w:val="20"/>
          <w:szCs w:val="20"/>
          <w:color w:val="auto"/>
        </w:rPr>
      </w:pPr>
      <w:r>
        <w:rPr>
          <w:rFonts w:ascii="Times New Roman" w:cs="Times New Roman" w:eastAsia="Times New Roman" w:hAnsi="Times New Roman"/>
          <w:sz w:val="18"/>
          <w:szCs w:val="18"/>
          <w:color w:val="auto"/>
        </w:rPr>
        <w:t>On January 4, 2018, Microbot Israel entered into an agreement with CardioSert Ltd. (“CardioSert”) to acquire certain patent-protected technology owned by CardioSert (the “Technology”).</w:t>
      </w:r>
    </w:p>
    <w:p>
      <w:pPr>
        <w:spacing w:after="0" w:line="162" w:lineRule="exact"/>
        <w:rPr>
          <w:sz w:val="20"/>
          <w:szCs w:val="20"/>
          <w:color w:val="auto"/>
        </w:rPr>
      </w:pPr>
    </w:p>
    <w:p>
      <w:pPr>
        <w:jc w:val="both"/>
        <w:ind w:left="920"/>
        <w:spacing w:after="0" w:line="266" w:lineRule="auto"/>
        <w:rPr>
          <w:sz w:val="20"/>
          <w:szCs w:val="20"/>
          <w:color w:val="auto"/>
        </w:rPr>
      </w:pPr>
      <w:r>
        <w:rPr>
          <w:rFonts w:ascii="Times New Roman" w:cs="Times New Roman" w:eastAsia="Times New Roman" w:hAnsi="Times New Roman"/>
          <w:sz w:val="18"/>
          <w:szCs w:val="18"/>
          <w:color w:val="auto"/>
        </w:rPr>
        <w:t>Pursuant to the Agreement, Microbot Israel made an initial payment of $50 to CardioSert and had 90-days to elect to complete the acquisition. At the end of the 90-day period, at Microbot Israel’s sole option, CardioSert shall assign and transfer the Technology to Microbot Israel and Microbot Israel shall pay to CardioSert additional amounts and securities as determined in the agreement.</w:t>
      </w:r>
    </w:p>
    <w:p>
      <w:pPr>
        <w:spacing w:after="0" w:line="176" w:lineRule="exact"/>
        <w:rPr>
          <w:sz w:val="20"/>
          <w:szCs w:val="20"/>
          <w:color w:val="auto"/>
        </w:rPr>
      </w:pPr>
    </w:p>
    <w:p>
      <w:pPr>
        <w:jc w:val="both"/>
        <w:ind w:left="920"/>
        <w:spacing w:after="0" w:line="266" w:lineRule="auto"/>
        <w:rPr>
          <w:sz w:val="20"/>
          <w:szCs w:val="20"/>
          <w:color w:val="auto"/>
        </w:rPr>
      </w:pPr>
      <w:r>
        <w:rPr>
          <w:rFonts w:ascii="Times New Roman" w:cs="Times New Roman" w:eastAsia="Times New Roman" w:hAnsi="Times New Roman"/>
          <w:sz w:val="18"/>
          <w:szCs w:val="18"/>
          <w:color w:val="auto"/>
        </w:rPr>
        <w:t>On April 10, 2018, Microbot delivered an Exercise Notice to CardioSert Ltd., notifying it that Microbot elected to exercise the option to acquire the Technology owned by CardioSert and therefore made an additional cash payment of $250 and 6,738 shares of common stock (100,000 shares of common stock before the Reverse Split) estimated at $74.</w:t>
      </w:r>
    </w:p>
    <w:p>
      <w:pPr>
        <w:spacing w:after="0" w:line="176" w:lineRule="exact"/>
        <w:rPr>
          <w:sz w:val="20"/>
          <w:szCs w:val="20"/>
          <w:color w:val="auto"/>
        </w:rPr>
      </w:pPr>
    </w:p>
    <w:p>
      <w:pPr>
        <w:jc w:val="both"/>
        <w:ind w:left="920"/>
        <w:spacing w:after="0" w:line="256" w:lineRule="auto"/>
        <w:rPr>
          <w:sz w:val="20"/>
          <w:szCs w:val="20"/>
          <w:color w:val="auto"/>
        </w:rPr>
      </w:pPr>
      <w:r>
        <w:rPr>
          <w:rFonts w:ascii="Times New Roman" w:cs="Times New Roman" w:eastAsia="Times New Roman" w:hAnsi="Times New Roman"/>
          <w:sz w:val="18"/>
          <w:szCs w:val="18"/>
          <w:color w:val="auto"/>
        </w:rPr>
        <w:t>The agreement may be terminated by Microbot Israel at any time for convenience upon 90-days’ notice. The agreement may be terminated by CardioSert in case the first commercial sale does not occur by the third anniversary of the date of signing of the agreement except if Microbot Israel has invested more than $2,000 in certain development stages, or the first commercial sale does not occur within 50 months. In each of the above termination events, or in case of breach by Microbot Israel, CardioSert shall have the right to buy back the Technology from Microbot Israel for $1.00, upon 60 days prior written notice, but only 1 year after such termination. Additionally, the agreement may be terminated by either party upon breach of the other (subject to cure).</w:t>
      </w:r>
    </w:p>
    <w:p>
      <w:pPr>
        <w:spacing w:after="0" w:line="188" w:lineRule="exact"/>
        <w:rPr>
          <w:sz w:val="20"/>
          <w:szCs w:val="20"/>
          <w:color w:val="auto"/>
        </w:rPr>
      </w:pPr>
    </w:p>
    <w:p>
      <w:pPr>
        <w:jc w:val="both"/>
        <w:ind w:left="920"/>
        <w:spacing w:after="0" w:line="282" w:lineRule="auto"/>
        <w:rPr>
          <w:sz w:val="20"/>
          <w:szCs w:val="20"/>
          <w:color w:val="auto"/>
        </w:rPr>
      </w:pPr>
      <w:r>
        <w:rPr>
          <w:rFonts w:ascii="Times New Roman" w:cs="Times New Roman" w:eastAsia="Times New Roman" w:hAnsi="Times New Roman"/>
          <w:sz w:val="18"/>
          <w:szCs w:val="18"/>
          <w:color w:val="auto"/>
        </w:rPr>
        <w:t>CardioSert agreed to assist Microbot Israel in the development of the Technology for a minimum of one year, for a monthly consultation fee of NIS 40,000 covering up to 60 consulting hours per month.</w:t>
      </w:r>
    </w:p>
    <w:p>
      <w:pPr>
        <w:spacing w:after="0" w:line="15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b w:val="1"/>
          <w:bCs w:val="1"/>
          <w:color w:val="auto"/>
        </w:rPr>
        <w:t>Yehezkel (Hezi) Himelfarb Resignation:</w:t>
      </w:r>
    </w:p>
    <w:p>
      <w:pPr>
        <w:spacing w:after="0" w:line="229" w:lineRule="exact"/>
        <w:rPr>
          <w:sz w:val="20"/>
          <w:szCs w:val="20"/>
          <w:color w:val="auto"/>
        </w:rPr>
      </w:pPr>
    </w:p>
    <w:p>
      <w:pPr>
        <w:jc w:val="both"/>
        <w:ind w:left="920"/>
        <w:spacing w:after="0" w:line="261" w:lineRule="auto"/>
        <w:rPr>
          <w:sz w:val="20"/>
          <w:szCs w:val="20"/>
          <w:color w:val="auto"/>
        </w:rPr>
      </w:pPr>
      <w:r>
        <w:rPr>
          <w:rFonts w:ascii="Times New Roman" w:cs="Times New Roman" w:eastAsia="Times New Roman" w:hAnsi="Times New Roman"/>
          <w:sz w:val="18"/>
          <w:szCs w:val="18"/>
          <w:color w:val="auto"/>
        </w:rPr>
        <w:t>Effective as of February 1, 2019, Yehezkel (Hezi) Himelfarb, a member of the Board of Directors of the Company, and the Company’s Chief Operating Officer, resigned from all positions with the Company. Effective as of February 1, 2019, Mr. Himelfarb also resigned from his position as General Manager of Microbot Medical Ltd., a wholly owned subsidiary of the Company. As a result of Mr. Himelfarb providing certain post-resignation transition services to the Company until July 31, 2019, Mr. Himelfarb was paid his full salary and certain benefits through that date.</w:t>
      </w:r>
    </w:p>
    <w:p>
      <w:pPr>
        <w:spacing w:after="0" w:line="17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NOTE 6 -</w:t>
      </w:r>
      <w:r>
        <w:rPr>
          <w:sz w:val="20"/>
          <w:szCs w:val="20"/>
          <w:color w:val="auto"/>
        </w:rPr>
        <w:tab/>
      </w:r>
      <w:r>
        <w:rPr>
          <w:rFonts w:ascii="Times New Roman" w:cs="Times New Roman" w:eastAsia="Times New Roman" w:hAnsi="Times New Roman"/>
          <w:sz w:val="17"/>
          <w:szCs w:val="17"/>
          <w:b w:val="1"/>
          <w:bCs w:val="1"/>
          <w:color w:val="auto"/>
        </w:rPr>
        <w:t>SHARE CAPITAL</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b w:val="1"/>
          <w:bCs w:val="1"/>
          <w:color w:val="auto"/>
        </w:rPr>
        <w:t>Share Capital Developments:</w:t>
      </w:r>
    </w:p>
    <w:p>
      <w:pPr>
        <w:spacing w:after="0" w:line="229" w:lineRule="exact"/>
        <w:rPr>
          <w:sz w:val="20"/>
          <w:szCs w:val="20"/>
          <w:color w:val="auto"/>
        </w:rPr>
      </w:pPr>
    </w:p>
    <w:p>
      <w:pPr>
        <w:jc w:val="both"/>
        <w:ind w:left="920"/>
        <w:spacing w:after="0" w:line="282" w:lineRule="auto"/>
        <w:rPr>
          <w:sz w:val="20"/>
          <w:szCs w:val="20"/>
          <w:color w:val="auto"/>
        </w:rPr>
      </w:pPr>
      <w:r>
        <w:rPr>
          <w:rFonts w:ascii="Times New Roman" w:cs="Times New Roman" w:eastAsia="Times New Roman" w:hAnsi="Times New Roman"/>
          <w:sz w:val="18"/>
          <w:szCs w:val="18"/>
          <w:color w:val="auto"/>
        </w:rPr>
        <w:t>On September 10, 2019, the Company reduced its authorized number of shares of capital stock from 221,000,000 to 61,000,000, including a reduction in the number of authorized shares of common stock of the Company from 220,000,000 to 60,000,000.</w:t>
      </w:r>
    </w:p>
    <w:p>
      <w:pPr>
        <w:spacing w:after="0" w:line="16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As of September 30, 2019, the Company had 4,307,666 shares of common stock issued and outstanding.</w:t>
      </w:r>
    </w:p>
    <w:p>
      <w:pPr>
        <w:spacing w:after="0" w:line="225" w:lineRule="exact"/>
        <w:rPr>
          <w:sz w:val="20"/>
          <w:szCs w:val="20"/>
          <w:color w:val="auto"/>
        </w:rPr>
      </w:pPr>
    </w:p>
    <w:p>
      <w:pPr>
        <w:jc w:val="both"/>
        <w:ind w:left="920"/>
        <w:spacing w:after="0" w:line="282" w:lineRule="auto"/>
        <w:rPr>
          <w:sz w:val="20"/>
          <w:szCs w:val="20"/>
          <w:color w:val="auto"/>
        </w:rPr>
      </w:pPr>
      <w:r>
        <w:rPr>
          <w:rFonts w:ascii="Times New Roman" w:cs="Times New Roman" w:eastAsia="Times New Roman" w:hAnsi="Times New Roman"/>
          <w:sz w:val="18"/>
          <w:szCs w:val="18"/>
          <w:color w:val="auto"/>
        </w:rPr>
        <w:t>On December 27, 2016, the Company exchanged 655,962 shares (9,735,925 shares before the Reverse Split) or rights to acquire shares of its common stock, for 9,736 shares of a newly designated class of Series A Convertible Preferred Stock.</w:t>
      </w:r>
    </w:p>
    <w:p>
      <w:pPr>
        <w:spacing w:after="0" w:line="162" w:lineRule="exact"/>
        <w:rPr>
          <w:sz w:val="20"/>
          <w:szCs w:val="20"/>
          <w:color w:val="auto"/>
        </w:rPr>
      </w:pPr>
    </w:p>
    <w:p>
      <w:pPr>
        <w:jc w:val="both"/>
        <w:ind w:left="920"/>
        <w:spacing w:after="0" w:line="261" w:lineRule="auto"/>
        <w:rPr>
          <w:sz w:val="20"/>
          <w:szCs w:val="20"/>
          <w:color w:val="auto"/>
        </w:rPr>
      </w:pPr>
      <w:r>
        <w:rPr>
          <w:rFonts w:ascii="Times New Roman" w:cs="Times New Roman" w:eastAsia="Times New Roman" w:hAnsi="Times New Roman"/>
          <w:sz w:val="18"/>
          <w:szCs w:val="18"/>
          <w:color w:val="auto"/>
        </w:rPr>
        <w:t>On January 5, 2017, the Company entered into a definitive securities purchase agreement with an institutional investor (the “Purchaser”) for the purchase and sale of an aggregate of 47,163 shares (700,000 shares before the Reverse Split) of common stock in a registered direct offering for $74.00 per share ($5.00 per share before the Reverse Split) or gross proceeds of $3,500. The Company paid the placement agent a fee of $210 plus reimbursement of out-of-pocket expenses, as well as other offering-related expenses.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15" w:name="page16"/>
    <w:bookmarkEnd w:id="15"/>
    <w:p>
      <w:pPr>
        <w:jc w:val="center"/>
        <w:ind w:right="920"/>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b w:val="1"/>
          <w:bCs w:val="1"/>
          <w:u w:val="single" w:color="auto"/>
          <w:color w:val="auto"/>
        </w:rPr>
        <w:t>NOTES TO INTERIM CONSOLIDATED FINANCIAL STATEMENTS</w:t>
      </w:r>
    </w:p>
    <w:p>
      <w:pPr>
        <w:spacing w:after="0" w:line="9"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5, 2017, the Company entered into a Securities Purchase Agreement with certain institutional investors (the “Investors”) providing for the issuance and sale by the Company to the Investors of an aggregate of 252,652 shares (3,750,000 shares before the Reverse Split) of common stock, at a purchase price per share of $40.50 ($2.70 before the Reverse Split). The gross proceeds to the Company was $10,125 before deducting placement agent fees and offering expenses of $922. See Note 4 – “Commitments and Contingencies-Litigation” with respect to certain rescission rights awarded to two affiliated Investors.</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14, 2019, the Company entered into a Securities Purchase Agreement with an accredited institutional investor providing for the issuance and sale by the Company to the purchaser of an aggregate of (i) 330,000 shares of the Company’s common stock, at a purchase price per share of $6.50 and (ii) 125,323 pre-funded warrants each to purchase one share of common stock, at a purchase price per Pre-Funded Warrant of $6.49. The gross proceeds to the Company were approximately $3,000. The closing of the offering took place on January 15, 2019. The pre-funded warrants were exercised in full in January 2019.</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15, 2019, the Company entered into a Securities Purchase Agreement with certain accredited institutional investors providing for the issuance and sale by the Company to the purchasers of an aggregate of 590,000 shares of the Company’s common stock, at a purchase price per share of $10.00. The gross proceeds to the Company were approximately $5,900. The closing of the offering took place on January 17, 2019.</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23, 2019 the Company entered into a Securities Purchase Agreement with accredited institutional investors providing for the issuance and sale by the Company to the purchasers of an aggregate of 250,000 shares of the Company’s common stock, at a purchase price per share of $9.875. The gross proceeds to the Company were approximately $2,470. The closing of the offering took place on January 25, 2019.</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Option Grant: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September 2014, Microbot Israel’s board of directors approved a grant of 26,906 stock options (403,592 stock options before the Reverse Split) (77,846 stock options as retroactively adjusted to reflect the Merger) to its CEO, through MEDX Venture Group LLC. Each option was exercisable into an ordinary share, at an exercise price of $12.00 ($0.80 before the Reverse Split) ($4.20 as retroactively adjusted to reflect the Merger). The stock options were fully vested at the date of grant.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2, 2016, Microbot Israel’s board of directors approved a grant of 33,333 stock options (500,000 stock options before the Reverse Split) (96,482 as retroactively adjusted to reflect the Merger) to certain of its employees and directors. Each stock option was exercisable into an ordinary share, NIS 0.001 par value, of Microbot Israel, at an exercise price equal to the ordinary share’s par value. The stock options were fully vested at the date of grant. As the exercise price of the stock options is nominal, Microbot Israel estimated the fair value of the options as equal to the Company’s share price of $20.25 ($1.35 before the Reverse Split) ($7.05 as retroactively adjusted to reflect the Merger) at the date of grant.</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September 12, 2017, the Company adopted the 2017 Equity Incentive Plan (the “Plan”), which Plan authorizes, among other things, the grant of options to purchase shares of common stock to directors, officers and employees of the Company and to other individuals.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14, 2017, the board of directors approved a grant of stock options to purchase an aggregate of up to 120,848 shares (1,812,712 shares before the Reverse Split) of common stock to Mr. Harel Gadot, the Company’s Chairman of the Board, President and CEO, at an exercise price per share of $15.75 ($1.05 before the Reverse Split). The stock options vest over a period of 3-5 years as outlined in the option agreements. As a result, the Company recognized compensation expenses for the three months ended September 30, 2019 and 2018 in total amount of $122 and $121 respectively and for the nine months ended September 30, 2019 and 2018 in total amount of $362 and $460 respectively included in general and administrative expenses.</w:t>
      </w:r>
    </w:p>
    <w:p>
      <w:pPr>
        <w:spacing w:after="0" w:line="188"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17145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500"/>
          </w:cols>
          <w:pgMar w:left="1160" w:top="684" w:right="239" w:bottom="1440" w:gutter="0" w:footer="0" w:header="0"/>
        </w:sectPr>
      </w:pPr>
    </w:p>
    <w:bookmarkStart w:id="16" w:name="page17"/>
    <w:bookmarkEnd w:id="16"/>
    <w:p>
      <w:pPr>
        <w:jc w:val="center"/>
        <w:ind w:right="920"/>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b w:val="1"/>
          <w:bCs w:val="1"/>
          <w:u w:val="single" w:color="auto"/>
          <w:color w:val="auto"/>
        </w:rPr>
        <w:t>NOTES TO INTERIM CONSOLIDATED FINANCIAL STATEMENTS</w:t>
      </w:r>
    </w:p>
    <w:p>
      <w:pPr>
        <w:spacing w:after="0" w:line="9"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September 14, 2017, the board of directors approved a grant of stock options to purchase an aggregate of up to 72,508 shares (1,087,627 shares before the Reverse Split) of common stock to Mr. Hezi Himelfarb, the Company’s General Manager, COO and a member of the Board, at an exercise price per share of $19.35 ($1.29 before the Reverse Split). The grant was subject to the Israeli Tax Authority’s approval of the plan which occurred on October 14, 2017. In accordance with the option agreement, the options vest for period of 3 years starting from the grand date. As a result, the Company recognized compensation expenses for the three months ended September 30, 2019 and 2018 in the total amount of $108 and $98 respectively and for the nine months ended September 30, 2019 and 2018 in the total amount of $322 and $329 respectively included in research and development.</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6, 2017, the board of directors approved a grant of 12,698 stock options (190,475 stock options before the Reverse Split) to purchase an aggregate of up to 12,698 shares of common stock to certain of its directors, at an exercise price per share of $15.75 ($1.05 before the Reverse Split). The stock options vest over a period of 3 years as outlined in the option agreements. As a result, the Company recognized compensation expenses for the three months ended September 30, 2019 and 2018 in the total amount of $13 and $14 respectively and for the nine months ended September 30, 2019 and 2018 in the total amount of $40 and $55 respectively included in general and administrative expenses.</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28, 2017, the board of directors approved a grant of 66,036 stock options (990,543 stock options before the Reverse Split) to purchase an aggregate of up to 66,036 shares of common stock to certain of its employees, at an exercise price per share of $15.3 ($1.02 before the Reverse Split). The stock options vest over a period of 3 years as outlined in the option agreements. As a result, the Company recognized compensation expenses for the three months ended September 30, 2019 and 2018 in the total amount of $37 and $62 respectively and for the nine months ended September 30, 2019 and 2018 in the total amount of $116 and $273 respectively included in research and development expenses.</w:t>
      </w:r>
    </w:p>
    <w:p>
      <w:pPr>
        <w:spacing w:after="0" w:line="1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November 2017, certain employees and consultant exercised 31,453 options (471,794 options before the Reverse Split) to 31,453 ordinary shares at exercise price of 0.001 NIS.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February 2018, an employee exercised options to purchase 2,487 shares (37,300 shares before the Reverse Split) of common stock at an exercise price of $0.001 per share.</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August 13, 2018, the board of directors approved a grant of stock options to purchase an aggregate of up to 10,000 shares (150,000 shares before the Reverse Split) of common stock to a non-executive officer, at an exercise price per share of $9 ($0.6 before the Reverse Split). The grant was subject to the Israeli Tax Authority’s approval of the plan which occurred on October 14, 2017. In accordance with the option agreement, the options vest for period of 3 years starting from the grand date. As a result, the Company recognized compensation expenses for the three months ended September 30, 2019 and 2018 in the total amount of $6 and $22 respectively and for the nine months ended September 30, 2019 and 2018 in the total amount of $24 and $22 respectively included in research and development expenses.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21, 2019, the board of directors approved a grant of 11,630 stock options to purchase an aggregate of up to 11,630 shares of common stock to certain of its directors, at an exercise price per share of $8.60. The stock options vest over a period of 3 years as outlined in the option agreements As a result, the Company recognized compensation expenses for the three months ended September 30, 2019 and 2018 in the total amount of $7 and $0 respectively and for the nine months ended September 30, 2019 and 2018 in the total amount of $37 and $0 respectively included in general and administrative expenses.</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12, 2019, the board of directors approved a grant of 17,503 stock options to purchase an aggregate of up to 17,503 shares of common stock to certain of its employees, at an exercise price per share of $5.95. The stock options vest over a period of 3 years as outlined in the option agreements As a result, the Company recognized compensation expenses for the three months ended September 30, 2019 and 2018 in the total amount of $4 and $0 respectively and for the nine months ended September 30, 2019 and 2018 in the total amount of $4 and $0 respectively included in general and administrative expenses.</w:t>
      </w:r>
    </w:p>
    <w:p>
      <w:pPr>
        <w:spacing w:after="0" w:line="184"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17145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500"/>
          </w:cols>
          <w:pgMar w:left="1160" w:top="684" w:right="239" w:bottom="1440" w:gutter="0" w:footer="0" w:header="0"/>
        </w:sectPr>
      </w:pPr>
    </w:p>
    <w:bookmarkStart w:id="17" w:name="page18"/>
    <w:bookmarkEnd w:id="17"/>
    <w:p>
      <w:pPr>
        <w:jc w:val="center"/>
        <w:ind w:right="920"/>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b w:val="1"/>
          <w:bCs w:val="1"/>
          <w:u w:val="single" w:color="auto"/>
          <w:color w:val="auto"/>
        </w:rPr>
        <w:t>NOTES TO INTERIM CONSOLIDATED FINANCIAL STATEMENTS</w:t>
      </w:r>
    </w:p>
    <w:p>
      <w:pPr>
        <w:spacing w:after="0" w:line="9"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option activity related to options to employees and directors, and related information is as follows:</w:t>
      </w:r>
    </w:p>
    <w:p>
      <w:pPr>
        <w:spacing w:after="0" w:line="239" w:lineRule="exact"/>
        <w:rPr>
          <w:sz w:val="20"/>
          <w:szCs w:val="20"/>
          <w:color w:val="auto"/>
        </w:rPr>
      </w:pPr>
    </w:p>
    <w:tbl>
      <w:tblPr>
        <w:tblLayout w:type="fixed"/>
        <w:tblInd w:w="380" w:type="dxa"/>
        <w:tblCellMar>
          <w:top w:w="0" w:type="dxa"/>
          <w:left w:w="0" w:type="dxa"/>
          <w:bottom w:w="0" w:type="dxa"/>
          <w:right w:w="0" w:type="dxa"/>
        </w:tblCellMar>
      </w:tblPr>
      <w:tr>
        <w:trPr>
          <w:trHeight w:val="241"/>
        </w:trPr>
        <w:tc>
          <w:tcPr>
            <w:tcW w:w="4120" w:type="dxa"/>
            <w:vAlign w:val="bottom"/>
          </w:tcPr>
          <w:p>
            <w:pPr>
              <w:spacing w:after="0"/>
              <w:rPr>
                <w:sz w:val="20"/>
                <w:szCs w:val="20"/>
                <w:color w:val="auto"/>
              </w:rPr>
            </w:pPr>
          </w:p>
        </w:tc>
        <w:tc>
          <w:tcPr>
            <w:tcW w:w="4440" w:type="dxa"/>
            <w:vAlign w:val="bottom"/>
            <w:gridSpan w:val="9"/>
          </w:tcPr>
          <w:p>
            <w:pPr>
              <w:jc w:val="center"/>
              <w:ind w:right="80"/>
              <w:spacing w:after="0"/>
              <w:rPr>
                <w:sz w:val="20"/>
                <w:szCs w:val="20"/>
                <w:color w:val="auto"/>
              </w:rPr>
            </w:pPr>
            <w:r>
              <w:rPr>
                <w:rFonts w:ascii="Times New Roman" w:cs="Times New Roman" w:eastAsia="Times New Roman" w:hAnsi="Times New Roman"/>
                <w:sz w:val="18"/>
                <w:szCs w:val="18"/>
                <w:color w:val="auto"/>
              </w:rPr>
              <w:t>For the Nine Months ended September 30, 2019</w:t>
            </w:r>
          </w:p>
        </w:tc>
      </w:tr>
      <w:tr>
        <w:trPr>
          <w:trHeight w:val="198"/>
        </w:trPr>
        <w:tc>
          <w:tcPr>
            <w:tcW w:w="4120" w:type="dxa"/>
            <w:vAlign w:val="bottom"/>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gridSpan w:val="2"/>
          </w:tcPr>
          <w:p>
            <w:pPr>
              <w:jc w:val="center"/>
              <w:ind w:right="440"/>
              <w:spacing w:after="0" w:line="198" w:lineRule="exact"/>
              <w:rPr>
                <w:sz w:val="20"/>
                <w:szCs w:val="20"/>
                <w:color w:val="auto"/>
              </w:rPr>
            </w:pPr>
            <w:r>
              <w:rPr>
                <w:rFonts w:ascii="Times New Roman" w:cs="Times New Roman" w:eastAsia="Times New Roman" w:hAnsi="Times New Roman"/>
                <w:sz w:val="18"/>
                <w:szCs w:val="18"/>
                <w:color w:val="auto"/>
                <w:w w:val="97"/>
              </w:rPr>
              <w:t>Weighted</w:t>
            </w:r>
          </w:p>
        </w:tc>
        <w:tc>
          <w:tcPr>
            <w:tcW w:w="1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4120" w:type="dxa"/>
            <w:vAlign w:val="bottom"/>
          </w:tcPr>
          <w:p>
            <w:pPr>
              <w:spacing w:after="0"/>
              <w:rPr>
                <w:sz w:val="18"/>
                <w:szCs w:val="18"/>
                <w:color w:val="auto"/>
              </w:rPr>
            </w:pPr>
          </w:p>
        </w:tc>
        <w:tc>
          <w:tcPr>
            <w:tcW w:w="14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Number of</w:t>
            </w:r>
          </w:p>
        </w:tc>
        <w:tc>
          <w:tcPr>
            <w:tcW w:w="80" w:type="dxa"/>
            <w:vAlign w:val="bottom"/>
          </w:tcPr>
          <w:p>
            <w:pPr>
              <w:spacing w:after="0"/>
              <w:rPr>
                <w:sz w:val="18"/>
                <w:szCs w:val="18"/>
                <w:color w:val="auto"/>
              </w:rPr>
            </w:pPr>
          </w:p>
        </w:tc>
        <w:tc>
          <w:tcPr>
            <w:tcW w:w="15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rPr>
              <w:t>average exercise</w:t>
            </w:r>
          </w:p>
        </w:tc>
        <w:tc>
          <w:tcPr>
            <w:tcW w:w="12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Aggregate</w:t>
            </w:r>
          </w:p>
        </w:tc>
      </w:tr>
      <w:tr>
        <w:trPr>
          <w:trHeight w:val="241"/>
        </w:trPr>
        <w:tc>
          <w:tcPr>
            <w:tcW w:w="4120" w:type="dxa"/>
            <w:vAlign w:val="bottom"/>
          </w:tcPr>
          <w:p>
            <w:pPr>
              <w:spacing w:after="0"/>
              <w:rPr>
                <w:sz w:val="20"/>
                <w:szCs w:val="20"/>
                <w:color w:val="auto"/>
              </w:rPr>
            </w:pPr>
          </w:p>
        </w:tc>
        <w:tc>
          <w:tcPr>
            <w:tcW w:w="14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stock options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price</w:t>
            </w:r>
          </w:p>
        </w:tc>
        <w:tc>
          <w:tcPr>
            <w:tcW w:w="120" w:type="dxa"/>
            <w:vAlign w:val="bottom"/>
          </w:tcPr>
          <w:p>
            <w:pPr>
              <w:spacing w:after="0"/>
              <w:rPr>
                <w:sz w:val="20"/>
                <w:szCs w:val="20"/>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intrinsic value</w:t>
            </w:r>
          </w:p>
        </w:tc>
      </w:tr>
      <w:tr>
        <w:trPr>
          <w:trHeight w:val="216"/>
        </w:trPr>
        <w:tc>
          <w:tcPr>
            <w:tcW w:w="412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beginning of period</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398,308</w:t>
            </w:r>
          </w:p>
        </w:tc>
        <w:tc>
          <w:tcPr>
            <w:tcW w:w="2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11.50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29,133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7.00</w:t>
            </w:r>
          </w:p>
        </w:tc>
        <w:tc>
          <w:tcPr>
            <w:tcW w:w="12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Cancelled</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1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end of period</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427,441</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4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3"/>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at end of period</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306,723</w:t>
            </w:r>
          </w:p>
        </w:tc>
        <w:tc>
          <w:tcPr>
            <w:tcW w:w="2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9.90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417</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gridSpan w:val="2"/>
          </w:tcPr>
          <w:p>
            <w:pPr>
              <w:spacing w:after="0" w:line="20" w:lineRule="exact"/>
              <w:rPr>
                <w:sz w:val="1"/>
                <w:szCs w:val="1"/>
                <w:color w:val="auto"/>
              </w:rPr>
            </w:pPr>
          </w:p>
        </w:tc>
        <w:tc>
          <w:tcPr>
            <w:tcW w:w="128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433"/>
        </w:trPr>
        <w:tc>
          <w:tcPr>
            <w:tcW w:w="4120" w:type="dxa"/>
            <w:vAlign w:val="bottom"/>
          </w:tcPr>
          <w:p>
            <w:pPr>
              <w:spacing w:after="0"/>
              <w:rPr>
                <w:sz w:val="24"/>
                <w:szCs w:val="24"/>
                <w:color w:val="auto"/>
              </w:rPr>
            </w:pPr>
          </w:p>
        </w:tc>
        <w:tc>
          <w:tcPr>
            <w:tcW w:w="4440" w:type="dxa"/>
            <w:vAlign w:val="bottom"/>
            <w:gridSpan w:val="9"/>
          </w:tcPr>
          <w:p>
            <w:pPr>
              <w:jc w:val="center"/>
              <w:ind w:right="80"/>
              <w:spacing w:after="0"/>
              <w:rPr>
                <w:sz w:val="20"/>
                <w:szCs w:val="20"/>
                <w:color w:val="auto"/>
              </w:rPr>
            </w:pPr>
            <w:r>
              <w:rPr>
                <w:rFonts w:ascii="Times New Roman" w:cs="Times New Roman" w:eastAsia="Times New Roman" w:hAnsi="Times New Roman"/>
                <w:sz w:val="18"/>
                <w:szCs w:val="18"/>
                <w:color w:val="auto"/>
                <w:w w:val="99"/>
              </w:rPr>
              <w:t>For the Year ended December 31, 2018</w:t>
            </w:r>
          </w:p>
        </w:tc>
      </w:tr>
      <w:tr>
        <w:trPr>
          <w:trHeight w:val="198"/>
        </w:trPr>
        <w:tc>
          <w:tcPr>
            <w:tcW w:w="4120" w:type="dxa"/>
            <w:vAlign w:val="bottom"/>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gridSpan w:val="2"/>
          </w:tcPr>
          <w:p>
            <w:pPr>
              <w:jc w:val="center"/>
              <w:ind w:right="440"/>
              <w:spacing w:after="0" w:line="198" w:lineRule="exact"/>
              <w:rPr>
                <w:sz w:val="20"/>
                <w:szCs w:val="20"/>
                <w:color w:val="auto"/>
              </w:rPr>
            </w:pPr>
            <w:r>
              <w:rPr>
                <w:rFonts w:ascii="Times New Roman" w:cs="Times New Roman" w:eastAsia="Times New Roman" w:hAnsi="Times New Roman"/>
                <w:sz w:val="18"/>
                <w:szCs w:val="18"/>
                <w:color w:val="auto"/>
                <w:w w:val="97"/>
              </w:rPr>
              <w:t>Weighted</w:t>
            </w:r>
          </w:p>
        </w:tc>
        <w:tc>
          <w:tcPr>
            <w:tcW w:w="1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4120" w:type="dxa"/>
            <w:vAlign w:val="bottom"/>
          </w:tcPr>
          <w:p>
            <w:pPr>
              <w:spacing w:after="0"/>
              <w:rPr>
                <w:sz w:val="18"/>
                <w:szCs w:val="18"/>
                <w:color w:val="auto"/>
              </w:rPr>
            </w:pPr>
          </w:p>
        </w:tc>
        <w:tc>
          <w:tcPr>
            <w:tcW w:w="14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Number of</w:t>
            </w:r>
          </w:p>
        </w:tc>
        <w:tc>
          <w:tcPr>
            <w:tcW w:w="80" w:type="dxa"/>
            <w:vAlign w:val="bottom"/>
          </w:tcPr>
          <w:p>
            <w:pPr>
              <w:spacing w:after="0"/>
              <w:rPr>
                <w:sz w:val="18"/>
                <w:szCs w:val="18"/>
                <w:color w:val="auto"/>
              </w:rPr>
            </w:pPr>
          </w:p>
        </w:tc>
        <w:tc>
          <w:tcPr>
            <w:tcW w:w="15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rPr>
              <w:t>average exercise</w:t>
            </w:r>
          </w:p>
        </w:tc>
        <w:tc>
          <w:tcPr>
            <w:tcW w:w="12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Aggregate</w:t>
            </w:r>
          </w:p>
        </w:tc>
      </w:tr>
      <w:tr>
        <w:trPr>
          <w:trHeight w:val="241"/>
        </w:trPr>
        <w:tc>
          <w:tcPr>
            <w:tcW w:w="4120" w:type="dxa"/>
            <w:vAlign w:val="bottom"/>
          </w:tcPr>
          <w:p>
            <w:pPr>
              <w:spacing w:after="0"/>
              <w:rPr>
                <w:sz w:val="20"/>
                <w:szCs w:val="20"/>
                <w:color w:val="auto"/>
              </w:rPr>
            </w:pPr>
          </w:p>
        </w:tc>
        <w:tc>
          <w:tcPr>
            <w:tcW w:w="14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stock options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price</w:t>
            </w:r>
          </w:p>
        </w:tc>
        <w:tc>
          <w:tcPr>
            <w:tcW w:w="120" w:type="dxa"/>
            <w:vAlign w:val="bottom"/>
          </w:tcPr>
          <w:p>
            <w:pPr>
              <w:spacing w:after="0"/>
              <w:rPr>
                <w:sz w:val="20"/>
                <w:szCs w:val="20"/>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intrinsic value</w:t>
            </w:r>
          </w:p>
        </w:tc>
      </w:tr>
      <w:tr>
        <w:trPr>
          <w:trHeight w:val="216"/>
        </w:trPr>
        <w:tc>
          <w:tcPr>
            <w:tcW w:w="412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beginning of period</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414,965</w:t>
            </w:r>
          </w:p>
        </w:tc>
        <w:tc>
          <w:tcPr>
            <w:tcW w:w="2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11.70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1,859</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9.00</w:t>
            </w:r>
          </w:p>
        </w:tc>
        <w:tc>
          <w:tcPr>
            <w:tcW w:w="12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(2,487)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Cancelled</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(24,170)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1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end of period</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398,308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1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r>
      <w:tr>
        <w:trPr>
          <w:trHeight w:val="197"/>
        </w:trPr>
        <w:tc>
          <w:tcPr>
            <w:tcW w:w="4120" w:type="dxa"/>
            <w:vAlign w:val="bottom"/>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43"/>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at end of period</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245,010</w:t>
            </w:r>
          </w:p>
        </w:tc>
        <w:tc>
          <w:tcPr>
            <w:tcW w:w="2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8.45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108</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137160</wp:posOffset>
            </wp:positionV>
            <wp:extent cx="18097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aggregate intrinsic value in the table above represents the total intrinsic value, which is calculated as the difference between the fair market value of the common stock and the exercise price, multiplied by the number of in-the-money stock options on those dates that would have been received by the stock option holders had all stock option holders exercised their stock options on those dates as of September 30, 2019 and December 31, 2018 respectively.</w:t>
      </w:r>
    </w:p>
    <w:p>
      <w:pPr>
        <w:spacing w:after="0" w:line="180"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17145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500"/>
          </w:cols>
          <w:pgMar w:left="1160" w:top="684" w:right="239" w:bottom="1440" w:gutter="0" w:footer="0" w:header="0"/>
        </w:sectPr>
      </w:pPr>
    </w:p>
    <w:bookmarkStart w:id="18" w:name="page19"/>
    <w:bookmarkEnd w:id="18"/>
    <w:p>
      <w:pPr>
        <w:jc w:val="center"/>
        <w:ind w:right="920"/>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b w:val="1"/>
          <w:bCs w:val="1"/>
          <w:u w:val="single" w:color="auto"/>
          <w:color w:val="auto"/>
        </w:rPr>
        <w:t>NOTES TO INTERIM CONSOLIDATED FINANCIAL STATEMENTS</w:t>
      </w:r>
    </w:p>
    <w:p>
      <w:pPr>
        <w:spacing w:after="0" w:line="9"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ind w:right="900"/>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stock options outstanding as of September 30, 2019 and December 31, 2018, summarized by exercise prices,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7"/>
              </w:rPr>
              <w:t>Weighted</w:t>
            </w: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Weighted</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average</w:t>
            </w: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average</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remaining</w:t>
            </w: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remaining</w:t>
            </w: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Stock options</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Stock options</w:t>
            </w:r>
          </w:p>
        </w:tc>
      </w:tr>
      <w:tr>
        <w:trPr>
          <w:trHeight w:val="216"/>
        </w:trPr>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Stock options</w:t>
            </w: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Stock options</w:t>
            </w: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contractual life</w:t>
            </w: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contractual</w:t>
            </w: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exercisable</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exercisable</w:t>
            </w:r>
          </w:p>
        </w:tc>
      </w:tr>
      <w:tr>
        <w:trPr>
          <w:trHeight w:val="216"/>
        </w:trPr>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outstanding as</w:t>
            </w: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outstanding as</w:t>
            </w: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 years as of</w:t>
            </w: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life – years as</w:t>
            </w: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as of</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as of</w:t>
            </w:r>
          </w:p>
        </w:tc>
      </w:tr>
      <w:tr>
        <w:trPr>
          <w:trHeight w:val="216"/>
        </w:trPr>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Exercise price</w:t>
            </w: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of September</w:t>
            </w: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of December</w:t>
            </w: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September 30,</w:t>
            </w: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of December</w:t>
            </w: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September</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December</w:t>
            </w:r>
          </w:p>
        </w:tc>
      </w:tr>
      <w:tr>
        <w:trPr>
          <w:trHeight w:val="241"/>
        </w:trPr>
        <w:tc>
          <w:tcPr>
            <w:tcW w:w="11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30, 2019</w:t>
            </w:r>
          </w:p>
        </w:tc>
        <w:tc>
          <w:tcPr>
            <w:tcW w:w="28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31, 2018</w:t>
            </w:r>
          </w:p>
        </w:tc>
        <w:tc>
          <w:tcPr>
            <w:tcW w:w="28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c>
          <w:tcPr>
            <w:tcW w:w="28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31, 2018</w:t>
            </w:r>
          </w:p>
        </w:tc>
        <w:tc>
          <w:tcPr>
            <w:tcW w:w="260" w:type="dxa"/>
            <w:vAlign w:val="bottom"/>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30, 2019</w:t>
            </w:r>
          </w:p>
        </w:tc>
        <w:tc>
          <w:tcPr>
            <w:tcW w:w="260" w:type="dxa"/>
            <w:vAlign w:val="bottom"/>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31, 2018</w:t>
            </w:r>
          </w:p>
        </w:tc>
        <w:tc>
          <w:tcPr>
            <w:tcW w:w="80" w:type="dxa"/>
            <w:vAlign w:val="bottom"/>
          </w:tcPr>
          <w:p>
            <w:pPr>
              <w:spacing w:after="0"/>
              <w:rPr>
                <w:sz w:val="20"/>
                <w:szCs w:val="20"/>
                <w:color w:val="auto"/>
              </w:rPr>
            </w:pPr>
          </w:p>
        </w:tc>
      </w:tr>
      <w:tr>
        <w:trPr>
          <w:trHeight w:val="216"/>
        </w:trPr>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4.20</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77,846</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77,846</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6.3</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7.0</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77,846</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77,846</w:t>
            </w:r>
          </w:p>
        </w:tc>
      </w:tr>
      <w:tr>
        <w:trPr>
          <w:trHeight w:val="216"/>
        </w:trPr>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15.75</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133,546</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133,546</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8.0</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8.8</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83,005</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53,752</w:t>
            </w:r>
          </w:p>
        </w:tc>
      </w:tr>
      <w:tr>
        <w:trPr>
          <w:trHeight w:val="216"/>
        </w:trPr>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8.60</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11,630</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9.3</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4,645</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9.00</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10,000</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10,000</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9.0</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9.8</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4,000</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19.35</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72,508</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72,508</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8.0</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8.8</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45,318</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29,003</w:t>
            </w:r>
          </w:p>
        </w:tc>
      </w:tr>
      <w:tr>
        <w:trPr>
          <w:trHeight w:val="216"/>
        </w:trPr>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5.95</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17,503</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2.8</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15.30</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41,866</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41,866</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8.3</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9.0</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29,367</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21,867</w:t>
            </w:r>
          </w:p>
        </w:tc>
      </w:tr>
      <w:tr>
        <w:trPr>
          <w:trHeight w:val="237"/>
        </w:trPr>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62,542</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62,542</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7.0</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7.8</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62,542</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62,542</w:t>
            </w:r>
          </w:p>
        </w:tc>
      </w:tr>
      <w:tr>
        <w:trPr>
          <w:trHeight w:val="230"/>
        </w:trPr>
        <w:tc>
          <w:tcPr>
            <w:tcW w:w="1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427,441</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398,308</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306,723</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245,010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137160</wp:posOffset>
            </wp:positionV>
            <wp:extent cx="18097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Less than $0.01.</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Compensation expense recorded by the Company for its stock-based employee compensation awards in accordance with ASC 718-10 for the nine months ended September 30, 2019 and 2018 was $906 and $1,139, respectively, and for the three months ended September 30, 2019 and 2018 was $296 and $317, respectively.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the stock options is estimated at the date of grant using the Black-Scholes options pricing model with the following weighted-average assumptions:</w:t>
      </w:r>
    </w:p>
    <w:p>
      <w:pPr>
        <w:spacing w:after="0" w:line="162" w:lineRule="exact"/>
        <w:rPr>
          <w:sz w:val="20"/>
          <w:szCs w:val="20"/>
          <w:color w:val="auto"/>
        </w:rPr>
      </w:pPr>
    </w:p>
    <w:tbl>
      <w:tblPr>
        <w:tblLayout w:type="fixed"/>
        <w:tblInd w:w="38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22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Nine Months ended</w:t>
            </w:r>
          </w:p>
        </w:tc>
        <w:tc>
          <w:tcPr>
            <w:tcW w:w="206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Year ended</w:t>
            </w:r>
          </w:p>
        </w:tc>
      </w:tr>
      <w:tr>
        <w:trPr>
          <w:trHeight w:val="241"/>
        </w:trPr>
        <w:tc>
          <w:tcPr>
            <w:tcW w:w="3160" w:type="dxa"/>
            <w:vAlign w:val="bottom"/>
          </w:tcPr>
          <w:p>
            <w:pPr>
              <w:spacing w:after="0"/>
              <w:rPr>
                <w:sz w:val="20"/>
                <w:szCs w:val="20"/>
                <w:color w:val="auto"/>
              </w:rPr>
            </w:pPr>
          </w:p>
        </w:tc>
        <w:tc>
          <w:tcPr>
            <w:tcW w:w="22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September 30, 2019</w:t>
            </w:r>
          </w:p>
        </w:tc>
        <w:tc>
          <w:tcPr>
            <w:tcW w:w="20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December 31, 2018</w:t>
            </w:r>
          </w:p>
        </w:tc>
      </w:tr>
      <w:tr>
        <w:trPr>
          <w:trHeight w:val="216"/>
        </w:trPr>
        <w:tc>
          <w:tcPr>
            <w:tcW w:w="3160" w:type="dxa"/>
            <w:vAlign w:val="bottom"/>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133.43%-144.4%</w:t>
            </w:r>
          </w:p>
        </w:tc>
        <w:tc>
          <w:tcPr>
            <w:tcW w:w="2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99.40%</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w:t>
            </w:r>
          </w:p>
        </w:tc>
        <w:tc>
          <w:tcPr>
            <w:tcW w:w="2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1.64%</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2.39%</w:t>
            </w: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w:t>
            </w:r>
          </w:p>
        </w:tc>
        <w:tc>
          <w:tcPr>
            <w:tcW w:w="2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234"/>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of up to (years)</w:t>
            </w:r>
          </w:p>
        </w:tc>
        <w:tc>
          <w:tcPr>
            <w:tcW w:w="2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6.37-6.73</w:t>
            </w: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5.24</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Shares issued to service provider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24, 2018 the Company issued an aggregate of 6,738 nonrefundable shares (100,000 nonrefundable shares before the Reverse Split) of common stock to CardioSert as part of certain patent acquisition. The Company recorded expenses of approximately $74 with respect to the issuance of these shares included in research and development expenses.</w:t>
      </w:r>
    </w:p>
    <w:p>
      <w:pPr>
        <w:spacing w:after="0" w:line="176"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17145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500"/>
          </w:cols>
          <w:pgMar w:left="1160" w:top="684" w:right="2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INTERIM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(Except share and per share data)</w:t>
      </w:r>
    </w:p>
    <w:p>
      <w:pPr>
        <w:spacing w:after="0" w:line="203" w:lineRule="exact"/>
        <w:rPr>
          <w:sz w:val="20"/>
          <w:szCs w:val="20"/>
          <w:color w:val="auto"/>
        </w:rPr>
      </w:pPr>
    </w:p>
    <w:tbl>
      <w:tblPr>
        <w:tblLayout w:type="fixed"/>
        <w:tblInd w:w="920" w:type="dxa"/>
        <w:tblCellMar>
          <w:top w:w="0" w:type="dxa"/>
          <w:left w:w="0" w:type="dxa"/>
          <w:bottom w:w="0" w:type="dxa"/>
          <w:right w:w="0" w:type="dxa"/>
        </w:tblCellMar>
      </w:tblPr>
      <w:tr>
        <w:trPr>
          <w:trHeight w:val="238"/>
        </w:trPr>
        <w:tc>
          <w:tcPr>
            <w:tcW w:w="1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1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3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The remaining outstanding warrants and terms as of September 30, 2019 and December 31, 2018 are as follows:</w:t>
            </w: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Outstanding as of</w:t>
            </w:r>
          </w:p>
        </w:tc>
        <w:tc>
          <w:tcPr>
            <w:tcW w:w="17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Outstanding as of</w:t>
            </w:r>
          </w:p>
        </w:tc>
        <w:tc>
          <w:tcPr>
            <w:tcW w:w="120" w:type="dxa"/>
            <w:vAlign w:val="bottom"/>
          </w:tcPr>
          <w:p>
            <w:pPr>
              <w:spacing w:after="0"/>
              <w:rPr>
                <w:sz w:val="24"/>
                <w:szCs w:val="24"/>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9"/>
              </w:rPr>
              <w:t>Exercise</w:t>
            </w:r>
          </w:p>
        </w:tc>
        <w:tc>
          <w:tcPr>
            <w:tcW w:w="17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Exercisable as of</w:t>
            </w: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19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Issuance date</w:t>
            </w:r>
          </w:p>
        </w:tc>
        <w:tc>
          <w:tcPr>
            <w:tcW w:w="1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December 31, 2018</w:t>
            </w:r>
          </w:p>
        </w:tc>
        <w:tc>
          <w:tcPr>
            <w:tcW w:w="17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September 30, 2019</w:t>
            </w:r>
          </w:p>
        </w:tc>
        <w:tc>
          <w:tcPr>
            <w:tcW w:w="120" w:type="dxa"/>
            <w:vAlign w:val="bottom"/>
          </w:tcPr>
          <w:p>
            <w:pPr>
              <w:spacing w:after="0"/>
              <w:rPr>
                <w:sz w:val="20"/>
                <w:szCs w:val="20"/>
                <w:color w:val="auto"/>
              </w:rPr>
            </w:pP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Price</w:t>
            </w:r>
          </w:p>
        </w:tc>
        <w:tc>
          <w:tcPr>
            <w:tcW w:w="17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September 30, 2019</w:t>
            </w:r>
          </w:p>
        </w:tc>
        <w:tc>
          <w:tcPr>
            <w:tcW w:w="16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Exercisable Through</w:t>
            </w:r>
          </w:p>
        </w:tc>
        <w:tc>
          <w:tcPr>
            <w:tcW w:w="0" w:type="dxa"/>
            <w:vAlign w:val="bottom"/>
          </w:tcPr>
          <w:p>
            <w:pPr>
              <w:spacing w:after="0"/>
              <w:rPr>
                <w:sz w:val="1"/>
                <w:szCs w:val="1"/>
                <w:color w:val="auto"/>
              </w:rPr>
            </w:pPr>
          </w:p>
        </w:tc>
      </w:tr>
      <w:tr>
        <w:trPr>
          <w:trHeight w:val="216"/>
        </w:trPr>
        <w:tc>
          <w:tcPr>
            <w:tcW w:w="1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(2013)</w:t>
            </w:r>
          </w:p>
        </w:tc>
        <w:tc>
          <w:tcPr>
            <w:tcW w:w="1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181</w:t>
            </w:r>
          </w:p>
        </w:tc>
        <w:tc>
          <w:tcPr>
            <w:tcW w:w="1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2,754.00</w:t>
            </w:r>
          </w:p>
        </w:tc>
        <w:tc>
          <w:tcPr>
            <w:tcW w:w="1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181</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April 9, 2023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A (2015)</w:t>
            </w:r>
          </w:p>
        </w:tc>
        <w:tc>
          <w:tcPr>
            <w:tcW w:w="1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676</w:t>
            </w: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676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1,377.00</w:t>
            </w: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676</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April 30, 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B (2016) (a)</w:t>
            </w:r>
          </w:p>
        </w:tc>
        <w:tc>
          <w:tcPr>
            <w:tcW w:w="1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2,741</w:t>
            </w:r>
          </w:p>
        </w:tc>
        <w:tc>
          <w:tcPr>
            <w:tcW w:w="1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2,741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40.50</w:t>
            </w:r>
          </w:p>
        </w:tc>
        <w:tc>
          <w:tcPr>
            <w:tcW w:w="1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2,741</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March 14, 2022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920"/>
        <w:spacing w:after="0" w:line="256" w:lineRule="auto"/>
        <w:rPr>
          <w:sz w:val="20"/>
          <w:szCs w:val="20"/>
          <w:color w:val="auto"/>
        </w:rPr>
      </w:pPr>
      <w:r>
        <w:rPr>
          <w:rFonts w:ascii="Times New Roman" w:cs="Times New Roman" w:eastAsia="Times New Roman" w:hAnsi="Times New Roman"/>
          <w:sz w:val="18"/>
          <w:szCs w:val="18"/>
          <w:color w:val="auto"/>
        </w:rPr>
        <w:t>Prior to January 1, 2019, warrants with non-standard anti-dilution provisions (referred to as down round protection) were classified as liabilities and re-measured each reporting period. On January 1, 2019, the Company adopted the provisions of ASU 2017-11, which indicates that a down round feature no longer precludes equity classification when assessing whether an investment is indexed to an entity’s own stock. The Company used a full retrospective approach to adoption and restated its financial statements as of the earliest period presented. The cumulative effect of adoption of ASU 2017-11 resulted in an adjustment to accumulated deficit as of January 1, 2018 of $20 with a corresponding adjustment to additional paid-in capital.</w:t>
      </w:r>
    </w:p>
    <w:p>
      <w:pPr>
        <w:spacing w:after="0" w:line="18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b w:val="1"/>
          <w:bCs w:val="1"/>
          <w:color w:val="auto"/>
        </w:rPr>
        <w:t>Repurchase of Shares</w:t>
      </w:r>
    </w:p>
    <w:p>
      <w:pPr>
        <w:spacing w:after="0" w:line="229" w:lineRule="exact"/>
        <w:rPr>
          <w:sz w:val="20"/>
          <w:szCs w:val="20"/>
          <w:color w:val="auto"/>
        </w:rPr>
      </w:pPr>
    </w:p>
    <w:p>
      <w:pPr>
        <w:jc w:val="both"/>
        <w:ind w:left="920"/>
        <w:spacing w:after="0" w:line="256" w:lineRule="auto"/>
        <w:rPr>
          <w:sz w:val="20"/>
          <w:szCs w:val="20"/>
          <w:color w:val="auto"/>
        </w:rPr>
      </w:pPr>
      <w:r>
        <w:rPr>
          <w:rFonts w:ascii="Times New Roman" w:cs="Times New Roman" w:eastAsia="Times New Roman" w:hAnsi="Times New Roman"/>
          <w:sz w:val="18"/>
          <w:szCs w:val="18"/>
          <w:color w:val="auto"/>
        </w:rPr>
        <w:t>The Company had intended to enter into a definitive agreement with up to three Israeli shareholders, some of whom are directors of the Company, that were former shareholders of Microbot Israel, pursuant to which the Company would repurchase, at a discount on the fair value of the share at the date of repurchase, up to $500 of common stock held by them, in the aggregate, if and to the extent such shareholders are unable to sell enough of their shares to cover certain of their Israeli tax liabilities resulting from the Merger. Such repurchase(s), if any, would occur only after the two-year anniversary of the Merger. The transaction would have been subject to negotiating final terms and entering into definitive agreements with such shareholders.</w:t>
      </w:r>
    </w:p>
    <w:p>
      <w:pPr>
        <w:spacing w:after="0" w:line="188" w:lineRule="exact"/>
        <w:rPr>
          <w:sz w:val="20"/>
          <w:szCs w:val="20"/>
          <w:color w:val="auto"/>
        </w:rPr>
      </w:pPr>
    </w:p>
    <w:p>
      <w:pPr>
        <w:jc w:val="both"/>
        <w:ind w:left="920"/>
        <w:spacing w:after="0" w:line="256" w:lineRule="auto"/>
        <w:rPr>
          <w:sz w:val="20"/>
          <w:szCs w:val="20"/>
          <w:color w:val="auto"/>
        </w:rPr>
      </w:pPr>
      <w:r>
        <w:rPr>
          <w:rFonts w:ascii="Times New Roman" w:cs="Times New Roman" w:eastAsia="Times New Roman" w:hAnsi="Times New Roman"/>
          <w:sz w:val="18"/>
          <w:szCs w:val="18"/>
          <w:color w:val="auto"/>
        </w:rPr>
        <w:t>The Company evaluated whether an embedded derivative that requires bifurcation exists within such shares that may be subject to repurchase. The Company concluded the fair value of such derivative instrument would be nominal and, in any case, would represent an asset to the Company as (a) the settlement requires acquiring the shares at a discount on the fair market value of the share at the time of re purchase and in no circumstances the acquisition price will be higher than approximately one dollar per share (representing 25% discount on the fair market value of the share at the merger closing date) and (b) it is assumed that the selling shareholders would use such right as last resort as such repurchase at a discount on the fair market value of such shares results in a loss to be incurred by the selling shareholders.</w:t>
      </w:r>
    </w:p>
    <w:p>
      <w:pPr>
        <w:spacing w:after="0" w:line="188" w:lineRule="exact"/>
        <w:rPr>
          <w:sz w:val="20"/>
          <w:szCs w:val="20"/>
          <w:color w:val="auto"/>
        </w:rPr>
      </w:pPr>
    </w:p>
    <w:p>
      <w:pPr>
        <w:jc w:val="both"/>
        <w:ind w:left="920" w:right="20"/>
        <w:spacing w:after="0" w:line="282" w:lineRule="auto"/>
        <w:rPr>
          <w:sz w:val="20"/>
          <w:szCs w:val="20"/>
          <w:color w:val="auto"/>
        </w:rPr>
      </w:pPr>
      <w:r>
        <w:rPr>
          <w:rFonts w:ascii="Times New Roman" w:cs="Times New Roman" w:eastAsia="Times New Roman" w:hAnsi="Times New Roman"/>
          <w:sz w:val="18"/>
          <w:szCs w:val="18"/>
          <w:color w:val="auto"/>
        </w:rPr>
        <w:t>In accordance with ASC 480-10-S99-3A (formerly EITF D-98), the Company classified the maximum amount it may be required to pay in the event the repurchase right is exercised ($500) as temporary equity.</w:t>
      </w:r>
    </w:p>
    <w:p>
      <w:pPr>
        <w:spacing w:after="0" w:line="162" w:lineRule="exact"/>
        <w:rPr>
          <w:sz w:val="20"/>
          <w:szCs w:val="20"/>
          <w:color w:val="auto"/>
        </w:rPr>
      </w:pPr>
    </w:p>
    <w:p>
      <w:pPr>
        <w:jc w:val="both"/>
        <w:ind w:left="920"/>
        <w:spacing w:after="0" w:line="266" w:lineRule="auto"/>
        <w:rPr>
          <w:sz w:val="20"/>
          <w:szCs w:val="20"/>
          <w:color w:val="auto"/>
        </w:rPr>
      </w:pPr>
      <w:r>
        <w:rPr>
          <w:rFonts w:ascii="Times New Roman" w:cs="Times New Roman" w:eastAsia="Times New Roman" w:hAnsi="Times New Roman"/>
          <w:sz w:val="18"/>
          <w:szCs w:val="18"/>
          <w:color w:val="auto"/>
        </w:rPr>
        <w:t>As of December 31, 2018, the Company determined that no obligation remained to enter into any such definitive agreement as the two-year anniversary of the Merger was in November 2018 and therefore there was no liability for the Company to repurchase any shares from the three Israeli shareholders.</w:t>
      </w:r>
    </w:p>
    <w:p>
      <w:pPr>
        <w:spacing w:after="0" w:line="17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NOTE 7 -</w:t>
      </w:r>
      <w:r>
        <w:rPr>
          <w:sz w:val="20"/>
          <w:szCs w:val="20"/>
          <w:color w:val="auto"/>
        </w:rPr>
        <w:tab/>
      </w:r>
      <w:r>
        <w:rPr>
          <w:rFonts w:ascii="Times New Roman" w:cs="Times New Roman" w:eastAsia="Times New Roman" w:hAnsi="Times New Roman"/>
          <w:sz w:val="17"/>
          <w:szCs w:val="17"/>
          <w:b w:val="1"/>
          <w:bCs w:val="1"/>
          <w:color w:val="auto"/>
        </w:rPr>
        <w:t>SUBSEQUENT EVENTS</w:t>
      </w:r>
    </w:p>
    <w:p>
      <w:pPr>
        <w:spacing w:after="0" w:line="229" w:lineRule="exact"/>
        <w:rPr>
          <w:sz w:val="20"/>
          <w:szCs w:val="20"/>
          <w:color w:val="auto"/>
        </w:rPr>
      </w:pPr>
    </w:p>
    <w:p>
      <w:pPr>
        <w:jc w:val="both"/>
        <w:ind w:left="920"/>
        <w:spacing w:after="0" w:line="266" w:lineRule="auto"/>
        <w:rPr>
          <w:sz w:val="20"/>
          <w:szCs w:val="20"/>
          <w:color w:val="auto"/>
        </w:rPr>
      </w:pPr>
      <w:r>
        <w:rPr>
          <w:rFonts w:ascii="Times New Roman" w:cs="Times New Roman" w:eastAsia="Times New Roman" w:hAnsi="Times New Roman"/>
          <w:sz w:val="18"/>
          <w:szCs w:val="18"/>
          <w:color w:val="auto"/>
        </w:rPr>
        <w:t>On October 23, 2019, the board of directors approved a grant of options to purchase an aggregate of up to 19,760 shares of common stock to the Company’s non-management directors, at an exercise price per share of $5.06. The stock options vest over a period of 3 years as outlined in the option agreements.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our unaudited financial statements and related notes included in Item 1, “Financial Statements,” of this Quarterly Report on Form 10-Q, as well as our Annual Report on Form 10-K for the fiscal year ended December 31, 2018. Certain information contained in this MD&amp;A includes “forward-looking statements.” Statements which are not historical reflect our current expectations and projections about our future results, performance, liquidity, financial condition and results of operations, prospects and opportunities and are based upon information currently available to us and our management and their interpretation of what is believed to be significant factors affecting our existing and proposed business, including many assumptions regarding future events. Actual results, performance, liquidity, financial condition and results of operations, prospects and opportunities could differ materially and perhaps substantially from those expressed in, or implied by, these forward-looking statements as a result of various risks, uncertainties and other factors, including those risks described in detail in the section entitled “Risk Factors” of our Annual Report on Form 10-K for the year ended December 31, 2018.</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Forward-looking statements, which involve assumptions and describe our future plans, strategies, and expectations, are generally identifiable by use of the words “may,” “should,” “would,” “will,” “could,” “scheduled,” “expect,” “anticipate,” “estimate,” “believe,” “intend,” “seek,” or “project” or the negative of these words or other variations on these words or comparable terminology.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light of these risks and uncertainties, and especially given the nature of our existing and proposed business, there can be no assurance that the forward-looking statements contained in this section and elsewhere in this Quarterly Report on Form 10-Q will in fact occur. Potential investors should not place undue reliance on any forward-looking statements. Except as expressly required by the federal securities laws, there is no undertaking to publicly update or revise any forward-looking statements, whether as a result of new information, future events, changed circumstances or any other reason.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Medical Inc. is a pre-clinical medical device company specializing in the research, design and development of next generation robotic endoluminal surgery devices targeting the minimally invasive surgery space. Microbot is primarily focused on leveraging its micro-robotic technologies with the goal of improving surgical outcomes for patients.</w:t>
      </w:r>
    </w:p>
    <w:p>
      <w:pPr>
        <w:spacing w:after="0" w:line="180"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Microbot’s current technological platforms, ViRob</w:t>
      </w:r>
      <w:r>
        <w:rPr>
          <w:rFonts w:ascii="Times New Roman" w:cs="Times New Roman" w:eastAsia="Times New Roman" w:hAnsi="Times New Roman"/>
          <w:sz w:val="30"/>
          <w:szCs w:val="30"/>
          <w:color w:val="auto"/>
          <w:vertAlign w:val="superscript"/>
        </w:rPr>
        <w:t>TM</w:t>
      </w:r>
      <w:r>
        <w:rPr>
          <w:rFonts w:ascii="Times New Roman" w:cs="Times New Roman" w:eastAsia="Times New Roman" w:hAnsi="Times New Roman"/>
          <w:sz w:val="18"/>
          <w:szCs w:val="18"/>
          <w:color w:val="auto"/>
        </w:rPr>
        <w:t>, CardioSert</w:t>
      </w:r>
      <w:r>
        <w:rPr>
          <w:rFonts w:ascii="Times New Roman" w:cs="Times New Roman" w:eastAsia="Times New Roman" w:hAnsi="Times New Roman"/>
          <w:sz w:val="30"/>
          <w:szCs w:val="30"/>
          <w:color w:val="auto"/>
          <w:vertAlign w:val="superscript"/>
        </w:rPr>
        <w:t>TM</w:t>
      </w:r>
      <w:r>
        <w:rPr>
          <w:rFonts w:ascii="Times New Roman" w:cs="Times New Roman" w:eastAsia="Times New Roman" w:hAnsi="Times New Roman"/>
          <w:sz w:val="18"/>
          <w:szCs w:val="18"/>
          <w:color w:val="auto"/>
        </w:rPr>
        <w:t xml:space="preserve"> and TipCAT</w:t>
      </w:r>
      <w:r>
        <w:rPr>
          <w:rFonts w:ascii="Times New Roman" w:cs="Times New Roman" w:eastAsia="Times New Roman" w:hAnsi="Times New Roman"/>
          <w:sz w:val="30"/>
          <w:szCs w:val="30"/>
          <w:color w:val="auto"/>
          <w:vertAlign w:val="superscript"/>
        </w:rPr>
        <w:t>TM</w:t>
      </w:r>
      <w:r>
        <w:rPr>
          <w:rFonts w:ascii="Times New Roman" w:cs="Times New Roman" w:eastAsia="Times New Roman" w:hAnsi="Times New Roman"/>
          <w:sz w:val="18"/>
          <w:szCs w:val="18"/>
          <w:color w:val="auto"/>
        </w:rPr>
        <w:t>, are comprised of proprietary innovative technologies. Using the ViRob platform, Microbot is currently developing its first product candidate: the Self Cleaning Shunt, or SCS</w:t>
      </w:r>
      <w:r>
        <w:rPr>
          <w:rFonts w:ascii="Times New Roman" w:cs="Times New Roman" w:eastAsia="Times New Roman" w:hAnsi="Times New Roman"/>
          <w:sz w:val="30"/>
          <w:szCs w:val="30"/>
          <w:color w:val="auto"/>
          <w:vertAlign w:val="superscript"/>
        </w:rPr>
        <w:t>TM</w:t>
      </w:r>
      <w:r>
        <w:rPr>
          <w:rFonts w:ascii="Times New Roman" w:cs="Times New Roman" w:eastAsia="Times New Roman" w:hAnsi="Times New Roman"/>
          <w:sz w:val="18"/>
          <w:szCs w:val="18"/>
          <w:color w:val="auto"/>
        </w:rPr>
        <w:t>, for the treatment of hydrocephalus and Normal Pressure Hydrocephalus, or NPH. Although the SCS utilizes one of our platforms, we are focused on the development of a Multi Generation Pipeline Portfolio utilizing all three of our proprietary technologies.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Microbot has a patent portfolio of 34 issued/allowed patents and 17 patent applications pending worldwide.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Technological Platforms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ViRob</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ViRob is an autonomous crawling micro-robot which can be controlled remotely or within the body. Its miniature dimensions are expected to allow it to navigate and crawl in different natural spaces within the human body, including blood vessels, the digestive tract and the respiratory system as well as artificial spaces such as shunts, catheters, ports, etc. Its unique structure is expected to give it the ability to move in tight spaces and curved passages as well as the ability to remain within the human body for prolonged time. The SCS product was developed using the ViRob technology.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4" w:right="2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i w:val="1"/>
          <w:iCs w:val="1"/>
          <w:color w:val="auto"/>
        </w:rPr>
        <w:t>CardioSert</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25, 2018, Microbot acquired a patent-protected technology from CardioSert Ltd., a privately-held medical device company based in Israel. The CardioSert technology contemplates a combination of a guidewire and microcatheter, technologies that are broadly used for surgery within a tubular organ or structure such as a blood vessel or duct. The CardioSert technology features a unique guidewire delivery system with steering and stiffness control capabilities which when developed is expected to give the physician the ability to control the tip curvature, to adjust tip load to varying degrees of stiffness in a gradually continuous manner. The CardioSert technology was originally developed to support interventional cardiologists in crossing chronic total occlusions (CTO) during percutaneous coronary intervention (PCI) procedures and has the potential to be used in other spaces and applications, such as peripheral intervention, and neurosurgery. CardioSert was part of a technological incubator supported by the Israel Innovation Authorities (formerly known as the Office of the Chief Scientist, or OCS), and a device based on the technology has successfully completed pre-clinical testing.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TipCAT</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TipCAT is a disposable self-propelled locomotive device that is specially designed to advance in tubular anatomies. The TipCAT is a mechanism comprising a series of interconnected balloons at the device’s tip that provides the TipCAT with its forward locomotion capability. The device can self-propel within natural tubular lumens such as the blood vessels, respiratory and the urinary and GI tracts. A single channel of air/fluid supply sequentially inflates and deflates a series of balloons creating an inchworm like forward motion. The TipCAT maintains a standard working channel for treatments. Unlike standard access devices such as guidewires, catheters for vascular access and endoscopes, the TipCAT does not need to be pushed into the patient’s lumen using external pressure; rather, it will gently advance itself through the organ’s anatomy. As a result, the TipCAT is designed to be able to reach every part of the lumen under examination regardless of the topography, be less operator dependent, and greatly reduce the likelihood of damage to lumen structure. The TipCAT thus offers functionality features equivalent to modern tubular access devices, along with advantages associated with its physiologically adapted self-propelling mechanism, flexibility, and design. Microbot is no longer pursuing the development of the TipCAT as a colonoscopy tool but is currently exploring the use of the TipCAT for minimally invasive endovascular neurosurgical applications.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primarily of salaries and related expenses and overhead for Microbot’s research, development and engineering personnel, prototype materials and research studies, obtaining and maintaining Microbot’s patent portfolio. Microbot expenses its research and development costs as incurred.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consist primarily of the costs associated with management costs, salaries, professional fees for accounting, auditing, consulting and legal services, and allocated overhead expenses.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expects that its general and administrative expenses may increase in the future as it expands its operating activities, the cost of being a public company and maintaining compliance with exchange listing and SEC requirements. These additional costs include management costs, legal fees, accounting fees, directors’ and officers’ liability insurance premiums and expenses associated with investor relations.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Microbot has incurred net losses and has not recorded any income tax benefits for the losses. It is still in its development stage and has not yet generated revenues, therefore, it is more likely than not that sufficient taxable income will not be available for the tax losses to be fully utilized in the future.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9" w:right="2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Significant Judgments and Estimates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Microbot’s management’s discussion and analysis of its financial condition and results of operations are based on its financial statements, which have been prepared in accordance with U.S. generally accepted accounting principles, or GAAP. The preparation of these financial statements requires Microbot to make estimates and judgments that affect the reported amounts of assets, liabilities, and expenses and the disclosure of contingent assets and liabilities at the date of the financial statements. On an ongoing basis, Microbot evaluates its estimates and judgments, including those related to accrued research and development expenses. Microbot bases its estimates on historical experience, known trends and events, and various other factors that are believed to be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While Microbot’s significant accounting policies are described in more detail in the notes to its financial statements, Microbot believes the following accounting policies are the most critical for fully understanding and evaluating its financial condition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measures the fair value of certain of its financial instruments (such as the derivative warrant liabilities) on a recurring basis.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fair value hierarchy is used to rank the quality and reliability of the information used to determine fair values. Financial assets and liabilities carried at fair value will be classified and disclosed in one of the following three categories:</w:t>
      </w:r>
    </w:p>
    <w:p>
      <w:pPr>
        <w:spacing w:after="0" w:line="162"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(unadjusted) in active markets for identical assets and liabilities.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Level 1 that are observable, either directly or indirectly, such as unadjusted quoted prices for similar assets and liabilities, unadjusted quoted prices in the markets that are not active, or other inputs that are observable or can be corroborated by observable market data for substantially the full term of the assets or liabilities.</w:t>
      </w:r>
    </w:p>
    <w:p>
      <w:pPr>
        <w:spacing w:after="0" w:line="1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the fair value of the assets or liabilities.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Microbot’s functional currency is the U.S. dollars, and its reporting currency is the U.S. dollar.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Grant and Input Tax Credit Recoveries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Microbot from time to time has received, and may in the future continue to receive, grants from the Israeli Innovation Authority to cover eligible company expenditures. These are presented as other income in the statement of operations and comprehensive loss as the grant funds are used for or applied towards a number of Microbot’s operating expenses, such as salaries and benefits, research and development and professional and consulting fees. The recoveries are recognized in the corresponding period when such expenses are incurred.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Microbot recognizes research and development expenses as incurred, typically estimated based on an evaluation of the progress to completion of specific tasks using data such as clinical site activations, manufacturing steps completed, or information provided by vendors on their actual costs incurred. Microbot determines the estimates by reviewing contracts, vendor agreements and purchase orders, and through discussions with internal clinical personnel and external service providers as to the progress or stage of completion of trials or services and the agreed-upon fee to be paid for such services. These estimates are made as of each balance sheet date based on facts and circumstances known to Microbot at that time. If the actual timing of the performance of services or the level of effort varies from the estimate, Microbot will adjust the estimate accordingly. Nonrefundable advance payments for goods and services, including fees for process development or manufacturing and distribution of clinical supplies that will be used in future research and development activities, are capitalized as prepaid expenses and recognized as expense in the period that the related goods are consumed or services are performed.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23" w:name="page24"/>
    <w:bookmarkEnd w:id="23"/>
    <w:p>
      <w:pPr>
        <w:jc w:val="both"/>
        <w:spacing w:after="0" w:line="266" w:lineRule="auto"/>
        <w:rPr>
          <w:sz w:val="20"/>
          <w:szCs w:val="20"/>
          <w:color w:val="auto"/>
        </w:rPr>
      </w:pPr>
      <w:r>
        <w:rPr>
          <w:rFonts w:ascii="Times New Roman" w:cs="Times New Roman" w:eastAsia="Times New Roman" w:hAnsi="Times New Roman"/>
          <w:sz w:val="18"/>
          <w:szCs w:val="18"/>
          <w:color w:val="auto"/>
        </w:rPr>
        <w:t>Microbot may pay fees to third-parties for manufacturing and other services that are based on contractual milestones that may result in uneven payment flows. There may be instances in which payments made to vendors will exceed the level of services provided and result in a prepayment of the research and development expense.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Three and Nine Months Ended September 30, 2019 and 2018</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key components of Microbot’s results of operations for the three and nine-month periods ended September 30, 2019 and 2018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80" w:type="dxa"/>
            <w:vAlign w:val="bottom"/>
            <w:gridSpan w:val="5"/>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8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4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180" w:type="dxa"/>
            <w:vAlign w:val="bottom"/>
            <w:gridSpan w:val="5"/>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2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8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Increase/</w:t>
            </w:r>
          </w:p>
        </w:tc>
      </w:tr>
      <w:tr>
        <w:trPr>
          <w:trHeight w:val="223"/>
        </w:trPr>
        <w:tc>
          <w:tcPr>
            <w:tcW w:w="48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2018(*)</w:t>
            </w:r>
          </w:p>
        </w:tc>
        <w:tc>
          <w:tcPr>
            <w:tcW w:w="360" w:type="dxa"/>
            <w:vAlign w:val="bottom"/>
          </w:tcPr>
          <w:p>
            <w:pPr>
              <w:spacing w:after="0"/>
              <w:rPr>
                <w:sz w:val="19"/>
                <w:szCs w:val="19"/>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2019</w:t>
            </w:r>
          </w:p>
        </w:tc>
        <w:tc>
          <w:tcPr>
            <w:tcW w:w="3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2018(*)</w:t>
            </w:r>
          </w:p>
        </w:tc>
        <w:tc>
          <w:tcPr>
            <w:tcW w:w="320" w:type="dxa"/>
            <w:vAlign w:val="bottom"/>
          </w:tcPr>
          <w:p>
            <w:pPr>
              <w:spacing w:after="0"/>
              <w:rPr>
                <w:sz w:val="19"/>
                <w:szCs w:val="19"/>
                <w:color w:val="auto"/>
              </w:rPr>
            </w:pPr>
          </w:p>
        </w:tc>
        <w:tc>
          <w:tcPr>
            <w:tcW w:w="9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(Decrease)</w:t>
            </w:r>
          </w:p>
        </w:tc>
      </w:tr>
      <w:tr>
        <w:trPr>
          <w:trHeight w:val="216"/>
        </w:trPr>
        <w:tc>
          <w:tcPr>
            <w:tcW w:w="4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 net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2,207</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4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948</w:t>
            </w: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1,130</w:t>
            </w:r>
          </w:p>
        </w:tc>
        <w:tc>
          <w:tcPr>
            <w:tcW w:w="3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3,045</w:t>
            </w: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3,294</w:t>
            </w:r>
          </w:p>
        </w:tc>
        <w:tc>
          <w:tcPr>
            <w:tcW w:w="28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(249)</w:t>
            </w: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(income) expenses, net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w:t>
            </w: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The Company adopted ASU 2017-11 using the full retrospective approach.</w:t>
      </w:r>
    </w:p>
    <w:p>
      <w:pPr>
        <w:spacing w:after="0" w:line="2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Research and Development Expenses</w:t>
      </w:r>
      <w:r>
        <w:rPr>
          <w:rFonts w:ascii="Times New Roman" w:cs="Times New Roman" w:eastAsia="Times New Roman" w:hAnsi="Times New Roman"/>
          <w:sz w:val="18"/>
          <w:szCs w:val="18"/>
          <w:color w:val="auto"/>
        </w:rPr>
        <w:t>. Microbot’s research and development expenses were approximately $843,000 and $2,207,000 for the three and nine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September 30, 2019, compared to approximately $623,000 and $1,866,000 for the same period in 2018. The increase in research and development expenses of approximately $341,000 for the nine months ended September 30, 2019 was primarily due to increase in materials and subcontractors’ services relating to new product development. Microbot expects its research and development expenses to increase over time as it advances its development programs and begins pre-clinical and clinical trials for SCS and other platforms.</w:t>
      </w:r>
    </w:p>
    <w:p>
      <w:pPr>
        <w:spacing w:after="0" w:line="1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General and Administrative Expenses</w:t>
      </w:r>
      <w:r>
        <w:rPr>
          <w:rFonts w:ascii="Times New Roman" w:cs="Times New Roman" w:eastAsia="Times New Roman" w:hAnsi="Times New Roman"/>
          <w:sz w:val="18"/>
          <w:szCs w:val="18"/>
          <w:color w:val="auto"/>
        </w:rPr>
        <w:t>. General and administrative expenses were approximately $948,000 and $3,045,000 for the three and nine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September 30, 2019, compared to approximately $1,130,000 and $3,294,000 for the same period in 2018. The decrease in general and administrative expenses of approximately $249,000 in the period of nine month of 2019 was primarily due to a reduction in aggregate salaries and share base compensation expenses. Microbot believes its general and administrative expenses may increase over time as it advances its programs, increases its headcount and operating activities and incurs expenses associated with being a public company.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Financing Expenses</w:t>
      </w:r>
      <w:r>
        <w:rPr>
          <w:rFonts w:ascii="Times New Roman" w:cs="Times New Roman" w:eastAsia="Times New Roman" w:hAnsi="Times New Roman"/>
          <w:sz w:val="18"/>
          <w:szCs w:val="18"/>
          <w:color w:val="auto"/>
        </w:rPr>
        <w:t>. Financing (income) expenses were approximately $83,000 and $125,000 for the three and nine months ended September 30, 2019,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$5,000 and $(26,000) for the same period in 2018. The increase in financial expenses for the nine months ended September 30, 2019 was primarily due to accumulated interest relating to the amount held in escrow pending resolution of our appeal in the Sabby litigation, as discussed further below, net of interest received from short term investment.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Microbot has incurred losses since inception and negative cash flows from operating activities for the three and nine months ended September 30, 2019 and the fiscal year ended December 31, 2018. As of September 30, 2019, Microbot had a net working capital of approximately $5,898,000, consisting primarily of cash and cash equivalents and short-term investment. This compares to net working capital of $1,071,000 as of December 31, 2018. Microbot anticipates that it will continue to incur net losses for the foreseeable future as it continues research and development efforts of its product candidates, hires additional staff, including clinical, scientific, operational, financial and management personnel, and incurs costs associated with being a public company.</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4" w:name="page25"/>
    <w:bookmarkEnd w:id="24"/>
    <w:p>
      <w:pPr>
        <w:jc w:val="both"/>
        <w:spacing w:after="0" w:line="266" w:lineRule="auto"/>
        <w:rPr>
          <w:sz w:val="20"/>
          <w:szCs w:val="20"/>
          <w:color w:val="auto"/>
        </w:rPr>
      </w:pPr>
      <w:r>
        <w:rPr>
          <w:rFonts w:ascii="Times New Roman" w:cs="Times New Roman" w:eastAsia="Times New Roman" w:hAnsi="Times New Roman"/>
          <w:sz w:val="18"/>
          <w:szCs w:val="18"/>
          <w:color w:val="auto"/>
        </w:rPr>
        <w:t>Microbot has funded its operations through the issuance of capital stock, grants from the Israeli Innovation Authority, and convertible debt. Since inception (November 2010) through September 30, 2019, Microbot has raised gross cash proceeds of approximately $27,500,000 and incurred a total cumulative loss of approximately $33,241,000.</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January 2019, the Company entered into a series of Securities Purchase Agreements with accredited institutional investors providing for the issuance and sale by the Company to the purchasers of an aggregate of 1,295,323 shares of the Company’s common stock and related securities, for aggregate gross proceeds to the Company of approximately $11,370,000.</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Microbot has been awarded non-dilutive grants from the IIA. The grants provide additional sources to be utilized by Microbot for the continued development of the Self-Cleaning Shunt for the treatment of hydrocephalus and Normal Pressure Hydrocephalus. The grant funds may be used for or applied towards several research and development expenses, such as employees’ salaries, research and development expenses (including materials), as well as professional and consulting fees. The recoveries are recognized in the corresponding period when such expenses are incurred. With respect to such grant, Microbot is committed to pay royalties, as, if and when it successfully commercializes the SCS and generates revenue from sales of the SCS, at a rate of between 3% to 3.5% on sales proceeds up to the total amount of grants received, linked to the dollar, plus interest at an annual rate of USD LIBOR. Under the terms of the grant and applicable law, Microbot is restricted from transferring any technologies, know-how, manufacturing or manufacturing rights developed using the grant outside of Israel without the prior approval of the IIA. Microbot has no obligation to repay the grant, if the SCS project fails, is unsuccessful or aborted before any sales are generated. The financial risk is assumed completely by the IIA.</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amount Microbot has received from the IIA since inception is approximately $1,524,000.</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Microbot is currently appealing an adverse judgment against it in its litigation with Sabby Healthcare Master Fund Ltd. and its affiliates. As a result of the appeal, the Company placed approximately $4,200,000 (including estimated interest and fees) in escrow with a surety bonding agent pending the appeal.</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Microbot plans to continue to fund its research and development and other operating expenses, other development activities relating to additional product candidates, and the associated losses from operations, through future issuances of debt and/or equity securities and possibly additional grants from the Israeli Innovation Authority. The capital raises from equity or equity-linked securities could result in additional dilution to Microbot’s shareholders. In addition, to the extent Microbot determines to incur additional indebtedness, Microbot’s incurrence of additional debt could result in debt service obligations and operating and financing covenants that would restrict its operations. Microbot can provide no assurance that financing will be available in the amounts it needs or on terms acceptable to it, if at all. If Microbot is not able to secure adequate additional working capital when it becomes needed, it may be required to make reductions in spending, extend payment terms with suppliers, liquidate assets where possible and/or suspend or curtail planned research programs. Any of these actions could materially harm Microbot’s business. As Microbot does not at this time have an established source of funds sufficient to cover operating costs for in excess of the next 12 months, we may be unable to meet our obligations or fully implement our business plan, if at all. As a result of the foregoing and the Company’s current cash position, these conditions raise substantial doubt about Microbot’s ability to continue as a going concern. The accompanying condensed consolidated interim financial statements do not include any adjustments to reflect the possible future effects on recoverability and reclassification of assets or the amounts and classification of liabilities that may result from the outcome of this uncertainty.</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8"/>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90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table provides a summary of the net cash flow activity for each of the periods set forth below: (in thousands)</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3"/>
        </w:trPr>
        <w:tc>
          <w:tcPr>
            <w:tcW w:w="88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00" w:type="dxa"/>
            <w:vAlign w:val="bottom"/>
            <w:gridSpan w:val="7"/>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37"/>
        </w:trPr>
        <w:tc>
          <w:tcPr>
            <w:tcW w:w="880" w:type="dxa"/>
            <w:vAlign w:val="bottom"/>
          </w:tcPr>
          <w:p>
            <w:pPr>
              <w:spacing w:after="0"/>
              <w:rPr>
                <w:sz w:val="20"/>
                <w:szCs w:val="20"/>
                <w:color w:val="auto"/>
              </w:rPr>
            </w:pPr>
          </w:p>
        </w:tc>
        <w:tc>
          <w:tcPr>
            <w:tcW w:w="640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80" w:type="dxa"/>
            <w:vAlign w:val="bottom"/>
            <w:tcBorders>
              <w:top w:val="single" w:sz="8" w:color="auto"/>
              <w:bottom w:val="single" w:sz="8" w:color="CCEEFF"/>
            </w:tcBorders>
          </w:tcPr>
          <w:p>
            <w:pPr>
              <w:spacing w:after="0"/>
              <w:rPr>
                <w:sz w:val="20"/>
                <w:szCs w:val="20"/>
                <w:color w:val="auto"/>
              </w:rPr>
            </w:pPr>
          </w:p>
        </w:tc>
        <w:tc>
          <w:tcPr>
            <w:tcW w:w="20" w:type="dxa"/>
            <w:vAlign w:val="bottom"/>
            <w:tcBorders>
              <w:top w:val="single" w:sz="8" w:color="auto"/>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 w:type="dxa"/>
            <w:vAlign w:val="bottom"/>
            <w:tcBorders>
              <w:top w:val="single" w:sz="8" w:color="auto"/>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88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(4,531)</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(3,875)</w:t>
            </w:r>
          </w:p>
        </w:tc>
        <w:tc>
          <w:tcPr>
            <w:tcW w:w="80" w:type="dxa"/>
            <w:vAlign w:val="bottom"/>
            <w:shd w:val="clear" w:color="auto" w:fill="CCEEFF"/>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8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(2,496)</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(239)</w:t>
            </w:r>
          </w:p>
        </w:tc>
      </w:tr>
      <w:tr>
        <w:trPr>
          <w:trHeight w:val="250"/>
        </w:trPr>
        <w:tc>
          <w:tcPr>
            <w:tcW w:w="880" w:type="dxa"/>
            <w:vAlign w:val="bottom"/>
          </w:tcPr>
          <w:p>
            <w:pPr>
              <w:spacing w:after="0"/>
              <w:rPr>
                <w:sz w:val="21"/>
                <w:szCs w:val="21"/>
                <w:color w:val="auto"/>
              </w:rPr>
            </w:pPr>
          </w:p>
        </w:tc>
        <w:tc>
          <w:tcPr>
            <w:tcW w:w="6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9,562</w:t>
            </w:r>
          </w:p>
        </w:tc>
        <w:tc>
          <w:tcPr>
            <w:tcW w:w="2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r>
      <w:tr>
        <w:trPr>
          <w:trHeight w:val="217"/>
        </w:trPr>
        <w:tc>
          <w:tcPr>
            <w:tcW w:w="88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 and restricted cash</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2,535</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(4,114</w:t>
            </w: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88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2019 and 2018</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used in operating activities for the nine months ended September 30, 2019 was approximately $4,531,000, calculated by adjusting net loss from operations by approximately $846,000 to eliminate non-cash and expense items not involving cash flows such as share based compensation and depreciation as well as other changes in assets and liabilities resulting in non-cash adjustments in the income statement. Cash used in operating activities for the nine months ended September 30, 2018 was approximately $3,875,000, similarly adjusted by approximately $1,259,000.</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nine months ended September 30, 2019 was approximately $2,496,000, consisting of purchase of a marketable debt security, compared to the purchase of approximately $239,000 of property and equipment for the nine months ended September 30, 2018.</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of approximately $9,562,000 for the nine months ended September 30, 2019, compared to $0 for nine months ended September 30, 2018 consisted of issuance of common stock and warrants, net of issuance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Microbot has no off-balance sheet arrangements that have or are reasonably likely to have a current or future effect on our financial condition, changes in financial condition, revenues or expenses, results of operations, liquidity, capital expenditures or capital resources.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Microbot’s cash and cash equivalents as of September 30, 2019 consisted of readily available checking and money market funds. Microbot’s primary exposure to market risk is interest income sensitivity, which is affected by changes in the general level of U.S. interest rates. However, because of the short-term nature of the instruments in Microbot’s portfolio, a sudden change in market interest rates would not be expected to have a material impact on Microbot’s financial condition and/or results of operations. Microbot does not believe that its cash or cash equivalents have significant risk of default or illiquidity. While Microbot believes its cash and cash equivalents do not contain excessive risk, Microbot cannot provide absolute assurance that in the future its investments will not be subject to adverse changes in market value. In addition, Microbot maintains significant amounts of cash and cash equivalents at one or more financial institutions that are in excess of federally insured limits.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Risks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financial statements are denominated in U.S. dollars and financial results are denominated in U.S. dollars, while a significant portion of our business is conducted, and a substantial portion of our operating expenses are payable, in currencies other than the U.S. dollar.</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Exchange rate fluctuations may have an adverse impact on our future revenues, if any, or expenses as presented in the financial statements. We may in the future use financial instruments, such as forward foreign currency contracts, in its management of foreign currency exposure. These contracts would primarily require us to purchase and sell certain foreign currencies with or for U.S. dollars at contracted rates. We may be exposed to a credit loss in the event of non-performance by the counterparties of these contracts. In addition, these financial instruments may not adequately manage our foreign currency exposure. Our results of operations could be adversely affected if we are unable to successfully manage currency fluctuations in the future.</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Effects of Inflation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Inflation generally affects Microbot by increasing its clinical trial costs. Microbot does not believe that inflation and changing prices had a significant impact on its results of operations for any periods presented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maintain a system of disclosure controls and procedures (as defined in Rule 13a-15(e) under the Exchange Act). As required by Rule 13a-15(b) under the Exchange Act, management of the Company, under the direction of our Chief Executive Officer and Chief Financial Officer, reviewed and performed an evaluation of the effectiveness of design and operation of our disclosure controls and procedures (as defined in Rule 13a-15(e) under the Exchange Act) as of September 30, 2019. Based on that review and evaluation, the Chief Executive Officer and Chief Financial Officer, along with the management of the Company, have determined that as of September 30, 2019, the disclosure controls and procedures were effective to provide reasonable assurance that information required to be disclosed by us in the reports that we file or submit under the Exchange Act is recorded, processed, summarized and reported within the time periods specified in the SEC’s rules and forms and were effective to provide reasonable assurance that such information is accumulated and communicated to our management, including our principal executive officer and principal financial officer, as appropriate to allow timely decisions regarding required disclosures.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connection with the evaluation of such internal control that occurred during our last fiscal quarter that have materially affected, or are reasonably likely to materially affect, our internal control over financial reporting.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From time to time, we may become involved in various lawsuits and legal proceedings, which arise in the ordinary course of business. However, litigation is subject to inherent uncertainties, and an adverse result in these or other matters may arise from time to time that may harm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Sabby Litigation</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were named as the defendant in a lawsuit, which we refer to as the Matter, captioned Sabby Healthcare Master Fund Ltd. and Sabby Volatility Warrant Master Fund Ltd., Plaintiffs, against Microbot Medical Inc., Defendant, in the Supreme Court of the State of New York, County of New York (the “Court”) (Index No. 654581/2017). The complaint alleged, among other things, that we breached multiple representations and warranties contained in the Securities Purchase Agreement (the “SPA”) related to our June 8, 2017 equity financing, or the Financing, of which the Plaintiffs participated. The complaint sought rescission of the SPA and return of the Plaintiffs’ $3.375 million purchase price with respect to the Financing, and damages in an amount to be determined at trial, but alleged to exceed $1 million. A trial was held on February 11, 2019. On February 28, 2019, the Court issued a Decision and Order After Trial to rescind the SPA. The rescission would require the Plaintiffs to transfer back to us the shares they purchased in the Financing, and for us to return to Plaintiffs their purchase price of $3.375 million. On March 27, 2019, the Company filed a Notice of Appeal and an Undertaking to stay execution of the judgment pending appeal. As a result of the appeal, we placed approximately $4.2 million in escrow with a surety bonding agent pending the appeal. However, management is unable to assess the likelihood that we would be successful in the appeal. Accordingly, no assurance can be given that any adverse outcome would not be material to our consolidated financial position. Additionally, in the event we lose our appeals, we will likely be required to use the proceeds from recent offerings or available cash towards payment of damages and interest on the damages from the date of the decision to the Plaintiffs, and to the Other Investors described below if and to the extent they bring similar lawsuits against us and prevail or if we settle the Sabby litigation, that we otherwise would have used to build our business and develop our technologies into commercial products. In such event, we would be required to raise additional capital sooner than we otherwise would, of which we can give no assurance of success.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Tolling and Standstill Agreement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April 4, 2018, we entered into a Tolling and Standstill Agreement with Empery Asset Master, Ltd., Empery Tax Efficient LP, Empery Tax Efficient II LP, and Hudson Bay Master Fund, Ltd., the other investors in the Financing, of whom we refer to as the Other Investors. Pursuant to the Tolling Agreement, among other things, (a) the Other Investors agree not to bring any claims against us arising out of the Matter, (b) the parties agree that if we reach an agreement to settle the claims asserted by the Sabby Funds in the above suit, we will provide the same settlement terms on a pro rata basis to the Other Investors, and the Other Investors will either accept same or waive all of their claims and (c) the parties froze in time the rights and privileges of each party as of the effective date of the Tolling Agreement, until (i) an agreement to settle the suit is executed; (ii) a judgment in the suit is obtained; or (iii) the suit is otherwise dismissed with prejudice.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Alliance Litigation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28, 2019, we brought an action against Alliance Investment Management, Ltd. (“Alliance”) in the Southern District of New York under Section 16(b) of the Securities Exchange Act of 1934, 15 U.S.C. 78p(b), to compel Alliance to disgorge short swing profits realized by Alliance from purchases and sales of the Company’s securities within a period of less than six months, while Alliance was a beneficial owner of more than 10% of the Company’s outstanding common stock and a statutory “insider” for purposes of the statute. The case is Microbot Medical Inc. v. Alliance Investment Management, Ltd., No. 19-cv-3782-GBD (SDNY). The amount of profits we are seeking to divest is estimated to be approximately $480,000.</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21, 2019, Alliance filed an answer to our action claiming that Alliance’s client Joseph Mona was the “beneficial owner” of the shares traded by Alliance. On October 18, 21, and 28, Joseph Mona filed Section 16(a) and Schedule 13G reports, which are substantially similar to the reports previously filed by Alliance.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28, 2019, Alliance filed a motion for summary judgment requesting that the Court dismiss the claims against Alliance in view of Joseph Mona’s SEC filings. On November 7, 2019, U.S. Magistrate Judge Robert W. Lehrburger ordered Alliance to produce relevant trading records, to enable the Company to determine whether to proceed against Alliance and/or Joseph Mona. Alliance has agreed to postpone the Company’s response to their motion for summary judgment pending Alliance’s required production of the trading records.</w:t>
      </w:r>
    </w:p>
    <w:p>
      <w:pPr>
        <w:spacing w:after="0" w:line="17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required for a Smaller Reporting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exhibits listed below are hereby furnished to the SEC as part of this report: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568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w:anchor="page31">
              <w:r>
                <w:rPr>
                  <w:rFonts w:ascii="Times New Roman" w:cs="Times New Roman" w:eastAsia="Times New Roman" w:hAnsi="Times New Roman"/>
                  <w:sz w:val="18"/>
                  <w:szCs w:val="18"/>
                  <w:color w:val="0000EE"/>
                  <w:w w:val="99"/>
                </w:rPr>
                <w:t>Certification of Harel Gadot, Chairman, President and Chief Executive Officer</w:t>
              </w:r>
            </w:hyperlink>
          </w:p>
        </w:tc>
        <w:tc>
          <w:tcPr>
            <w:tcW w:w="4900" w:type="dxa"/>
            <w:vAlign w:val="bottom"/>
            <w:gridSpan w:val="2"/>
          </w:tcPr>
          <w:p>
            <w:pPr>
              <w:spacing w:after="0"/>
              <w:rPr>
                <w:sz w:val="18"/>
                <w:szCs w:val="18"/>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0580" w:type="dxa"/>
            <w:vAlign w:val="bottom"/>
            <w:gridSpan w:val="6"/>
          </w:tcPr>
          <w:p>
            <w:pPr>
              <w:spacing w:after="0" w:line="196" w:lineRule="exact"/>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Certification of David Ben Naim, Chief Financial Officer</w:t>
              </w:r>
            </w:hyperlink>
          </w:p>
        </w:tc>
      </w:tr>
      <w:tr>
        <w:trPr>
          <w:trHeight w:val="20"/>
        </w:trPr>
        <w:tc>
          <w:tcPr>
            <w:tcW w:w="840" w:type="dxa"/>
            <w:vAlign w:val="bottom"/>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058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Certification of Harel Gadot, Chairman, President and Chief Executive Officer, pursuant to 18 U.S.C. Section 1350, as adopted pursuant to</w:t>
              </w:r>
            </w:hyperlink>
          </w:p>
        </w:tc>
      </w:tr>
      <w:tr>
        <w:trPr>
          <w:trHeight w:val="196"/>
        </w:trPr>
        <w:tc>
          <w:tcPr>
            <w:tcW w:w="840" w:type="dxa"/>
            <w:vAlign w:val="bottom"/>
          </w:tcPr>
          <w:p>
            <w:pPr>
              <w:spacing w:after="0"/>
              <w:rPr>
                <w:sz w:val="17"/>
                <w:szCs w:val="17"/>
                <w:color w:val="auto"/>
              </w:rPr>
            </w:pPr>
          </w:p>
        </w:tc>
        <w:tc>
          <w:tcPr>
            <w:tcW w:w="34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w:anchor="page35">
              <w:r>
                <w:rPr>
                  <w:rFonts w:ascii="Times New Roman" w:cs="Times New Roman" w:eastAsia="Times New Roman" w:hAnsi="Times New Roman"/>
                  <w:sz w:val="18"/>
                  <w:szCs w:val="18"/>
                  <w:color w:val="0000EE"/>
                  <w:w w:val="99"/>
                </w:rPr>
                <w:t>Section 906 of the Sarbanes-Oxley Act of 2002</w:t>
              </w:r>
            </w:hyperlink>
          </w:p>
        </w:tc>
        <w:tc>
          <w:tcPr>
            <w:tcW w:w="7160" w:type="dxa"/>
            <w:vAlign w:val="bottom"/>
            <w:gridSpan w:val="4"/>
          </w:tcPr>
          <w:p>
            <w:pPr>
              <w:spacing w:after="0"/>
              <w:rPr>
                <w:sz w:val="17"/>
                <w:szCs w:val="17"/>
                <w:color w:val="auto"/>
              </w:rPr>
            </w:pPr>
          </w:p>
        </w:tc>
      </w:tr>
      <w:tr>
        <w:trPr>
          <w:trHeight w:val="196"/>
        </w:trPr>
        <w:tc>
          <w:tcPr>
            <w:tcW w:w="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10580" w:type="dxa"/>
            <w:vAlign w:val="bottom"/>
            <w:gridSpan w:val="6"/>
          </w:tcPr>
          <w:p>
            <w:pPr>
              <w:spacing w:after="0" w:line="196" w:lineRule="exact"/>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Certification of David Ben Naim, Chief Financial Officer, pursuant to 18 U.S.C. Section 1350, as adopted pursuant to Section 906 of the</w:t>
              </w:r>
            </w:hyperlink>
          </w:p>
        </w:tc>
      </w:tr>
      <w:tr>
        <w:trPr>
          <w:trHeight w:val="196"/>
        </w:trPr>
        <w:tc>
          <w:tcPr>
            <w:tcW w:w="840" w:type="dxa"/>
            <w:vAlign w:val="bottom"/>
          </w:tcPr>
          <w:p>
            <w:pPr>
              <w:spacing w:after="0"/>
              <w:rPr>
                <w:sz w:val="17"/>
                <w:szCs w:val="17"/>
                <w:color w:val="auto"/>
              </w:rPr>
            </w:pPr>
          </w:p>
        </w:tc>
        <w:tc>
          <w:tcPr>
            <w:tcW w:w="20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9"/>
              </w:rPr>
            </w:pPr>
            <w:hyperlink w:anchor="page37">
              <w:r>
                <w:rPr>
                  <w:rFonts w:ascii="Times New Roman" w:cs="Times New Roman" w:eastAsia="Times New Roman" w:hAnsi="Times New Roman"/>
                  <w:sz w:val="18"/>
                  <w:szCs w:val="18"/>
                  <w:color w:val="0000EE"/>
                  <w:w w:val="99"/>
                </w:rPr>
                <w:t>Sarbanes-Oxley Act of 2002</w:t>
              </w:r>
            </w:hyperlink>
          </w:p>
        </w:tc>
        <w:tc>
          <w:tcPr>
            <w:tcW w:w="8500" w:type="dxa"/>
            <w:vAlign w:val="bottom"/>
            <w:tcBorders>
              <w:top w:val="single" w:sz="8" w:color="0000EE"/>
            </w:tcBorders>
            <w:gridSpan w:val="4"/>
          </w:tcPr>
          <w:p>
            <w:pPr>
              <w:spacing w:after="0"/>
              <w:rPr>
                <w:sz w:val="17"/>
                <w:szCs w:val="17"/>
                <w:color w:val="auto"/>
              </w:rPr>
            </w:pPr>
          </w:p>
        </w:tc>
        <w:tc>
          <w:tcPr>
            <w:tcW w:w="20" w:type="dxa"/>
            <w:vAlign w:val="bottom"/>
          </w:tcPr>
          <w:p>
            <w:pPr>
              <w:spacing w:after="0"/>
              <w:rPr>
                <w:sz w:val="17"/>
                <w:szCs w:val="17"/>
                <w:color w:val="auto"/>
              </w:rPr>
            </w:pPr>
          </w:p>
        </w:tc>
      </w:tr>
      <w:tr>
        <w:trPr>
          <w:trHeight w:val="218"/>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105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Instance.</w:t>
            </w: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5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Schema.</w:t>
            </w: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5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Calculation.</w:t>
            </w: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5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Definition.</w:t>
            </w:r>
          </w:p>
        </w:tc>
      </w:t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5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Labels.</w:t>
            </w:r>
          </w:p>
        </w:tc>
      </w:tr>
      <w:tr>
        <w:trPr>
          <w:trHeight w:val="23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5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Presentation.</w:t>
            </w:r>
          </w:p>
        </w:tc>
      </w:tr>
      <w:tr>
        <w:trPr>
          <w:trHeight w:val="439"/>
        </w:trPr>
        <w:tc>
          <w:tcPr>
            <w:tcW w:w="840" w:type="dxa"/>
            <w:vAlign w:val="bottom"/>
            <w:tcBorders>
              <w:bottom w:val="single" w:sz="8" w:color="auto"/>
            </w:tcBorders>
          </w:tcPr>
          <w:p>
            <w:pPr>
              <w:spacing w:after="0"/>
              <w:rPr>
                <w:sz w:val="24"/>
                <w:szCs w:val="24"/>
                <w:color w:val="auto"/>
              </w:rPr>
            </w:pPr>
          </w:p>
        </w:tc>
        <w:tc>
          <w:tcPr>
            <w:tcW w:w="5680" w:type="dxa"/>
            <w:vAlign w:val="bottom"/>
            <w:tcBorders>
              <w:bottom w:val="single" w:sz="8" w:color="auto"/>
            </w:tcBorders>
            <w:gridSpan w:val="4"/>
          </w:tcPr>
          <w:p>
            <w:pPr>
              <w:ind w:left="4780"/>
              <w:spacing w:after="0"/>
              <w:rPr>
                <w:sz w:val="20"/>
                <w:szCs w:val="20"/>
                <w:color w:val="auto"/>
              </w:rPr>
            </w:pPr>
            <w:r>
              <w:rPr>
                <w:rFonts w:ascii="Times New Roman" w:cs="Times New Roman" w:eastAsia="Times New Roman" w:hAnsi="Times New Roman"/>
                <w:sz w:val="18"/>
                <w:szCs w:val="18"/>
                <w:color w:val="auto"/>
              </w:rPr>
              <w:t>10</w:t>
            </w:r>
          </w:p>
        </w:tc>
        <w:tc>
          <w:tcPr>
            <w:tcW w:w="4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57" w:right="239" w:bottom="1440" w:gutter="0" w:footer="0" w:header="0"/>
        </w:sectPr>
      </w:pPr>
    </w:p>
    <w:bookmarkStart w:id="28" w:name="page29"/>
    <w:bookmarkEnd w:id="28"/>
    <w:p>
      <w:pPr>
        <w:jc w:val="center"/>
        <w:ind w:right="-19"/>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 this 14th day of November 2019.</w:t>
      </w:r>
    </w:p>
    <w:p>
      <w:pPr>
        <w:spacing w:after="0" w:line="16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MICROBOT MEDICAL INC.</w:t>
      </w:r>
    </w:p>
    <w:p>
      <w:pPr>
        <w:spacing w:after="0" w:line="223" w:lineRule="exact"/>
        <w:rPr>
          <w:sz w:val="20"/>
          <w:szCs w:val="20"/>
          <w:color w:val="auto"/>
        </w:rPr>
      </w:pPr>
    </w:p>
    <w:p>
      <w:pPr>
        <w:ind w:left="5720"/>
        <w:spacing w:after="0"/>
        <w:tabs>
          <w:tab w:leader="none" w:pos="62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5720"/>
        <w:spacing w:after="0"/>
        <w:tabs>
          <w:tab w:leader="none" w:pos="6260" w:val="left"/>
        </w:tabs>
        <w:rPr>
          <w:sz w:val="20"/>
          <w:szCs w:val="20"/>
          <w:color w:val="auto"/>
        </w:rPr>
      </w:pPr>
      <w:r>
        <w:rPr>
          <w:rFonts w:ascii="Times New Roman" w:cs="Times New Roman" w:eastAsia="Times New Roman" w:hAnsi="Times New Roman"/>
          <w:sz w:val="18"/>
          <w:szCs w:val="18"/>
          <w:color w:val="auto"/>
        </w:rPr>
        <w:t>Title:</w:t>
        <w:tab/>
        <w:t>Chairman, President and Chief Executive Officer</w:t>
      </w:r>
    </w:p>
    <w:p>
      <w:pPr>
        <w:spacing w:after="0" w:line="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5" w:lineRule="exact"/>
        <w:rPr>
          <w:sz w:val="20"/>
          <w:szCs w:val="20"/>
          <w:color w:val="auto"/>
        </w:rPr>
      </w:pPr>
    </w:p>
    <w:p>
      <w:pPr>
        <w:ind w:left="5720"/>
        <w:spacing w:after="0"/>
        <w:tabs>
          <w:tab w:leader="none" w:pos="62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David Ben Naim</w:t>
      </w:r>
    </w:p>
    <w:p>
      <w:pPr>
        <w:spacing w:after="0" w:line="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Name: David Ben Naim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5720"/>
        <w:spacing w:after="0"/>
        <w:tabs>
          <w:tab w:leader="none" w:pos="62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9" w:name="page30"/>
    <w:bookmarkEnd w:id="2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Harel Gadot, certify that:</w:t>
      </w:r>
    </w:p>
    <w:p>
      <w:pPr>
        <w:spacing w:after="0" w:line="225"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Microbot Medical Inc.;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14, 2019</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362775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1" w:name="page32"/>
    <w:bookmarkEnd w:id="3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Ben Naim, certify that:</w:t>
      </w:r>
    </w:p>
    <w:p>
      <w:pPr>
        <w:spacing w:after="0" w:line="225"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Microbot Medical Inc.;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controls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14, 2019</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David Ben Naim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362775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3" w:name="page34"/>
    <w:bookmarkEnd w:id="3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18 U.S.C. Section 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 Harel Gadot, Chairman, President and Chief Executive Officer of Microbot Medical Inc., hereby certify, pursuant to 18 U.S.C. Section 1350, as adopted pursuant to Section 906 of the Sarbanes-Oxley Act of 2002, that to my knowledge, the quarterly report on Form 10-Q for the period ending September 30, 2019 of Microbot Medical Inc. (the “Form 10-Q”) fully complies with the requirements of Section 13 (a) or 15 (d) of the Securities Exchange Act of 1934 and the information contained in the Form 10-Q fairly presents, in all material respects, the financial condition and results of operations of Microbot Medical Inc.</w:t>
      </w:r>
    </w:p>
    <w:p>
      <w:pPr>
        <w:spacing w:after="0" w:line="200" w:lineRule="exact"/>
        <w:rPr>
          <w:sz w:val="20"/>
          <w:szCs w:val="20"/>
          <w:color w:val="auto"/>
        </w:rPr>
      </w:pPr>
    </w:p>
    <w:p>
      <w:pPr>
        <w:spacing w:after="0" w:line="201" w:lineRule="exact"/>
        <w:rPr>
          <w:sz w:val="20"/>
          <w:szCs w:val="20"/>
          <w:color w:val="auto"/>
        </w:rPr>
      </w:pPr>
    </w:p>
    <w:p>
      <w:pPr>
        <w:spacing w:after="0"/>
        <w:tabs>
          <w:tab w:leader="none" w:pos="5700" w:val="left"/>
        </w:tabs>
        <w:rPr>
          <w:sz w:val="20"/>
          <w:szCs w:val="20"/>
          <w:color w:val="auto"/>
        </w:rPr>
      </w:pPr>
      <w:r>
        <w:rPr>
          <w:rFonts w:ascii="Times New Roman" w:cs="Times New Roman" w:eastAsia="Times New Roman" w:hAnsi="Times New Roman"/>
          <w:sz w:val="18"/>
          <w:szCs w:val="18"/>
          <w:color w:val="auto"/>
        </w:rPr>
        <w:t>Dated: November 14, 2019</w:t>
      </w:r>
      <w:r>
        <w:rPr>
          <w:sz w:val="20"/>
          <w:szCs w:val="20"/>
          <w:color w:val="auto"/>
        </w:rPr>
        <w:tab/>
      </w:r>
      <w:r>
        <w:rPr>
          <w:rFonts w:ascii="Times New Roman" w:cs="Times New Roman" w:eastAsia="Times New Roman" w:hAnsi="Times New Roman"/>
          <w:sz w:val="17"/>
          <w:szCs w:val="17"/>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18415</wp:posOffset>
            </wp:positionV>
            <wp:extent cx="36188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Harel Gadot</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5" w:name="page36"/>
    <w:bookmarkEnd w:id="3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6" w:name="page37"/>
    <w:bookmarkEnd w:id="36"/>
    <w:p>
      <w:pPr>
        <w:ind w:left="10540"/>
        <w:spacing w:after="0"/>
        <w:rPr>
          <w:sz w:val="20"/>
          <w:szCs w:val="20"/>
          <w:color w:val="auto"/>
        </w:rPr>
      </w:pPr>
      <w:r>
        <w:rPr>
          <w:rFonts w:ascii="Times New Roman" w:cs="Times New Roman" w:eastAsia="Times New Roman" w:hAnsi="Times New Roman"/>
          <w:sz w:val="17"/>
          <w:szCs w:val="17"/>
          <w:color w:val="auto"/>
        </w:rPr>
        <w:t>Exhibit 32.2</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18 U.S.C. Section 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 David Ben Naim, Chief Financial Officer of Microbot Medical Inc., hereby certify, pursuant to 18 U.S.C. Section 1350, as adopted pursuant to Section 906 of the Sarbanes-Oxley Act of 2002, that to my knowledge, the quarterly report on Form 10-Q for the period ending September 30, 2019 of Microbot Medical Inc. (the “Form 10-Q”) fully complies with the requirements of Section 13 (a) or 15 (d) of the Securities Exchange Act of 1934 and the information contained in the Form 10-Q fairly presents, in all material respects, the financial condition and results of operations of Microbot Medical Inc.</w:t>
      </w:r>
    </w:p>
    <w:p>
      <w:pPr>
        <w:spacing w:after="0" w:line="178" w:lineRule="exact"/>
        <w:rPr>
          <w:sz w:val="20"/>
          <w:szCs w:val="20"/>
          <w:color w:val="auto"/>
        </w:rPr>
      </w:pPr>
    </w:p>
    <w:p>
      <w:pPr>
        <w:spacing w:after="0"/>
        <w:tabs>
          <w:tab w:leader="none" w:pos="5700" w:val="left"/>
        </w:tabs>
        <w:rPr>
          <w:sz w:val="20"/>
          <w:szCs w:val="20"/>
          <w:color w:val="auto"/>
        </w:rPr>
      </w:pPr>
      <w:r>
        <w:rPr>
          <w:rFonts w:ascii="Times New Roman" w:cs="Times New Roman" w:eastAsia="Times New Roman" w:hAnsi="Times New Roman"/>
          <w:sz w:val="18"/>
          <w:szCs w:val="18"/>
          <w:color w:val="auto"/>
        </w:rPr>
        <w:t>Dated: November 14, 2019</w:t>
      </w:r>
      <w:r>
        <w:rPr>
          <w:sz w:val="20"/>
          <w:szCs w:val="20"/>
          <w:color w:val="auto"/>
        </w:rPr>
        <w:tab/>
      </w:r>
      <w:r>
        <w:rPr>
          <w:rFonts w:ascii="Times New Roman" w:cs="Times New Roman" w:eastAsia="Times New Roman" w:hAnsi="Times New Roman"/>
          <w:sz w:val="18"/>
          <w:szCs w:val="18"/>
          <w:i w:val="1"/>
          <w:iCs w:val="1"/>
          <w:color w:val="auto"/>
        </w:rPr>
        <w:t>/s/ David Ben Naim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18415</wp:posOffset>
            </wp:positionV>
            <wp:extent cx="36188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David Ben Naim</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7" w:name="page38"/>
    <w:bookmarkEnd w:id="3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upperLetter"/>
      <w:start w:val="24"/>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lvl w:ilvl="1">
      <w:lvlJc w:val="left"/>
      <w:lvlText w:val="%2."/>
      <w:numFmt w:val="lowerLetter"/>
      <w:start w:val="1"/>
    </w:lvl>
  </w:abstractNum>
  <w:abstractNum w:abstractNumId="5">
    <w:nsid w:val="507ED7A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2019-12-28T01:32:40Z</dcterms:created>
  <dcterms:modified xsi:type="dcterms:W3CDTF">2019-12-28T01:32:40Z</dcterms:modified>
</cp:coreProperties>
</file>