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8, 2025, Microbot Medical Inc. issued a press release announcing that it is participating in the inaugural Endovascular Robotics session at the Society of Robotic Surgery (SRS) annual meeting, being held from July 16-20, in Strasbourg, France.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156845</wp:posOffset>
            </wp:positionV>
            <wp:extent cx="1885950" cy="728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to Open Inaugural</w:t>
      </w:r>
    </w:p>
    <w:p>
      <w:pPr>
        <w:jc w:val="center"/>
        <w:spacing w:after="0"/>
        <w:rPr>
          <w:sz w:val="20"/>
          <w:szCs w:val="20"/>
          <w:color w:val="auto"/>
        </w:rPr>
      </w:pPr>
      <w:r>
        <w:rPr>
          <w:rFonts w:ascii="Times New Roman" w:cs="Times New Roman" w:eastAsia="Times New Roman" w:hAnsi="Times New Roman"/>
          <w:sz w:val="18"/>
          <w:szCs w:val="18"/>
          <w:b w:val="1"/>
          <w:bCs w:val="1"/>
          <w:color w:val="auto"/>
        </w:rPr>
        <w:t>Endovascular Robotics Session at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Society of Robotic Surgery Annual Meeting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Leading Endovascular Innovators to Highlight Emergence and Growth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Robotics in the Specialty</w:t>
      </w:r>
    </w:p>
    <w:p>
      <w:pPr>
        <w:spacing w:after="0" w:line="21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HINGHAM, Mass., July 8,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its participation in the inaugural Endovascular Robotics session at the Society of Robotic Surgery (SRS) annual meeting, being held from July 16-20, in Strasbourg, France. The Company applauds the SRS for recognizing the growing need to spotlight this field, which Microbot believes is being driven by rapid innovation and rising market demand.</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panel session, titled: </w:t>
      </w:r>
      <w:r>
        <w:rPr>
          <w:rFonts w:ascii="Times New Roman" w:cs="Times New Roman" w:eastAsia="Times New Roman" w:hAnsi="Times New Roman"/>
          <w:sz w:val="18"/>
          <w:szCs w:val="18"/>
          <w:b w:val="1"/>
          <w:bCs w:val="1"/>
          <w:color w:val="auto"/>
        </w:rPr>
        <w:t>Endovascular Robotics; the next frontier for robotic surgery</w:t>
      </w:r>
      <w:r>
        <w:rPr>
          <w:rFonts w:ascii="Times New Roman" w:cs="Times New Roman" w:eastAsia="Times New Roman" w:hAnsi="Times New Roman"/>
          <w:sz w:val="18"/>
          <w:szCs w:val="18"/>
          <w:color w:val="auto"/>
        </w:rPr>
        <w:t>, will take place at 1:30am CEST on Saturday July 19th and will be moderated by Dr. Adnan Siddiqui, a University of Buffalo Distinguished Professor and Vice Chairman in the Department of Neurosurgery (UBNS) at the State University of New York at Buffalo’s Jacobs School of Medicine and Biomedical Sciences, and Dr. Ryan Madder, Section Chief of Interventional Cardiology and Director of the Cardiac Cath Lab at Corewell Health™ in Grand Rapids,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Harel Gadot, the Company’s Chairman, CEO and President, will present an overview of the endovascular robotic market. Mr. Gadot will be joined by representatives from other medical robotics companies to discuss emerging technologies in the peripheral vascular, neurovascular and cardiovascular spaces. The SRS meeting provides the Company a timely platform to introduce and educate Interventional Radiologists (IR) and the broader medical community on the LIBERTY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SRS is founded on the fundamental principles of education and collaboration as a means to tackle the complex issues of robotic surgery. SRS provides possibilities in terms of multi-centric studies, database collection, fellowship training and funding support. The organization seeks participation from residents and fellows and young faculty in the hope that they can assist them as they embrace robotics. The society is global with each continent having its own board and input into SRS activities.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strengthening its sales and marketing infrastructure as part of the LIBERTY launch plans in the United States, while awaiting the anticipated U.S. Food and Drug Administration’s (FDA) 510(k) decision during the current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 an investigational device pending FDA 510(k) clearance, and is currently not available for sale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Company’s need for and ability to obtain additional working capital to continue its transition to a commercially focused company, market conditions, risks inherent in the development and/or commercialization of the LIBERTY Endovascular Robotic System, uncertainty in the results of regulatory pathways and regulatory approvals, including whether the FDA will timely grant 510(k) clearance to commercially market the LIBERTY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10"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2025-07-08T07:35:03Z</dcterms:created>
  <dcterms:modified xsi:type="dcterms:W3CDTF">2025-07-08T07:35:03Z</dcterms:modified>
</cp:coreProperties>
</file>