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August 11, 2025 through August 25, 2025, Microbot Medical Inc. (the “Company”) issued an aggregate of 2,967,953 shares (the “Shares”) of its common stock, par value $0.01 per share (the “Common Stock”), upon the exercise of (a) 104,103 outstanding Series E preferred investment options (the “Series E Options”), by the holders of the Series E Options, (b) 467,144 outstanding Series G preferred investment options (the “Series G Options”), by the holders of the Series G Options and (c) 2,349,488 outstanding Series H preferred investment options (the “Series H Options”), by the holders of the Series H Options. The exercise prices per share of the Series E Options were $1.50, Series G Options were $1.75, and Series H Options were $2.10, generating aggregate gross proceeds to the Company, before deducting placement agent fees and expenses, of approximately $5.9 million. The Company also issued 47,218 shares of common stock upon the exercise of incentive options to a former director of the Company. As of August 25, 2025, the Company had issued and outstanding approximately 48,513,892 shares of Common Stock.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exemption provided in Section 4(a)(2) under the Securities Act of 1933, as amended, as transactions by an issuer not involving any public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Shares underlying the Series E Options were registered for resale by the Company on a Registration Statement on Form S-3 (Registration No.: 333-276487) on behalf of the holders of the Series E Options. Each of the Shares underlying the Series G Options and the Series H Options were registered by the Company for resale on a Registration Statement on Form S-3 (Registration No.: 333-284688) on behalf of the holders of the Series G Options and the Series H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2025-08-25T15:32:58Z</dcterms:created>
  <dcterms:modified xsi:type="dcterms:W3CDTF">2025-08-25T15:32:58Z</dcterms:modified>
</cp:coreProperties>
</file>