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333-277190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April 3, 2024, as supplemented (the “Prospectus”), relating to the resale of up to 1,005,965 shares of our common stock, $0.01 par value per share, representing shares held by the selling stockholders named in the Prospectus, including their transferees, pledgees, donees or successors.</w:t>
      </w:r>
    </w:p>
    <w:p>
      <w:pPr>
        <w:spacing w:after="0" w:line="176"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in the Prospectus with the information contained in our Quarterly Report on Form 10-Q for the fiscal quarter ended March 31, 2024, filed with the Securities and Exchange Commission on May 15, 2024 (the “10-Q”). Accordingly, we have attached the 10-Q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May 15, 2024, the closing price of our common stock was $0.9301.</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0"/>
          <w:szCs w:val="20"/>
          <w:color w:val="auto"/>
        </w:rPr>
      </w:pPr>
    </w:p>
    <w:p>
      <w:pPr>
        <w:ind w:left="3920" w:right="1820" w:hanging="3912"/>
        <w:spacing w:after="0" w:line="500" w:lineRule="auto"/>
        <w:tabs>
          <w:tab w:leader="none" w:pos="22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983" w:right="339" w:bottom="1153" w:gutter="0" w:footer="0" w:header="0"/>
        </w:sectPr>
      </w:pPr>
    </w:p>
    <w:p>
      <w:pPr>
        <w:spacing w:after="0" w:line="20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0"/>
          <w:szCs w:val="20"/>
          <w:color w:val="auto"/>
        </w:rPr>
      </w:pPr>
    </w:p>
    <w:p>
      <w:pPr>
        <w:sectPr>
          <w:pgSz w:w="11900" w:h="16838" w:orient="portrait"/>
          <w:cols w:equalWidth="0" w:num="2">
            <w:col w:w="7080" w:space="720"/>
            <w:col w:w="3440"/>
          </w:cols>
          <w:pgMar w:left="320" w:top="983" w:right="339" w:bottom="1153" w:gutter="0" w:footer="0" w:header="0"/>
          <w:type w:val="continuous"/>
        </w:sectPr>
      </w:pP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983" w:right="339" w:bottom="1153"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0"/>
          <w:szCs w:val="20"/>
          <w:color w:val="auto"/>
        </w:rPr>
      </w:pPr>
    </w:p>
    <w:p>
      <w:pPr>
        <w:spacing w:after="0" w:line="21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4"/>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34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940" w:type="dxa"/>
            <w:vAlign w:val="bottom"/>
            <w:vMerge w:val="restart"/>
          </w:tcPr>
          <w:p>
            <w:pPr>
              <w:ind w:left="76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303"/>
        </w:trPr>
        <w:tc>
          <w:tcPr>
            <w:tcW w:w="28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960" w:type="dxa"/>
            <w:vAlign w:val="bottom"/>
          </w:tcPr>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2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14,398,964 shares of Common Stock, $0.01 par value at May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3" w:right="339" w:bottom="1153"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60" w:type="dxa"/>
            <w:vAlign w:val="bottom"/>
            <w:gridSpan w:val="9"/>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6"/>
          </w:tcPr>
          <w:p>
            <w:pPr>
              <w:jc w:val="center"/>
              <w:ind w:right="3940"/>
              <w:spacing w:after="0"/>
              <w:rPr>
                <w:sz w:val="20"/>
                <w:szCs w:val="20"/>
                <w:color w:val="auto"/>
              </w:rPr>
            </w:pPr>
            <w:r>
              <w:rPr>
                <w:rFonts w:ascii="Times New Roman" w:cs="Times New Roman" w:eastAsia="Times New Roman" w:hAnsi="Times New Roman"/>
                <w:sz w:val="18"/>
                <w:szCs w:val="18"/>
                <w:color w:val="auto"/>
                <w:w w:val="97"/>
              </w:rPr>
              <w:t>Index</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76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Balance Sheets as of March 31, 2024 (Unaudited) and December 31, 2023 (Audited)</w:t>
            </w:r>
          </w:p>
        </w:tc>
        <w:tc>
          <w:tcPr>
            <w:tcW w:w="2200" w:type="dxa"/>
            <w:vAlign w:val="bottom"/>
            <w:tcBorders>
              <w:bottom w:val="single" w:sz="8" w:color="CCEEFF"/>
            </w:tcBorders>
            <w:gridSpan w:val="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8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90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Consolidated Statements of Shareholders’ Equity for the Three Months Ended March 31, 2024 and 2023 (Unaudited)</w:t>
            </w: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98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Consolidated Financial Statements</w:t>
            </w:r>
          </w:p>
        </w:tc>
        <w:tc>
          <w:tcPr>
            <w:tcW w:w="6140" w:type="dxa"/>
            <w:vAlign w:val="bottom"/>
            <w:tcBorders>
              <w:bottom w:val="single" w:sz="8" w:color="CCEEFF"/>
            </w:tcBorders>
            <w:gridSpan w:val="8"/>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220" w:type="dxa"/>
            <w:vAlign w:val="bottom"/>
            <w:tcBorders>
              <w:bottom w:val="single" w:sz="8" w:color="CCEEFF"/>
            </w:tcBorders>
            <w:gridSpan w:val="6"/>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080" w:type="dxa"/>
            <w:vAlign w:val="bottom"/>
            <w:tcBorders>
              <w:top w:val="single" w:sz="8" w:color="CCEEFF"/>
            </w:tcBorders>
            <w:gridSpan w:val="11"/>
          </w:tcPr>
          <w:p>
            <w:pPr>
              <w:spacing w:after="0"/>
              <w:rPr>
                <w:sz w:val="15"/>
                <w:szCs w:val="15"/>
                <w:color w:val="auto"/>
              </w:rPr>
            </w:pPr>
          </w:p>
        </w:tc>
        <w:tc>
          <w:tcPr>
            <w:tcW w:w="10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260" w:type="dxa"/>
            <w:vAlign w:val="bottom"/>
            <w:tcBorders>
              <w:top w:val="single" w:sz="8" w:color="CCEEFF"/>
            </w:tcBorders>
            <w:gridSpan w:val="9"/>
          </w:tcPr>
          <w:p>
            <w:pPr>
              <w:spacing w:after="0"/>
              <w:rPr>
                <w:sz w:val="15"/>
                <w:szCs w:val="15"/>
                <w:color w:val="auto"/>
              </w:rPr>
            </w:pPr>
          </w:p>
        </w:tc>
        <w:tc>
          <w:tcPr>
            <w:tcW w:w="10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260" w:type="dxa"/>
            <w:vAlign w:val="bottom"/>
            <w:tcBorders>
              <w:bottom w:val="single" w:sz="8" w:color="CCEEFF"/>
            </w:tcBorders>
            <w:gridSpan w:val="13"/>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10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7"/>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29"/>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7"/>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our LIBERTY® Endovascular Robotic Surgical System, we are developing the first ever fully disposable robot for various endovascular interventional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LIBERTY®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18"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filing date of this Quarterly Report on Form 10-Q, we are continuing our interaction with the FDA regarding our IDE submission process.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filing date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6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59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9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3"/>
              </w:rPr>
              <w:t>(2,420)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9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2,397</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9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4"/>
              </w:rPr>
              <w:t>(1,307</w:t>
            </w:r>
          </w:p>
        </w:tc>
        <w:tc>
          <w:tcPr>
            <w:tcW w:w="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March 31, 2024. Based on that review and evaluation, the Chief Executive Officer and Chief Financial Officer, along with the management of the Company, have determined that as of March 31,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2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Microbot Medical Ltd. (incorporated by reference to the Company’s Current Report on Form 8-K filed on August 15, 2016)</w:t>
              </w:r>
              <w:r>
                <w:rPr>
                  <w:rFonts w:ascii="Times New Roman" w:cs="Times New Roman" w:eastAsia="Times New Roman" w:hAnsi="Times New Roman"/>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Restated Certificate of Incorporation of the Company (incorporated by reference to the Company’s Annual Report on Form 10-K for the fiscal</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Report on Form 8-K filed on November 29, 2016).</w:t>
              </w:r>
            </w:hyperlink>
          </w:p>
        </w:tc>
        <w:tc>
          <w:tcPr>
            <w:tcW w:w="6600" w:type="dxa"/>
            <w:vAlign w:val="bottom"/>
            <w:gridSpan w:val="1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8-K filed on September 4, 2018)</w:t>
              </w:r>
              <w:r>
                <w:rPr>
                  <w:rFonts w:ascii="Times New Roman" w:cs="Times New Roman" w:eastAsia="Times New Roman" w:hAnsi="Times New Roman"/>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520" w:type="dxa"/>
            <w:vAlign w:val="bottom"/>
            <w:gridSpan w:val="2"/>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2016)</w:t>
              </w:r>
              <w:r>
                <w:rPr>
                  <w:rFonts w:ascii="Times New Roman" w:cs="Times New Roman" w:eastAsia="Times New Roman" w:hAnsi="Times New Roman"/>
                  <w:sz w:val="18"/>
                  <w:szCs w:val="18"/>
                  <w:color w:val="000000"/>
                </w:rPr>
                <w:t>.</w:t>
              </w:r>
            </w:hyperlink>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4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8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Report on Form 8-K filed on May 3, 2021).</w:t>
              </w:r>
            </w:hyperlink>
          </w:p>
        </w:tc>
        <w:tc>
          <w:tcPr>
            <w:tcW w:w="7120" w:type="dxa"/>
            <w:vAlign w:val="bottom"/>
            <w:gridSpan w:val="1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 ended</w:t>
              </w:r>
            </w:hyperlink>
          </w:p>
        </w:tc>
      </w:tr>
      <w:tr>
        <w:trPr>
          <w:trHeight w:val="196"/>
        </w:trPr>
        <w:tc>
          <w:tcPr>
            <w:tcW w:w="9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December 31, 2019).</w:t>
              </w:r>
            </w:hyperlink>
          </w:p>
        </w:tc>
        <w:tc>
          <w:tcPr>
            <w:tcW w:w="872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100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78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1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1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8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34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12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0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26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1020" w:type="dxa"/>
            <w:vAlign w:val="bottom"/>
            <w:gridSpan w:val="7"/>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5">
              <w:r>
                <w:rPr>
                  <w:rFonts w:ascii="Times New Roman" w:cs="Times New Roman" w:eastAsia="Times New Roman" w:hAnsi="Times New Roman"/>
                  <w:sz w:val="18"/>
                  <w:szCs w:val="18"/>
                  <w:color w:val="0000EE"/>
                  <w:w w:val="95"/>
                </w:rPr>
                <w:t>2024)</w:t>
              </w:r>
            </w:hyperlink>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Inducement Letter (incorporated by reference to the Registrant’s Current Report on Form 8-K filed on January 2, 2024)</w:t>
              </w:r>
            </w:hyperlink>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Settlement Agreement and Release dated as of January 26, 2024 (incorporated by reference to the Registrant’s Current Report on Form 8-K</w:t>
              </w:r>
            </w:hyperlink>
          </w:p>
        </w:tc>
      </w:tr>
      <w:tr>
        <w:trPr>
          <w:trHeight w:val="196"/>
        </w:trPr>
        <w:tc>
          <w:tcPr>
            <w:tcW w:w="98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filed on January 30, 2024)</w:t>
              </w:r>
            </w:hyperlink>
          </w:p>
        </w:tc>
        <w:tc>
          <w:tcPr>
            <w:tcW w:w="836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Registration Rights Agreement dated as of January 26, 2024 (incorporated by reference to the Registrant’s Current Report on Form 8-K filed</w:t>
              </w:r>
            </w:hyperlink>
          </w:p>
        </w:tc>
      </w:tr>
      <w:tr>
        <w:trPr>
          <w:trHeight w:val="196"/>
        </w:trPr>
        <w:tc>
          <w:tcPr>
            <w:tcW w:w="98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on January 30, 2024)</w:t>
              </w:r>
            </w:hyperlink>
          </w:p>
        </w:tc>
        <w:tc>
          <w:tcPr>
            <w:tcW w:w="8740" w:type="dxa"/>
            <w:vAlign w:val="bottom"/>
            <w:gridSpan w:val="2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260" w:type="dxa"/>
            <w:vAlign w:val="bottom"/>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Certification of Harel Gadot, Chairman, President and Chief Executive Officer</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6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Certification of Rachel Vaknin, Chief Financial Officer</w:t>
              </w:r>
            </w:hyperlink>
          </w:p>
        </w:tc>
        <w:tc>
          <w:tcPr>
            <w:tcW w:w="460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hyperlink>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Section 906 of the Sarbanes-Oxley Act of 2002</w:t>
              </w:r>
            </w:hyperlink>
          </w:p>
        </w:tc>
        <w:tc>
          <w:tcPr>
            <w:tcW w:w="684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hyperlink>
          </w:p>
        </w:tc>
      </w:tr>
      <w:tr>
        <w:trPr>
          <w:trHeight w:val="196"/>
        </w:trPr>
        <w:tc>
          <w:tcPr>
            <w:tcW w:w="9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Sarbanes-Oxley Act of 2002</w:t>
              </w:r>
            </w:hyperlink>
          </w:p>
        </w:tc>
        <w:tc>
          <w:tcPr>
            <w:tcW w:w="8200" w:type="dxa"/>
            <w:vAlign w:val="bottom"/>
            <w:gridSpan w:val="20"/>
          </w:tcPr>
          <w:p>
            <w:pPr>
              <w:spacing w:after="0"/>
              <w:rPr>
                <w:sz w:val="17"/>
                <w:szCs w:val="17"/>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ind w:left="5540" w:right="3720" w:hanging="5532"/>
        <w:spacing w:after="0" w:line="511" w:lineRule="auto"/>
        <w:tabs>
          <w:tab w:leader="none" w:pos="9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36" Type="http://schemas.openxmlformats.org/officeDocument/2006/relationships/hyperlink" Target="https://www.sec.gov/Archives/edgar/data/883975/000119312516682077/d161430dex21.htm" TargetMode="External"/><Relationship Id="rId37" Type="http://schemas.openxmlformats.org/officeDocument/2006/relationships/hyperlink" Target="https://www.sec.gov/Archives/edgar/data/883975/000095013407005808/f27726exv3w1.htm" TargetMode="External"/><Relationship Id="rId38" Type="http://schemas.openxmlformats.org/officeDocument/2006/relationships/hyperlink" Target="https://www.sec.gov/Archives/edgar/data/883975/000119312516779597/d296933dex31.htm" TargetMode="External"/><Relationship Id="rId39" Type="http://schemas.openxmlformats.org/officeDocument/2006/relationships/hyperlink" Target="https://www.sec.gov/Archives/edgar/data/883975/000149315218012872/ex3-1.htm" TargetMode="External"/><Relationship Id="rId40" Type="http://schemas.openxmlformats.org/officeDocument/2006/relationships/hyperlink" Target="https://www.sec.gov/Archives/edgar/data/883975/000129993316002374/exhibit1.htm" TargetMode="External"/><Relationship Id="rId41" Type="http://schemas.openxmlformats.org/officeDocument/2006/relationships/hyperlink" Target="https://www.sec.gov/Archives/edgar/data/883975/000149315218017395/ex3-1.htm" TargetMode="External"/><Relationship Id="rId42" Type="http://schemas.openxmlformats.org/officeDocument/2006/relationships/hyperlink" Target="https://www.sec.gov/Archives/edgar/data/883975/000149315219013998/ex3-1.htm" TargetMode="External"/><Relationship Id="rId43" Type="http://schemas.openxmlformats.org/officeDocument/2006/relationships/hyperlink" Target="https://www.sec.gov/Archives/edgar/data/883975/000149315221010347/ex3-1.htm" TargetMode="External"/><Relationship Id="rId44" Type="http://schemas.openxmlformats.org/officeDocument/2006/relationships/hyperlink" Target="https://www.sec.gov/Archives/edgar/data/883975/000149315220006338/ex4-10.htm" TargetMode="External"/><Relationship Id="rId45" Type="http://schemas.openxmlformats.org/officeDocument/2006/relationships/hyperlink" Target="https://www.sec.gov/Archives/edgar/data/883975/000149315222029541/ex4-2.htm" TargetMode="External"/><Relationship Id="rId46" Type="http://schemas.openxmlformats.org/officeDocument/2006/relationships/hyperlink" Target="https://www.sec.gov/Archives/edgar/data/883975/000149315222029541/ex4-4.htm" TargetMode="External"/><Relationship Id="rId47" Type="http://schemas.openxmlformats.org/officeDocument/2006/relationships/hyperlink" Target="https://www.sec.gov/Archives/edgar/data/883975/000149315223018718/ex4-1.htm" TargetMode="External"/><Relationship Id="rId48" Type="http://schemas.openxmlformats.org/officeDocument/2006/relationships/hyperlink" Target="https://www.sec.gov/Archives/edgar/data/883975/000149315223018932/ex4-2.htm" TargetMode="External"/><Relationship Id="rId49" Type="http://schemas.openxmlformats.org/officeDocument/2006/relationships/hyperlink" Target="https://www.sec.gov/Archives/edgar/data/883975/000149315223018932/ex10-2.htm" TargetMode="External"/><Relationship Id="rId50" Type="http://schemas.openxmlformats.org/officeDocument/2006/relationships/hyperlink" Target="https://www.sec.gov/Archives/edgar/data/883975/000149315223020309/ex4-1.htm" TargetMode="External"/><Relationship Id="rId51" Type="http://schemas.openxmlformats.org/officeDocument/2006/relationships/hyperlink" Target="https://www.sec.gov/Archives/edgar/data/883975/000149315223020309/ex4-2.htm" TargetMode="External"/><Relationship Id="rId52" Type="http://schemas.openxmlformats.org/officeDocument/2006/relationships/hyperlink" Target="https://www.sec.gov/Archives/edgar/data/883975/000149315223022814/ex4-1.htm" TargetMode="External"/><Relationship Id="rId53" Type="http://schemas.openxmlformats.org/officeDocument/2006/relationships/hyperlink" Target="https://www.sec.gov/Archives/edgar/data/883975/000149315223022814/ex4-2.htm" TargetMode="External"/><Relationship Id="rId54" Type="http://schemas.openxmlformats.org/officeDocument/2006/relationships/hyperlink" Target="https://www.sec.gov/Archives/edgar/data/883975/000149315224000109/ex4-1.htm" TargetMode="External"/><Relationship Id="rId55" Type="http://schemas.openxmlformats.org/officeDocument/2006/relationships/hyperlink" Target="https://www.sec.gov/Archives/edgar/data/883975/000149315224000109/ex4-2.htm" TargetMode="External"/><Relationship Id="rId56" Type="http://schemas.openxmlformats.org/officeDocument/2006/relationships/hyperlink" Target="https://www.sec.gov/Archives/edgar/data/883975/000149315224000109/ex10-1.htm" TargetMode="External"/><Relationship Id="rId57" Type="http://schemas.openxmlformats.org/officeDocument/2006/relationships/hyperlink" Target="https://www.sec.gov/Archives/edgar/data/883975/000149315224004231/ex10-1.htm" TargetMode="External"/><Relationship Id="rId58" Type="http://schemas.openxmlformats.org/officeDocument/2006/relationships/hyperlink" Target="https://www.sec.gov/Archives/edgar/data/883975/000149315224004231/ex10-2.htm" TargetMode="External"/><Relationship Id="rId59" Type="http://schemas.openxmlformats.org/officeDocument/2006/relationships/hyperlink" Target="https://www.sec.gov/Archives/edgar/data/883975/000149315224019535/ex31-1.htm" TargetMode="External"/><Relationship Id="rId60" Type="http://schemas.openxmlformats.org/officeDocument/2006/relationships/hyperlink" Target="https://www.sec.gov/Archives/edgar/data/883975/000149315224019535/ex31-2.htm" TargetMode="External"/><Relationship Id="rId61" Type="http://schemas.openxmlformats.org/officeDocument/2006/relationships/hyperlink" Target="https://www.sec.gov/Archives/edgar/data/883975/000149315224019535/ex32-1.htm" TargetMode="External"/><Relationship Id="rId62" Type="http://schemas.openxmlformats.org/officeDocument/2006/relationships/hyperlink" Target="https://www.sec.gov/Archives/edgar/data/883975/000149315224019535/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2024-05-16T15:52:04Z</dcterms:created>
  <dcterms:modified xsi:type="dcterms:W3CDTF">2024-05-16T15:52:04Z</dcterms:modified>
</cp:coreProperties>
</file>