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980" w:hanging="567"/>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37"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25" w:lineRule="exact"/>
        <w:rPr>
          <w:sz w:val="24"/>
          <w:szCs w:val="24"/>
          <w:color w:val="auto"/>
        </w:rPr>
      </w:pPr>
    </w:p>
    <w:p>
      <w:pPr>
        <w:ind w:left="980" w:hanging="567"/>
        <w:spacing w:after="0"/>
        <w:tabs>
          <w:tab w:leader="none" w:pos="9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6" w:lineRule="exact"/>
        <w:rPr>
          <w:rFonts w:ascii="MS PGothic" w:cs="MS PGothic" w:eastAsia="MS PGothic" w:hAnsi="MS PGothic"/>
          <w:sz w:val="17"/>
          <w:szCs w:val="17"/>
          <w:color w:val="auto"/>
        </w:rPr>
      </w:pPr>
    </w:p>
    <w:p>
      <w:pPr>
        <w:ind w:left="392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For the transition period from ____ to _____</w:t>
      </w:r>
    </w:p>
    <w:p>
      <w:pPr>
        <w:spacing w:after="0" w:line="225" w:lineRule="exact"/>
        <w:rPr>
          <w:rFonts w:ascii="MS PGothic" w:cs="MS PGothic" w:eastAsia="MS PGothic" w:hAnsi="MS PGothic"/>
          <w:sz w:val="17"/>
          <w:szCs w:val="17"/>
          <w:color w:val="auto"/>
        </w:rPr>
      </w:pPr>
    </w:p>
    <w:p>
      <w:pPr>
        <w:ind w:left="424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Commission file number: 000-19871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(Name of Registrant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680"/>
        <w:spacing w:after="0"/>
        <w:rPr>
          <w:sz w:val="20"/>
          <w:szCs w:val="20"/>
          <w:color w:val="auto"/>
        </w:rPr>
      </w:pPr>
      <w:r>
        <w:rPr>
          <w:rFonts w:ascii="Arial" w:cs="Arial" w:eastAsia="Arial" w:hAnsi="Arial"/>
          <w:sz w:val="16"/>
          <w:szCs w:val="16"/>
          <w:b w:val="1"/>
          <w:bCs w:val="1"/>
          <w:i w:val="1"/>
          <w:iCs w:val="1"/>
          <w:color w:val="auto"/>
        </w:rPr>
        <w:t>State or Other Jurisdiction of</w:t>
      </w:r>
    </w:p>
    <w:p>
      <w:pPr>
        <w:spacing w:after="0" w:line="32" w:lineRule="exact"/>
        <w:rPr>
          <w:sz w:val="24"/>
          <w:szCs w:val="24"/>
          <w:color w:val="auto"/>
        </w:rPr>
      </w:pPr>
    </w:p>
    <w:p>
      <w:pPr>
        <w:ind w:left="1600"/>
        <w:spacing w:after="0"/>
        <w:rPr>
          <w:sz w:val="20"/>
          <w:szCs w:val="20"/>
          <w:color w:val="auto"/>
        </w:rPr>
      </w:pPr>
      <w:r>
        <w:rPr>
          <w:rFonts w:ascii="Arial" w:cs="Arial" w:eastAsia="Arial" w:hAnsi="Arial"/>
          <w:sz w:val="16"/>
          <w:szCs w:val="16"/>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94-3078125</w:t>
      </w:r>
    </w:p>
    <w:p>
      <w:pPr>
        <w:spacing w:after="0" w:line="27" w:lineRule="exact"/>
        <w:rPr>
          <w:sz w:val="24"/>
          <w:szCs w:val="24"/>
          <w:color w:val="auto"/>
        </w:rPr>
      </w:pPr>
    </w:p>
    <w:p>
      <w:pPr>
        <w:jc w:val="center"/>
        <w:ind w:right="2060"/>
        <w:spacing w:after="0"/>
        <w:rPr>
          <w:sz w:val="20"/>
          <w:szCs w:val="20"/>
          <w:color w:val="auto"/>
        </w:rPr>
      </w:pPr>
      <w:r>
        <w:rPr>
          <w:rFonts w:ascii="Arial" w:cs="Arial" w:eastAsia="Arial" w:hAnsi="Arial"/>
          <w:sz w:val="17"/>
          <w:szCs w:val="17"/>
          <w:b w:val="1"/>
          <w:bCs w:val="1"/>
          <w:i w:val="1"/>
          <w:iCs w:val="1"/>
          <w:color w:val="auto"/>
        </w:rPr>
        <w:t>(I.R.S. Employer</w:t>
      </w:r>
    </w:p>
    <w:p>
      <w:pPr>
        <w:spacing w:after="0" w:line="21"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i w:val="1"/>
          <w:iCs w:val="1"/>
          <w:color w:val="auto"/>
        </w:rPr>
        <w:t>Identification No.)</w:t>
      </w:r>
    </w:p>
    <w:p>
      <w:pPr>
        <w:spacing w:after="0" w:line="200" w:lineRule="exact"/>
        <w:rPr>
          <w:sz w:val="24"/>
          <w:szCs w:val="24"/>
          <w:color w:val="auto"/>
        </w:rPr>
      </w:pPr>
    </w:p>
    <w:p>
      <w:pPr>
        <w:sectPr>
          <w:pgSz w:w="11900" w:h="16838" w:orient="portrait"/>
          <w:cols w:equalWidth="0" w:num="2">
            <w:col w:w="7080" w:space="720"/>
            <w:col w:w="34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288 Grove Street, Suite 388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b w:val="1"/>
          <w:bCs w:val="1"/>
          <w:i w:val="1"/>
          <w:iCs w:val="1"/>
          <w:color w:val="auto"/>
        </w:rPr>
        <w:t>(Address of principal executive offices)</w:t>
      </w:r>
    </w:p>
    <w:p>
      <w:pPr>
        <w:sectPr>
          <w:pgSz w:w="11900" w:h="16838" w:orient="portrait"/>
          <w:cols w:equalWidth="0" w:num="1">
            <w:col w:w="11240"/>
          </w:cols>
          <w:pgMar w:left="320" w:top="746" w:right="339" w:bottom="1440" w:gutter="0" w:footer="0" w:header="0"/>
          <w:type w:val="continuous"/>
        </w:sect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875-3605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 Recreation Park Drive, Unit 108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(Former name, former address and former fiscal year, if changed since last report)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20" w:type="dxa"/>
            <w:vAlign w:val="bottom"/>
            <w:gridSpan w:val="3"/>
          </w:tcPr>
          <w:p>
            <w:pPr>
              <w:ind w:left="340"/>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720" w:type="dxa"/>
            <w:vAlign w:val="bottom"/>
            <w:gridSpan w:val="3"/>
          </w:tcPr>
          <w:p>
            <w:pPr>
              <w:jc w:val="center"/>
              <w:ind w:right="1100"/>
              <w:spacing w:after="0"/>
              <w:rPr>
                <w:sz w:val="20"/>
                <w:szCs w:val="20"/>
                <w:color w:val="auto"/>
              </w:rPr>
            </w:pPr>
            <w:r>
              <w:rPr>
                <w:rFonts w:ascii="Arial" w:cs="Arial" w:eastAsia="Arial" w:hAnsi="Arial"/>
                <w:sz w:val="18"/>
                <w:szCs w:val="18"/>
                <w:color w:val="auto"/>
                <w:w w:val="91"/>
              </w:rPr>
              <w:t>Title of Each Class</w:t>
            </w:r>
          </w:p>
        </w:tc>
        <w:tc>
          <w:tcPr>
            <w:tcW w:w="2920" w:type="dxa"/>
            <w:vAlign w:val="bottom"/>
            <w:gridSpan w:val="2"/>
          </w:tcPr>
          <w:p>
            <w:pPr>
              <w:jc w:val="center"/>
              <w:ind w:right="1080"/>
              <w:spacing w:after="0"/>
              <w:rPr>
                <w:sz w:val="20"/>
                <w:szCs w:val="20"/>
                <w:color w:val="auto"/>
              </w:rPr>
            </w:pPr>
            <w:r>
              <w:rPr>
                <w:rFonts w:ascii="Arial" w:cs="Arial" w:eastAsia="Arial" w:hAnsi="Arial"/>
                <w:sz w:val="18"/>
                <w:szCs w:val="18"/>
                <w:color w:val="auto"/>
                <w:w w:val="92"/>
              </w:rPr>
              <w:t>Trading Symbol(s)</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720" w:type="dxa"/>
            <w:vAlign w:val="bottom"/>
            <w:tcBorders>
              <w:top w:val="single" w:sz="8" w:color="auto"/>
            </w:tcBorders>
          </w:tcPr>
          <w:p>
            <w:pPr>
              <w:jc w:val="center"/>
              <w:ind w:right="790"/>
              <w:spacing w:after="0"/>
              <w:rPr>
                <w:sz w:val="20"/>
                <w:szCs w:val="20"/>
                <w:color w:val="auto"/>
              </w:rPr>
            </w:pPr>
            <w:r>
              <w:rPr>
                <w:rFonts w:ascii="Arial" w:cs="Arial" w:eastAsia="Arial" w:hAnsi="Arial"/>
                <w:sz w:val="18"/>
                <w:szCs w:val="18"/>
                <w:color w:val="auto"/>
                <w:w w:val="99"/>
              </w:rPr>
              <w:t>MBOT</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firstLine="324"/>
        <w:spacing w:after="0" w:line="230" w:lineRule="exact"/>
        <w:rPr>
          <w:sz w:val="20"/>
          <w:szCs w:val="20"/>
          <w:color w:val="auto"/>
        </w:rPr>
      </w:pPr>
      <w:r>
        <w:rPr>
          <w:rFonts w:ascii="Arial" w:cs="Arial" w:eastAsia="Arial" w:hAnsi="Arial"/>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ind w:firstLine="324"/>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420" w:type="dxa"/>
            <w:vAlign w:val="bottom"/>
          </w:tcPr>
          <w:p>
            <w:pPr>
              <w:ind w:left="7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720" w:type="dxa"/>
            <w:vAlign w:val="bottom"/>
            <w:vMerge w:val="restart"/>
          </w:tcPr>
          <w:p>
            <w:pPr>
              <w:ind w:left="540"/>
              <w:spacing w:after="0" w:line="207" w:lineRule="exact"/>
              <w:rPr>
                <w:sz w:val="20"/>
                <w:szCs w:val="20"/>
                <w:color w:val="auto"/>
              </w:rPr>
            </w:pPr>
            <w:r>
              <w:rPr>
                <w:rFonts w:ascii="Arial" w:cs="Arial" w:eastAsia="Arial" w:hAnsi="Arial"/>
                <w:sz w:val="18"/>
                <w:szCs w:val="18"/>
                <w:color w:val="auto"/>
                <w:w w:val="91"/>
              </w:rPr>
              <w:t xml:space="preserve">Emerging growth company </w:t>
            </w:r>
            <w:r>
              <w:rPr>
                <w:rFonts w:ascii="MS PGothic" w:cs="MS PGothic" w:eastAsia="MS PGothic" w:hAnsi="MS PGothic"/>
                <w:sz w:val="18"/>
                <w:szCs w:val="18"/>
                <w:color w:val="auto"/>
                <w:w w:val="91"/>
              </w:rPr>
              <w:t>☐</w:t>
            </w:r>
          </w:p>
        </w:tc>
        <w:tc>
          <w:tcPr>
            <w:tcW w:w="0" w:type="dxa"/>
            <w:vAlign w:val="bottom"/>
          </w:tcPr>
          <w:p>
            <w:pPr>
              <w:spacing w:after="0"/>
              <w:rPr>
                <w:sz w:val="1"/>
                <w:szCs w:val="1"/>
                <w:color w:val="auto"/>
              </w:rPr>
            </w:pPr>
          </w:p>
        </w:tc>
      </w:tr>
      <w:tr>
        <w:trPr>
          <w:trHeight w:val="303"/>
        </w:trPr>
        <w:tc>
          <w:tcPr>
            <w:tcW w:w="256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420" w:type="dxa"/>
            <w:vAlign w:val="bottom"/>
          </w:tcPr>
          <w:p>
            <w:pPr>
              <w:ind w:left="72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4"/>
          <w:szCs w:val="24"/>
          <w:color w:val="auto"/>
        </w:rPr>
      </w:pPr>
    </w:p>
    <w:p>
      <w:pPr>
        <w:ind w:firstLine="32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11,707,317 shares of Common Stock, $0.01 par value at August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20" w:type="dxa"/>
            <w:vAlign w:val="bottom"/>
            <w:gridSpan w:val="9"/>
          </w:tcPr>
          <w:p>
            <w:pPr>
              <w:jc w:val="center"/>
              <w:ind w:right="1860"/>
              <w:spacing w:after="0"/>
              <w:rPr>
                <w:sz w:val="20"/>
                <w:szCs w:val="20"/>
                <w:color w:val="auto"/>
              </w:rPr>
            </w:pPr>
            <w:r>
              <w:rPr>
                <w:rFonts w:ascii="Arial" w:cs="Arial" w:eastAsia="Arial" w:hAnsi="Arial"/>
                <w:sz w:val="18"/>
                <w:szCs w:val="18"/>
                <w:b w:val="1"/>
                <w:bCs w:val="1"/>
                <w:color w:val="auto"/>
              </w:rPr>
              <w:t>MICROBOT MEDICAL INC. AND SUBSIDIARY</w:t>
            </w:r>
          </w:p>
        </w:tc>
        <w:tc>
          <w:tcPr>
            <w:tcW w:w="108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6"/>
          </w:tcPr>
          <w:p>
            <w:pPr>
              <w:jc w:val="center"/>
              <w:ind w:right="3900"/>
              <w:spacing w:after="0"/>
              <w:rPr>
                <w:sz w:val="20"/>
                <w:szCs w:val="20"/>
                <w:color w:val="auto"/>
              </w:rPr>
            </w:pPr>
            <w:r>
              <w:rPr>
                <w:rFonts w:ascii="Arial" w:cs="Arial" w:eastAsia="Arial" w:hAnsi="Arial"/>
                <w:sz w:val="18"/>
                <w:szCs w:val="18"/>
                <w:color w:val="auto"/>
                <w:w w:val="90"/>
              </w:rPr>
              <w:t>Index</w:t>
            </w:r>
          </w:p>
        </w:tc>
        <w:tc>
          <w:tcPr>
            <w:tcW w:w="108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0160" w:type="dxa"/>
            <w:vAlign w:val="bottom"/>
            <w:gridSpan w:val="17"/>
            <w:shd w:val="clear" w:color="auto" w:fill="CCEEFF"/>
          </w:tcPr>
          <w:p>
            <w:pPr>
              <w:spacing w:after="0"/>
              <w:rPr>
                <w:sz w:val="20"/>
                <w:szCs w:val="20"/>
                <w:color w:val="auto"/>
              </w:rPr>
            </w:pPr>
            <w:r>
              <w:rPr>
                <w:rFonts w:ascii="Arial" w:cs="Arial" w:eastAsia="Arial" w:hAnsi="Arial"/>
                <w:sz w:val="18"/>
                <w:szCs w:val="18"/>
                <w:b w:val="1"/>
                <w:bCs w:val="1"/>
                <w:color w:val="auto"/>
              </w:rPr>
              <w:t>Part I - Financial Information</w:t>
            </w:r>
          </w:p>
        </w:tc>
        <w:tc>
          <w:tcPr>
            <w:tcW w:w="1080" w:type="dxa"/>
            <w:vAlign w:val="bottom"/>
            <w:shd w:val="clear" w:color="auto" w:fill="CCEEFF"/>
          </w:tcPr>
          <w:p>
            <w:pPr>
              <w:spacing w:after="0"/>
              <w:rPr>
                <w:sz w:val="18"/>
                <w:szCs w:val="18"/>
                <w:color w:val="auto"/>
              </w:rPr>
            </w:pPr>
          </w:p>
        </w:tc>
      </w:tr>
      <w:tr>
        <w:trPr>
          <w:trHeight w:val="216"/>
        </w:trPr>
        <w:tc>
          <w:tcPr>
            <w:tcW w:w="10160" w:type="dxa"/>
            <w:vAlign w:val="bottom"/>
            <w:gridSpan w:val="17"/>
          </w:tcPr>
          <w:p>
            <w:pPr>
              <w:spacing w:after="0"/>
              <w:rPr>
                <w:sz w:val="20"/>
                <w:szCs w:val="20"/>
                <w:color w:val="auto"/>
              </w:rPr>
            </w:pPr>
            <w:r>
              <w:rPr>
                <w:rFonts w:ascii="Arial" w:cs="Arial" w:eastAsia="Arial" w:hAnsi="Arial"/>
                <w:sz w:val="18"/>
                <w:szCs w:val="18"/>
                <w:color w:val="auto"/>
              </w:rPr>
              <w:t>Item 1 - Financial Statements</w:t>
            </w:r>
          </w:p>
        </w:tc>
        <w:tc>
          <w:tcPr>
            <w:tcW w:w="1080" w:type="dxa"/>
            <w:vAlign w:val="bottom"/>
          </w:tcPr>
          <w:p>
            <w:pPr>
              <w:spacing w:after="0"/>
              <w:rPr>
                <w:sz w:val="18"/>
                <w:szCs w:val="18"/>
                <w:color w:val="auto"/>
              </w:rPr>
            </w:pPr>
          </w:p>
        </w:tc>
      </w:tr>
      <w:tr>
        <w:trPr>
          <w:trHeight w:val="196"/>
        </w:trPr>
        <w:tc>
          <w:tcPr>
            <w:tcW w:w="7540" w:type="dxa"/>
            <w:vAlign w:val="bottom"/>
            <w:tcBorders>
              <w:bottom w:val="single" w:sz="8" w:color="0000EE"/>
            </w:tcBorders>
            <w:gridSpan w:val="13"/>
            <w:shd w:val="clear" w:color="auto" w:fill="CCEEFF"/>
          </w:tcPr>
          <w:p>
            <w:pPr>
              <w:spacing w:after="0" w:line="176" w:lineRule="exact"/>
              <w:rPr>
                <w:sz w:val="20"/>
                <w:szCs w:val="20"/>
                <w:color w:val="auto"/>
              </w:rPr>
            </w:pPr>
            <w:r>
              <w:rPr>
                <w:rFonts w:ascii="Arial" w:cs="Arial" w:eastAsia="Arial" w:hAnsi="Arial"/>
                <w:sz w:val="18"/>
                <w:szCs w:val="18"/>
                <w:color w:val="0000EE"/>
                <w:w w:val="90"/>
              </w:rPr>
              <w:t>Interim Consolidated Balance Sheets as of June 30, 2023 (Unaudited) and December 31, 2022 (Audited)</w:t>
            </w:r>
          </w:p>
        </w:tc>
        <w:tc>
          <w:tcPr>
            <w:tcW w:w="2620" w:type="dxa"/>
            <w:vAlign w:val="bottom"/>
            <w:tcBorders>
              <w:bottom w:val="single" w:sz="8" w:color="CCEEFF"/>
            </w:tcBorders>
            <w:gridSpan w:val="4"/>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center"/>
              <w:ind w:left="350"/>
              <w:spacing w:after="0" w:line="176" w:lineRule="exact"/>
              <w:rPr>
                <w:sz w:val="20"/>
                <w:szCs w:val="20"/>
                <w:color w:val="auto"/>
              </w:rPr>
            </w:pPr>
            <w:r>
              <w:rPr>
                <w:rFonts w:ascii="Arial" w:cs="Arial" w:eastAsia="Arial" w:hAnsi="Arial"/>
                <w:sz w:val="18"/>
                <w:szCs w:val="18"/>
                <w:color w:val="auto"/>
                <w:w w:val="79"/>
              </w:rPr>
              <w:t>3</w:t>
            </w:r>
          </w:p>
        </w:tc>
      </w:tr>
      <w:tr>
        <w:trPr>
          <w:trHeight w:val="176"/>
        </w:trPr>
        <w:tc>
          <w:tcPr>
            <w:tcW w:w="10160" w:type="dxa"/>
            <w:vAlign w:val="bottom"/>
            <w:gridSpan w:val="17"/>
          </w:tcPr>
          <w:p>
            <w:pPr>
              <w:spacing w:after="0" w:line="176" w:lineRule="exact"/>
              <w:rPr>
                <w:sz w:val="20"/>
                <w:szCs w:val="20"/>
                <w:color w:val="auto"/>
              </w:rPr>
            </w:pPr>
            <w:r>
              <w:rPr>
                <w:rFonts w:ascii="Arial" w:cs="Arial" w:eastAsia="Arial" w:hAnsi="Arial"/>
                <w:sz w:val="18"/>
                <w:szCs w:val="18"/>
                <w:color w:val="0000EE"/>
                <w:w w:val="96"/>
              </w:rPr>
              <w:t>Interim Consolidated Statements of Comprehensive Loss for the Three and Six Months Ended June 30, 2023 and 2022 (Unaudited)</w:t>
            </w:r>
          </w:p>
        </w:tc>
        <w:tc>
          <w:tcPr>
            <w:tcW w:w="1080" w:type="dxa"/>
            <w:vAlign w:val="bottom"/>
          </w:tcPr>
          <w:p>
            <w:pPr>
              <w:jc w:val="center"/>
              <w:ind w:left="350"/>
              <w:spacing w:after="0" w:line="176" w:lineRule="exact"/>
              <w:rPr>
                <w:sz w:val="20"/>
                <w:szCs w:val="20"/>
                <w:color w:val="auto"/>
              </w:rPr>
            </w:pPr>
            <w:r>
              <w:rPr>
                <w:rFonts w:ascii="Arial" w:cs="Arial" w:eastAsia="Arial" w:hAnsi="Arial"/>
                <w:sz w:val="18"/>
                <w:szCs w:val="18"/>
                <w:color w:val="auto"/>
                <w:w w:val="79"/>
              </w:rPr>
              <w:t>4</w:t>
            </w:r>
          </w:p>
        </w:tc>
      </w:tr>
      <w:tr>
        <w:trPr>
          <w:trHeight w:val="20"/>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9480" w:type="dxa"/>
            <w:vAlign w:val="bottom"/>
            <w:tcBorders>
              <w:bottom w:val="single" w:sz="8" w:color="0000EE"/>
            </w:tcBorders>
            <w:gridSpan w:val="16"/>
            <w:shd w:val="clear" w:color="auto" w:fill="CCEEFF"/>
          </w:tcPr>
          <w:p>
            <w:pPr>
              <w:spacing w:after="0" w:line="176" w:lineRule="exact"/>
              <w:rPr>
                <w:sz w:val="20"/>
                <w:szCs w:val="20"/>
                <w:color w:val="auto"/>
              </w:rPr>
            </w:pPr>
            <w:r>
              <w:rPr>
                <w:rFonts w:ascii="Arial" w:cs="Arial" w:eastAsia="Arial" w:hAnsi="Arial"/>
                <w:sz w:val="18"/>
                <w:szCs w:val="18"/>
                <w:color w:val="0000EE"/>
                <w:w w:val="90"/>
              </w:rPr>
              <w:t>Interim Consolidated Statements of Shareholders’ Equity for the Three and Six Months Ended June 30, 2023 and 2022 (Unaudited)</w:t>
            </w:r>
          </w:p>
        </w:tc>
        <w:tc>
          <w:tcPr>
            <w:tcW w:w="6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center"/>
              <w:ind w:left="350"/>
              <w:spacing w:after="0" w:line="176" w:lineRule="exact"/>
              <w:rPr>
                <w:sz w:val="20"/>
                <w:szCs w:val="20"/>
                <w:color w:val="auto"/>
              </w:rPr>
            </w:pPr>
            <w:r>
              <w:rPr>
                <w:rFonts w:ascii="Arial" w:cs="Arial" w:eastAsia="Arial" w:hAnsi="Arial"/>
                <w:sz w:val="18"/>
                <w:szCs w:val="18"/>
                <w:color w:val="auto"/>
                <w:w w:val="79"/>
              </w:rPr>
              <w:t>5</w:t>
            </w:r>
          </w:p>
        </w:tc>
      </w:tr>
      <w:tr>
        <w:trPr>
          <w:trHeight w:val="176"/>
        </w:trPr>
        <w:tc>
          <w:tcPr>
            <w:tcW w:w="10160" w:type="dxa"/>
            <w:vAlign w:val="bottom"/>
            <w:gridSpan w:val="17"/>
          </w:tcPr>
          <w:p>
            <w:pPr>
              <w:spacing w:after="0" w:line="176" w:lineRule="exact"/>
              <w:rPr>
                <w:sz w:val="20"/>
                <w:szCs w:val="20"/>
                <w:color w:val="auto"/>
              </w:rPr>
            </w:pPr>
            <w:r>
              <w:rPr>
                <w:rFonts w:ascii="Arial" w:cs="Arial" w:eastAsia="Arial" w:hAnsi="Arial"/>
                <w:sz w:val="18"/>
                <w:szCs w:val="18"/>
                <w:color w:val="0000EE"/>
              </w:rPr>
              <w:t>Interim Consolidated Statements of Cash Flows for the Six Months Ended June 30, 2023 and 2022 (Unaudited)</w:t>
            </w:r>
          </w:p>
        </w:tc>
        <w:tc>
          <w:tcPr>
            <w:tcW w:w="1080" w:type="dxa"/>
            <w:vAlign w:val="bottom"/>
          </w:tcPr>
          <w:p>
            <w:pPr>
              <w:jc w:val="center"/>
              <w:ind w:left="350"/>
              <w:spacing w:after="0" w:line="176" w:lineRule="exact"/>
              <w:rPr>
                <w:sz w:val="20"/>
                <w:szCs w:val="20"/>
                <w:color w:val="auto"/>
              </w:rPr>
            </w:pPr>
            <w:r>
              <w:rPr>
                <w:rFonts w:ascii="Arial" w:cs="Arial" w:eastAsia="Arial" w:hAnsi="Arial"/>
                <w:sz w:val="18"/>
                <w:szCs w:val="18"/>
                <w:color w:val="auto"/>
                <w:w w:val="79"/>
              </w:rPr>
              <w:t>6</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3740" w:type="dxa"/>
            <w:vAlign w:val="bottom"/>
            <w:tcBorders>
              <w:bottom w:val="single" w:sz="8" w:color="0000EE"/>
            </w:tcBorders>
            <w:gridSpan w:val="9"/>
            <w:shd w:val="clear" w:color="auto" w:fill="CCEEFF"/>
          </w:tcPr>
          <w:p>
            <w:pPr>
              <w:spacing w:after="0" w:line="176" w:lineRule="exact"/>
              <w:rPr>
                <w:sz w:val="20"/>
                <w:szCs w:val="20"/>
                <w:color w:val="auto"/>
              </w:rPr>
            </w:pPr>
            <w:r>
              <w:rPr>
                <w:rFonts w:ascii="Arial" w:cs="Arial" w:eastAsia="Arial" w:hAnsi="Arial"/>
                <w:sz w:val="18"/>
                <w:szCs w:val="18"/>
                <w:color w:val="0000EE"/>
                <w:w w:val="90"/>
              </w:rPr>
              <w:t>Notes to Interim Consolidated Financial Statements</w:t>
            </w:r>
          </w:p>
        </w:tc>
        <w:tc>
          <w:tcPr>
            <w:tcW w:w="6420" w:type="dxa"/>
            <w:vAlign w:val="bottom"/>
            <w:tcBorders>
              <w:bottom w:val="single" w:sz="8" w:color="CCEEFF"/>
            </w:tcBorders>
            <w:gridSpan w:val="8"/>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center"/>
              <w:ind w:left="350"/>
              <w:spacing w:after="0" w:line="176" w:lineRule="exact"/>
              <w:rPr>
                <w:sz w:val="20"/>
                <w:szCs w:val="20"/>
                <w:color w:val="auto"/>
              </w:rPr>
            </w:pPr>
            <w:r>
              <w:rPr>
                <w:rFonts w:ascii="Arial" w:cs="Arial" w:eastAsia="Arial" w:hAnsi="Arial"/>
                <w:sz w:val="18"/>
                <w:szCs w:val="18"/>
                <w:color w:val="auto"/>
                <w:w w:val="79"/>
              </w:rPr>
              <w:t>7</w:t>
            </w:r>
          </w:p>
        </w:tc>
      </w:tr>
      <w:tr>
        <w:trPr>
          <w:trHeight w:val="175"/>
        </w:trPr>
        <w:tc>
          <w:tcPr>
            <w:tcW w:w="10160" w:type="dxa"/>
            <w:vAlign w:val="bottom"/>
            <w:gridSpan w:val="17"/>
          </w:tcPr>
          <w:p>
            <w:pPr>
              <w:spacing w:after="0" w:line="176" w:lineRule="exact"/>
              <w:rPr>
                <w:sz w:val="20"/>
                <w:szCs w:val="20"/>
                <w:color w:val="auto"/>
              </w:rPr>
            </w:pPr>
            <w:r>
              <w:rPr>
                <w:rFonts w:ascii="Arial" w:cs="Arial" w:eastAsia="Arial" w:hAnsi="Arial"/>
                <w:sz w:val="18"/>
                <w:szCs w:val="18"/>
                <w:color w:val="0000EE"/>
              </w:rPr>
              <w:t>Item 2 - Management’s Discussion and Analysis of Financial Condition and Results of Operations</w:t>
            </w:r>
          </w:p>
        </w:tc>
        <w:tc>
          <w:tcPr>
            <w:tcW w:w="1080" w:type="dxa"/>
            <w:vAlign w:val="bottom"/>
          </w:tcPr>
          <w:p>
            <w:pPr>
              <w:jc w:val="center"/>
              <w:ind w:left="330"/>
              <w:spacing w:after="0" w:line="176" w:lineRule="exact"/>
              <w:rPr>
                <w:sz w:val="20"/>
                <w:szCs w:val="20"/>
                <w:color w:val="auto"/>
              </w:rPr>
            </w:pPr>
            <w:r>
              <w:rPr>
                <w:rFonts w:ascii="Arial" w:cs="Arial" w:eastAsia="Arial" w:hAnsi="Arial"/>
                <w:sz w:val="18"/>
                <w:szCs w:val="18"/>
                <w:color w:val="auto"/>
                <w:w w:val="89"/>
              </w:rPr>
              <w:t>14</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color w:val="0000EE"/>
                <w:w w:val="92"/>
              </w:rPr>
              <w:t>Item 3 - Quantitative and Qualitative Disclosures About Market Risk</w:t>
            </w:r>
          </w:p>
        </w:tc>
        <w:tc>
          <w:tcPr>
            <w:tcW w:w="5180" w:type="dxa"/>
            <w:vAlign w:val="bottom"/>
            <w:tcBorders>
              <w:bottom w:val="single" w:sz="8" w:color="CCEEFF"/>
            </w:tcBorders>
            <w:gridSpan w:val="6"/>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Arial" w:cs="Arial" w:eastAsia="Arial" w:hAnsi="Arial"/>
                <w:sz w:val="18"/>
                <w:szCs w:val="18"/>
                <w:color w:val="auto"/>
                <w:w w:val="89"/>
              </w:rPr>
              <w:t>22</w:t>
            </w:r>
          </w:p>
        </w:tc>
      </w:tr>
      <w:tr>
        <w:trPr>
          <w:trHeight w:val="176"/>
        </w:trPr>
        <w:tc>
          <w:tcPr>
            <w:tcW w:w="10160" w:type="dxa"/>
            <w:vAlign w:val="bottom"/>
            <w:gridSpan w:val="17"/>
          </w:tcPr>
          <w:p>
            <w:pPr>
              <w:spacing w:after="0" w:line="176" w:lineRule="exact"/>
              <w:rPr>
                <w:sz w:val="20"/>
                <w:szCs w:val="20"/>
                <w:color w:val="auto"/>
              </w:rPr>
            </w:pPr>
            <w:r>
              <w:rPr>
                <w:rFonts w:ascii="Arial" w:cs="Arial" w:eastAsia="Arial" w:hAnsi="Arial"/>
                <w:sz w:val="18"/>
                <w:szCs w:val="18"/>
                <w:color w:val="0000EE"/>
              </w:rPr>
              <w:t>Item 4 - Controls and Procedures</w:t>
            </w:r>
          </w:p>
        </w:tc>
        <w:tc>
          <w:tcPr>
            <w:tcW w:w="1080" w:type="dxa"/>
            <w:vAlign w:val="bottom"/>
          </w:tcPr>
          <w:p>
            <w:pPr>
              <w:jc w:val="center"/>
              <w:ind w:left="330"/>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16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1080" w:type="dxa"/>
            <w:vAlign w:val="bottom"/>
            <w:shd w:val="clear" w:color="auto" w:fill="CCEEFF"/>
          </w:tcPr>
          <w:p>
            <w:pPr>
              <w:spacing w:after="0"/>
              <w:rPr>
                <w:sz w:val="17"/>
                <w:szCs w:val="17"/>
                <w:color w:val="auto"/>
              </w:rPr>
            </w:pPr>
          </w:p>
        </w:tc>
      </w:tr>
      <w:tr>
        <w:trPr>
          <w:trHeight w:val="176"/>
        </w:trPr>
        <w:tc>
          <w:tcPr>
            <w:tcW w:w="2120" w:type="dxa"/>
            <w:vAlign w:val="bottom"/>
            <w:tcBorders>
              <w:top w:val="single" w:sz="8" w:color="0000EE"/>
            </w:tcBorders>
            <w:gridSpan w:val="6"/>
          </w:tcPr>
          <w:p>
            <w:pPr>
              <w:spacing w:after="0" w:line="176" w:lineRule="exact"/>
              <w:rPr>
                <w:sz w:val="20"/>
                <w:szCs w:val="20"/>
                <w:color w:val="auto"/>
              </w:rPr>
            </w:pPr>
            <w:r>
              <w:rPr>
                <w:rFonts w:ascii="Arial" w:cs="Arial" w:eastAsia="Arial" w:hAnsi="Arial"/>
                <w:sz w:val="18"/>
                <w:szCs w:val="18"/>
                <w:color w:val="0000EE"/>
                <w:w w:val="97"/>
              </w:rPr>
              <w:t>Item 1 - Legal Proceedings</w:t>
            </w:r>
          </w:p>
        </w:tc>
        <w:tc>
          <w:tcPr>
            <w:tcW w:w="8040" w:type="dxa"/>
            <w:vAlign w:val="bottom"/>
            <w:tcBorders>
              <w:top w:val="single" w:sz="8" w:color="CCEEFF"/>
            </w:tcBorders>
            <w:gridSpan w:val="11"/>
          </w:tcPr>
          <w:p>
            <w:pPr>
              <w:spacing w:after="0"/>
              <w:rPr>
                <w:sz w:val="15"/>
                <w:szCs w:val="15"/>
                <w:color w:val="auto"/>
              </w:rPr>
            </w:pPr>
          </w:p>
        </w:tc>
        <w:tc>
          <w:tcPr>
            <w:tcW w:w="1080" w:type="dxa"/>
            <w:vAlign w:val="bottom"/>
            <w:tcBorders>
              <w:top w:val="single" w:sz="8" w:color="CCEEFF"/>
            </w:tcBorders>
          </w:tcPr>
          <w:p>
            <w:pPr>
              <w:jc w:val="center"/>
              <w:ind w:left="330"/>
              <w:spacing w:after="0" w:line="176" w:lineRule="exact"/>
              <w:rPr>
                <w:sz w:val="20"/>
                <w:szCs w:val="20"/>
                <w:color w:val="auto"/>
              </w:rPr>
            </w:pPr>
            <w:r>
              <w:rPr>
                <w:rFonts w:ascii="Arial" w:cs="Arial" w:eastAsia="Arial" w:hAnsi="Arial"/>
                <w:sz w:val="18"/>
                <w:szCs w:val="18"/>
                <w:color w:val="auto"/>
                <w:w w:val="89"/>
              </w:rPr>
              <w:t>24</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66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2"/>
              </w:rPr>
              <w:t>Item 1A - Risk Factors</w:t>
            </w:r>
          </w:p>
        </w:tc>
        <w:tc>
          <w:tcPr>
            <w:tcW w:w="8500" w:type="dxa"/>
            <w:vAlign w:val="bottom"/>
            <w:tcBorders>
              <w:bottom w:val="single" w:sz="8" w:color="CCEEFF"/>
            </w:tcBorders>
            <w:gridSpan w:val="14"/>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Arial" w:cs="Arial" w:eastAsia="Arial" w:hAnsi="Arial"/>
                <w:sz w:val="18"/>
                <w:szCs w:val="18"/>
                <w:color w:val="auto"/>
                <w:w w:val="89"/>
              </w:rPr>
              <w:t>25</w:t>
            </w:r>
          </w:p>
        </w:tc>
      </w:tr>
      <w:tr>
        <w:trPr>
          <w:trHeight w:val="175"/>
        </w:trPr>
        <w:tc>
          <w:tcPr>
            <w:tcW w:w="10160" w:type="dxa"/>
            <w:vAlign w:val="bottom"/>
            <w:gridSpan w:val="17"/>
          </w:tcPr>
          <w:p>
            <w:pPr>
              <w:spacing w:after="0" w:line="176" w:lineRule="exact"/>
              <w:rPr>
                <w:sz w:val="20"/>
                <w:szCs w:val="20"/>
                <w:color w:val="auto"/>
              </w:rPr>
            </w:pPr>
            <w:r>
              <w:rPr>
                <w:rFonts w:ascii="Arial" w:cs="Arial" w:eastAsia="Arial" w:hAnsi="Arial"/>
                <w:sz w:val="18"/>
                <w:szCs w:val="18"/>
                <w:color w:val="0000EE"/>
              </w:rPr>
              <w:t>Item 2 - Unregistered Sales of Equity Securities and Use of Proceeds</w:t>
            </w:r>
          </w:p>
        </w:tc>
        <w:tc>
          <w:tcPr>
            <w:tcW w:w="1080" w:type="dxa"/>
            <w:vAlign w:val="bottom"/>
          </w:tcPr>
          <w:p>
            <w:pPr>
              <w:jc w:val="center"/>
              <w:ind w:left="330"/>
              <w:spacing w:after="0" w:line="176" w:lineRule="exact"/>
              <w:rPr>
                <w:sz w:val="20"/>
                <w:szCs w:val="20"/>
                <w:color w:val="auto"/>
              </w:rPr>
            </w:pPr>
            <w:r>
              <w:rPr>
                <w:rFonts w:ascii="Arial" w:cs="Arial" w:eastAsia="Arial" w:hAnsi="Arial"/>
                <w:sz w:val="18"/>
                <w:szCs w:val="18"/>
                <w:color w:val="auto"/>
                <w:w w:val="89"/>
              </w:rPr>
              <w:t>43</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16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Item 3 - Defaults Upon Senior Securities</w:t>
            </w:r>
          </w:p>
        </w:tc>
        <w:tc>
          <w:tcPr>
            <w:tcW w:w="1080" w:type="dxa"/>
            <w:vAlign w:val="bottom"/>
            <w:shd w:val="clear" w:color="auto" w:fill="CCEEFF"/>
          </w:tcPr>
          <w:p>
            <w:pPr>
              <w:jc w:val="center"/>
              <w:ind w:left="330"/>
              <w:spacing w:after="0" w:line="176" w:lineRule="exact"/>
              <w:rPr>
                <w:sz w:val="20"/>
                <w:szCs w:val="20"/>
                <w:color w:val="auto"/>
              </w:rPr>
            </w:pPr>
            <w:r>
              <w:rPr>
                <w:rFonts w:ascii="Arial" w:cs="Arial" w:eastAsia="Arial" w:hAnsi="Arial"/>
                <w:sz w:val="18"/>
                <w:szCs w:val="18"/>
                <w:color w:val="auto"/>
                <w:w w:val="89"/>
              </w:rPr>
              <w:t>43</w:t>
            </w:r>
          </w:p>
        </w:tc>
      </w:tr>
      <w:tr>
        <w:trPr>
          <w:trHeight w:val="176"/>
        </w:trPr>
        <w:tc>
          <w:tcPr>
            <w:tcW w:w="2940" w:type="dxa"/>
            <w:vAlign w:val="bottom"/>
            <w:tcBorders>
              <w:top w:val="single" w:sz="8" w:color="0000EE"/>
            </w:tcBorders>
            <w:gridSpan w:val="8"/>
          </w:tcPr>
          <w:p>
            <w:pPr>
              <w:spacing w:after="0" w:line="176" w:lineRule="exact"/>
              <w:rPr>
                <w:sz w:val="20"/>
                <w:szCs w:val="20"/>
                <w:color w:val="auto"/>
              </w:rPr>
            </w:pPr>
            <w:r>
              <w:rPr>
                <w:rFonts w:ascii="Arial" w:cs="Arial" w:eastAsia="Arial" w:hAnsi="Arial"/>
                <w:sz w:val="18"/>
                <w:szCs w:val="18"/>
                <w:color w:val="0000EE"/>
              </w:rPr>
              <w:t>Item 4 - Mine Safety Disclosures</w:t>
            </w:r>
          </w:p>
        </w:tc>
        <w:tc>
          <w:tcPr>
            <w:tcW w:w="7220" w:type="dxa"/>
            <w:vAlign w:val="bottom"/>
            <w:tcBorders>
              <w:top w:val="single" w:sz="8" w:color="CCEEFF"/>
            </w:tcBorders>
            <w:gridSpan w:val="9"/>
          </w:tcPr>
          <w:p>
            <w:pPr>
              <w:spacing w:after="0"/>
              <w:rPr>
                <w:sz w:val="15"/>
                <w:szCs w:val="15"/>
                <w:color w:val="auto"/>
              </w:rPr>
            </w:pPr>
          </w:p>
        </w:tc>
        <w:tc>
          <w:tcPr>
            <w:tcW w:w="1080" w:type="dxa"/>
            <w:vAlign w:val="bottom"/>
            <w:tcBorders>
              <w:top w:val="single" w:sz="8" w:color="CCEEFF"/>
            </w:tcBorders>
          </w:tcPr>
          <w:p>
            <w:pPr>
              <w:jc w:val="center"/>
              <w:ind w:left="330"/>
              <w:spacing w:after="0" w:line="176" w:lineRule="exact"/>
              <w:rPr>
                <w:sz w:val="20"/>
                <w:szCs w:val="20"/>
                <w:color w:val="auto"/>
              </w:rPr>
            </w:pPr>
            <w:r>
              <w:rPr>
                <w:rFonts w:ascii="Arial" w:cs="Arial" w:eastAsia="Arial" w:hAnsi="Arial"/>
                <w:sz w:val="18"/>
                <w:szCs w:val="18"/>
                <w:color w:val="auto"/>
                <w:w w:val="89"/>
              </w:rPr>
              <w:t>43</w:t>
            </w:r>
          </w:p>
        </w:tc>
      </w:tr>
      <w:tr>
        <w:trPr>
          <w:trHeight w:val="20"/>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w w:val="93"/>
              </w:rPr>
              <w:t>Item 5 - Other Information</w:t>
            </w:r>
          </w:p>
        </w:tc>
        <w:tc>
          <w:tcPr>
            <w:tcW w:w="8220" w:type="dxa"/>
            <w:vAlign w:val="bottom"/>
            <w:tcBorders>
              <w:bottom w:val="single" w:sz="8" w:color="CCEEFF"/>
            </w:tcBorders>
            <w:gridSpan w:val="13"/>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Arial" w:cs="Arial" w:eastAsia="Arial" w:hAnsi="Arial"/>
                <w:sz w:val="18"/>
                <w:szCs w:val="18"/>
                <w:color w:val="auto"/>
                <w:w w:val="89"/>
              </w:rPr>
              <w:t>43</w:t>
            </w:r>
          </w:p>
        </w:tc>
      </w:tr>
      <w:tr>
        <w:trPr>
          <w:trHeight w:val="175"/>
        </w:trPr>
        <w:tc>
          <w:tcPr>
            <w:tcW w:w="10160" w:type="dxa"/>
            <w:vAlign w:val="bottom"/>
            <w:gridSpan w:val="17"/>
          </w:tcPr>
          <w:p>
            <w:pPr>
              <w:spacing w:after="0" w:line="176" w:lineRule="exact"/>
              <w:rPr>
                <w:sz w:val="20"/>
                <w:szCs w:val="20"/>
                <w:color w:val="auto"/>
              </w:rPr>
            </w:pPr>
            <w:r>
              <w:rPr>
                <w:rFonts w:ascii="Arial" w:cs="Arial" w:eastAsia="Arial" w:hAnsi="Arial"/>
                <w:sz w:val="18"/>
                <w:szCs w:val="18"/>
                <w:color w:val="0000EE"/>
              </w:rPr>
              <w:t>Item 6 - Exhibits</w:t>
            </w:r>
          </w:p>
        </w:tc>
        <w:tc>
          <w:tcPr>
            <w:tcW w:w="1080" w:type="dxa"/>
            <w:vAlign w:val="bottom"/>
          </w:tcPr>
          <w:p>
            <w:pPr>
              <w:jc w:val="center"/>
              <w:ind w:left="330"/>
              <w:spacing w:after="0" w:line="176" w:lineRule="exact"/>
              <w:rPr>
                <w:sz w:val="20"/>
                <w:szCs w:val="20"/>
                <w:color w:val="auto"/>
              </w:rPr>
            </w:pPr>
            <w:r>
              <w:rPr>
                <w:rFonts w:ascii="Arial" w:cs="Arial" w:eastAsia="Arial" w:hAnsi="Arial"/>
                <w:sz w:val="18"/>
                <w:szCs w:val="18"/>
                <w:color w:val="auto"/>
                <w:w w:val="89"/>
              </w:rPr>
              <w:t>43</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16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Signatures</w:t>
            </w:r>
          </w:p>
        </w:tc>
        <w:tc>
          <w:tcPr>
            <w:tcW w:w="1080" w:type="dxa"/>
            <w:vAlign w:val="bottom"/>
            <w:shd w:val="clear" w:color="auto" w:fill="CCEEFF"/>
          </w:tcPr>
          <w:p>
            <w:pPr>
              <w:jc w:val="center"/>
              <w:ind w:left="330"/>
              <w:spacing w:after="0" w:line="176" w:lineRule="exact"/>
              <w:rPr>
                <w:sz w:val="20"/>
                <w:szCs w:val="20"/>
                <w:color w:val="auto"/>
              </w:rPr>
            </w:pPr>
            <w:r>
              <w:rPr>
                <w:rFonts w:ascii="Arial" w:cs="Arial" w:eastAsia="Arial" w:hAnsi="Arial"/>
                <w:sz w:val="18"/>
                <w:szCs w:val="18"/>
                <w:color w:val="auto"/>
                <w:w w:val="89"/>
              </w:rPr>
              <w:t>44</w:t>
            </w:r>
          </w:p>
        </w:tc>
      </w:tr>
      <w:tr>
        <w:trPr>
          <w:trHeight w:val="439"/>
        </w:trPr>
        <w:tc>
          <w:tcPr>
            <w:tcW w:w="820" w:type="dxa"/>
            <w:vAlign w:val="bottom"/>
            <w:tcBorders>
              <w:top w:val="single" w:sz="8" w:color="0000EE"/>
              <w:bottom w:val="single" w:sz="8" w:color="auto"/>
            </w:tcBorders>
          </w:tcPr>
          <w:p>
            <w:pPr>
              <w:spacing w:after="0"/>
              <w:rPr>
                <w:sz w:val="24"/>
                <w:szCs w:val="24"/>
                <w:color w:val="auto"/>
              </w:rPr>
            </w:pPr>
          </w:p>
        </w:tc>
        <w:tc>
          <w:tcPr>
            <w:tcW w:w="6260" w:type="dxa"/>
            <w:vAlign w:val="bottom"/>
            <w:tcBorders>
              <w:top w:val="single" w:sz="8" w:color="CCEEFF"/>
              <w:bottom w:val="single" w:sz="8" w:color="auto"/>
            </w:tcBorders>
            <w:gridSpan w:val="11"/>
          </w:tcPr>
          <w:p>
            <w:pPr>
              <w:jc w:val="center"/>
              <w:ind w:left="3250"/>
              <w:spacing w:after="0"/>
              <w:rPr>
                <w:sz w:val="20"/>
                <w:szCs w:val="20"/>
                <w:color w:val="auto"/>
              </w:rPr>
            </w:pPr>
            <w:r>
              <w:rPr>
                <w:rFonts w:ascii="Arial" w:cs="Arial" w:eastAsia="Arial" w:hAnsi="Arial"/>
                <w:sz w:val="18"/>
                <w:szCs w:val="18"/>
                <w:color w:val="auto"/>
                <w:w w:val="79"/>
              </w:rPr>
              <w:t>2</w:t>
            </w:r>
          </w:p>
        </w:tc>
        <w:tc>
          <w:tcPr>
            <w:tcW w:w="46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14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gridSpan w:val="3"/>
          </w:tcPr>
          <w:p>
            <w:pPr>
              <w:ind w:left="4320"/>
              <w:spacing w:after="0"/>
              <w:rPr>
                <w:sz w:val="20"/>
                <w:szCs w:val="20"/>
                <w:color w:val="auto"/>
              </w:rPr>
            </w:pPr>
            <w:r>
              <w:rPr>
                <w:rFonts w:ascii="Arial" w:cs="Arial" w:eastAsia="Arial" w:hAnsi="Arial"/>
                <w:sz w:val="18"/>
                <w:szCs w:val="18"/>
                <w:b w:val="1"/>
                <w:bCs w:val="1"/>
                <w:color w:val="auto"/>
                <w:w w:val="90"/>
              </w:rPr>
              <w:t>(Except share and per share data)</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As of June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As of December 31,</w:t>
            </w:r>
          </w:p>
        </w:tc>
      </w:tr>
      <w:tr>
        <w:trPr>
          <w:trHeight w:val="233"/>
        </w:trPr>
        <w:tc>
          <w:tcPr>
            <w:tcW w:w="6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37"/>
        </w:trPr>
        <w:tc>
          <w:tcPr>
            <w:tcW w:w="6080" w:type="dxa"/>
            <w:vAlign w:val="bottom"/>
          </w:tcPr>
          <w:p>
            <w:pPr>
              <w:spacing w:after="0"/>
              <w:rPr>
                <w:sz w:val="20"/>
                <w:szCs w:val="20"/>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Notes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Unaudited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Audited</w:t>
            </w:r>
          </w:p>
        </w:tc>
      </w:tr>
      <w:tr>
        <w:trPr>
          <w:trHeight w:val="216"/>
        </w:trPr>
        <w:tc>
          <w:tcPr>
            <w:tcW w:w="6080" w:type="dxa"/>
            <w:vAlign w:val="bottom"/>
            <w:tcBorders>
              <w:top w:val="single" w:sz="8" w:color="CCEEFF"/>
            </w:tcBorders>
            <w:shd w:val="clear" w:color="auto" w:fill="CCEEFF"/>
          </w:tcPr>
          <w:p>
            <w:pPr>
              <w:ind w:left="2600"/>
              <w:spacing w:after="0"/>
              <w:rPr>
                <w:sz w:val="20"/>
                <w:szCs w:val="20"/>
                <w:color w:val="auto"/>
              </w:rPr>
            </w:pPr>
            <w:r>
              <w:rPr>
                <w:rFonts w:ascii="Arial" w:cs="Arial" w:eastAsia="Arial" w:hAnsi="Arial"/>
                <w:sz w:val="18"/>
                <w:szCs w:val="18"/>
                <w:color w:val="auto"/>
              </w:rPr>
              <w:t>ASSETS</w:t>
            </w: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Current assets: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2,442</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4,199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5,760</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deposit</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49"/>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r>
      <w:tr>
        <w:trPr>
          <w:trHeight w:val="203"/>
        </w:trPr>
        <w:tc>
          <w:tcPr>
            <w:tcW w:w="608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6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10,339</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8,814</w:t>
            </w:r>
          </w:p>
        </w:tc>
        <w:tc>
          <w:tcPr>
            <w:tcW w:w="100" w:type="dxa"/>
            <w:vAlign w:val="bottom"/>
            <w:tcBorders>
              <w:top w:val="single" w:sz="8" w:color="CCEEFF"/>
            </w:tcBorders>
          </w:tcPr>
          <w:p>
            <w:pPr>
              <w:spacing w:after="0"/>
              <w:rPr>
                <w:sz w:val="17"/>
                <w:szCs w:val="17"/>
                <w:color w:val="auto"/>
              </w:rPr>
            </w:pPr>
          </w:p>
        </w:tc>
      </w:tr>
      <w:tr>
        <w:trPr>
          <w:trHeight w:val="216"/>
        </w:trPr>
        <w:tc>
          <w:tcPr>
            <w:tcW w:w="6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r>
      <w:tr>
        <w:trPr>
          <w:trHeight w:val="25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Operating right-of-use assets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r>
      <w:tr>
        <w:trPr>
          <w:trHeight w:val="257"/>
        </w:trPr>
        <w:tc>
          <w:tcPr>
            <w:tcW w:w="608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68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10,884</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9,537</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6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80" w:type="dxa"/>
            <w:vAlign w:val="bottom"/>
          </w:tcPr>
          <w:p>
            <w:pPr>
              <w:ind w:left="1080"/>
              <w:spacing w:after="0"/>
              <w:rPr>
                <w:sz w:val="20"/>
                <w:szCs w:val="20"/>
                <w:color w:val="auto"/>
              </w:rPr>
            </w:pPr>
            <w:r>
              <w:rPr>
                <w:rFonts w:ascii="Arial" w:cs="Arial" w:eastAsia="Arial" w:hAnsi="Arial"/>
                <w:sz w:val="18"/>
                <w:szCs w:val="18"/>
                <w:color w:val="auto"/>
              </w:rPr>
              <w:t>LIABILITIES AND STOCKHOLDERS’ EQUITY</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1,670</w:t>
            </w:r>
          </w:p>
        </w:tc>
      </w:tr>
      <w:tr>
        <w:trPr>
          <w:trHeight w:val="216"/>
        </w:trPr>
        <w:tc>
          <w:tcPr>
            <w:tcW w:w="6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6080" w:type="dxa"/>
            <w:vAlign w:val="bottom"/>
          </w:tcPr>
          <w:p>
            <w:pPr>
              <w:ind w:left="180"/>
              <w:spacing w:after="0"/>
              <w:rPr>
                <w:sz w:val="20"/>
                <w:szCs w:val="20"/>
                <w:color w:val="auto"/>
              </w:rPr>
            </w:pPr>
            <w:r>
              <w:rPr>
                <w:rFonts w:ascii="Arial" w:cs="Arial" w:eastAsia="Arial" w:hAnsi="Arial"/>
                <w:sz w:val="18"/>
                <w:szCs w:val="18"/>
                <w:color w:val="auto"/>
              </w:rPr>
              <w:t>Long-term lease liabilities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r>
      <w:tr>
        <w:trPr>
          <w:trHeight w:val="223"/>
        </w:trPr>
        <w:tc>
          <w:tcPr>
            <w:tcW w:w="60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0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Common stock; $0.01 par value; 60,000,000 shares authorized as of June 30,</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2023 and December 31, 2022; 11,707,317 and 7,890,628 shares issued and</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June 30, 2023 and December 31, 2022, respectively.</w:t>
            </w: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83,251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75,970</w:t>
            </w:r>
          </w:p>
        </w:tc>
      </w:tr>
      <w:tr>
        <w:trPr>
          <w:trHeight w:val="25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6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(73,901)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(68,761)</w:t>
            </w:r>
          </w:p>
        </w:tc>
      </w:tr>
      <w:tr>
        <w:trPr>
          <w:trHeight w:val="210"/>
        </w:trPr>
        <w:tc>
          <w:tcPr>
            <w:tcW w:w="60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stockholders’ equity</w:t>
            </w:r>
          </w:p>
        </w:tc>
        <w:tc>
          <w:tcPr>
            <w:tcW w:w="6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9,468</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7,289</w:t>
            </w:r>
          </w:p>
        </w:tc>
        <w:tc>
          <w:tcPr>
            <w:tcW w:w="100" w:type="dxa"/>
            <w:vAlign w:val="bottom"/>
            <w:tcBorders>
              <w:top w:val="single" w:sz="8" w:color="CCEEFF"/>
              <w:bottom w:val="single" w:sz="8" w:color="CCEEFF"/>
            </w:tcBorders>
          </w:tcPr>
          <w:p>
            <w:pPr>
              <w:spacing w:after="0"/>
              <w:rPr>
                <w:sz w:val="18"/>
                <w:szCs w:val="18"/>
                <w:color w:val="auto"/>
              </w:rPr>
            </w:pPr>
          </w:p>
        </w:tc>
      </w:tr>
      <w:tr>
        <w:trPr>
          <w:trHeight w:val="229"/>
        </w:trPr>
        <w:tc>
          <w:tcPr>
            <w:tcW w:w="6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6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10,884</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Interim Consolidated Statements of Comprehensive Loss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ectPr>
          <w:pgSz w:w="11900" w:h="16838" w:orient="portrait"/>
          <w:cols w:equalWidth="0" w:num="1">
            <w:col w:w="11240"/>
          </w:cols>
          <w:pgMar w:left="320" w:top="688" w:right="339" w:bottom="1440" w:gutter="0" w:footer="0" w:header="0"/>
        </w:sectPr>
      </w:pPr>
    </w:p>
    <w:p>
      <w:pPr>
        <w:spacing w:after="0" w:line="225" w:lineRule="exact"/>
        <w:rPr>
          <w:sz w:val="20"/>
          <w:szCs w:val="20"/>
          <w:color w:val="auto"/>
        </w:rPr>
      </w:pPr>
    </w:p>
    <w:p>
      <w:pPr>
        <w:jc w:val="center"/>
        <w:ind w:left="4640"/>
        <w:spacing w:after="0"/>
        <w:rPr>
          <w:sz w:val="20"/>
          <w:szCs w:val="20"/>
          <w:color w:val="auto"/>
        </w:rPr>
      </w:pPr>
      <w:r>
        <w:rPr>
          <w:rFonts w:ascii="Arial" w:cs="Arial" w:eastAsia="Arial" w:hAnsi="Arial"/>
          <w:sz w:val="16"/>
          <w:szCs w:val="16"/>
          <w:b w:val="1"/>
          <w:bCs w:val="1"/>
          <w:color w:val="auto"/>
        </w:rPr>
        <w:t>For the Three Months Ended</w:t>
      </w:r>
    </w:p>
    <w:p>
      <w:pPr>
        <w:spacing w:after="0" w:line="50" w:lineRule="exact"/>
        <w:rPr>
          <w:sz w:val="20"/>
          <w:szCs w:val="20"/>
          <w:color w:val="auto"/>
        </w:rPr>
      </w:pPr>
    </w:p>
    <w:p>
      <w:pPr>
        <w:jc w:val="center"/>
        <w:ind w:left="464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5715</wp:posOffset>
            </wp:positionV>
            <wp:extent cx="1954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4530" cy="17145"/>
                    </a:xfrm>
                    <a:prstGeom prst="rect">
                      <a:avLst/>
                    </a:prstGeom>
                    <a:noFill/>
                  </pic:spPr>
                </pic:pic>
              </a:graphicData>
            </a:graphic>
          </wp:anchor>
        </w:drawing>
      </w:r>
    </w:p>
    <w:p>
      <w:pPr>
        <w:spacing w:after="0" w:line="11" w:lineRule="exact"/>
        <w:rPr>
          <w:sz w:val="20"/>
          <w:szCs w:val="20"/>
          <w:color w:val="auto"/>
        </w:rPr>
      </w:pPr>
    </w:p>
    <w:p>
      <w:pPr>
        <w:ind w:left="5240"/>
        <w:spacing w:after="0"/>
        <w:tabs>
          <w:tab w:leader="none" w:pos="692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For the Six Months Ended</w:t>
      </w:r>
    </w:p>
    <w:p>
      <w:pPr>
        <w:spacing w:after="0" w:line="50"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5715</wp:posOffset>
            </wp:positionV>
            <wp:extent cx="19030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03095" cy="17145"/>
                    </a:xfrm>
                    <a:prstGeom prst="rect">
                      <a:avLst/>
                    </a:prstGeom>
                    <a:noFill/>
                  </pic:spPr>
                </pic:pic>
              </a:graphicData>
            </a:graphic>
          </wp:anchor>
        </w:drawing>
      </w:r>
    </w:p>
    <w:p>
      <w:pPr>
        <w:spacing w:after="0" w:line="11" w:lineRule="exact"/>
        <w:rPr>
          <w:sz w:val="20"/>
          <w:szCs w:val="20"/>
          <w:color w:val="auto"/>
        </w:rPr>
      </w:pPr>
    </w:p>
    <w:p>
      <w:pPr>
        <w:spacing w:after="0"/>
        <w:tabs>
          <w:tab w:leader="none" w:pos="1640" w:val="left"/>
        </w:tabs>
        <w:rPr>
          <w:sz w:val="20"/>
          <w:szCs w:val="20"/>
          <w:color w:val="auto"/>
        </w:rPr>
      </w:pP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2022</w:t>
      </w:r>
    </w:p>
    <w:p>
      <w:pPr>
        <w:spacing w:after="0" w:line="49" w:lineRule="exact"/>
        <w:rPr>
          <w:sz w:val="20"/>
          <w:szCs w:val="20"/>
          <w:color w:val="auto"/>
        </w:rPr>
      </w:pPr>
    </w:p>
    <w:p>
      <w:pPr>
        <w:sectPr>
          <w:pgSz w:w="11900" w:h="16838" w:orient="portrait"/>
          <w:cols w:equalWidth="0" w:num="2">
            <w:col w:w="7900" w:space="720"/>
            <w:col w:w="262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7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Unaudited</w:t>
            </w:r>
          </w:p>
        </w:tc>
        <w:tc>
          <w:tcPr>
            <w:tcW w:w="9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4"/>
          </w:tcPr>
          <w:p>
            <w:pPr>
              <w:jc w:val="right"/>
              <w:ind w:right="147"/>
              <w:spacing w:after="0"/>
              <w:rPr>
                <w:sz w:val="20"/>
                <w:szCs w:val="20"/>
                <w:color w:val="auto"/>
              </w:rPr>
            </w:pPr>
            <w:r>
              <w:rPr>
                <w:rFonts w:ascii="Arial" w:cs="Arial" w:eastAsia="Arial" w:hAnsi="Arial"/>
                <w:sz w:val="18"/>
                <w:szCs w:val="18"/>
                <w:color w:val="auto"/>
              </w:rPr>
              <w:t>Unaudited</w:t>
            </w: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(1,365)</w:t>
            </w: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(2,193)</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(2,982)</w:t>
            </w:r>
          </w:p>
        </w:tc>
        <w:tc>
          <w:tcPr>
            <w:tcW w:w="56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(3,899)</w:t>
            </w:r>
          </w:p>
        </w:tc>
      </w:tr>
      <w:tr>
        <w:trPr>
          <w:trHeight w:val="236"/>
        </w:trPr>
        <w:tc>
          <w:tcPr>
            <w:tcW w:w="47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0"/>
                <w:szCs w:val="20"/>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(959)</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(1,370)</w:t>
            </w:r>
          </w:p>
        </w:tc>
        <w:tc>
          <w:tcPr>
            <w:tcW w:w="34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(2,261)</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(2,840)</w:t>
            </w:r>
          </w:p>
        </w:tc>
      </w:tr>
      <w:tr>
        <w:trPr>
          <w:trHeight w:val="216"/>
        </w:trPr>
        <w:tc>
          <w:tcPr>
            <w:tcW w:w="47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income, net</w:t>
            </w: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w:t>
            </w:r>
          </w:p>
        </w:tc>
      </w:tr>
      <w:tr>
        <w:trPr>
          <w:trHeight w:val="257"/>
        </w:trPr>
        <w:tc>
          <w:tcPr>
            <w:tcW w:w="47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(3,513</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(5,140</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4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74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(0.25)</w:t>
            </w: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(0.49)</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(0.60)</w:t>
            </w:r>
          </w:p>
        </w:tc>
        <w:tc>
          <w:tcPr>
            <w:tcW w:w="56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(0.94)</w:t>
            </w:r>
          </w:p>
        </w:tc>
      </w:tr>
      <w:tr>
        <w:trPr>
          <w:trHeight w:val="155"/>
        </w:trPr>
        <w:tc>
          <w:tcPr>
            <w:tcW w:w="47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Basic and diluted weighted average common shares</w:t>
            </w:r>
          </w:p>
        </w:tc>
        <w:tc>
          <w:tcPr>
            <w:tcW w:w="3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257"/>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3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9,198,806</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7,108,133</w:t>
            </w:r>
          </w:p>
        </w:tc>
        <w:tc>
          <w:tcPr>
            <w:tcW w:w="3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8,609,325</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7,108,133</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8"/>
          </w:tcPr>
          <w:p>
            <w:pPr>
              <w:ind w:left="140"/>
              <w:spacing w:after="0"/>
              <w:rPr>
                <w:sz w:val="20"/>
                <w:szCs w:val="20"/>
                <w:color w:val="auto"/>
              </w:rPr>
            </w:pPr>
            <w:r>
              <w:rPr>
                <w:rFonts w:ascii="Arial" w:cs="Arial" w:eastAsia="Arial" w:hAnsi="Arial"/>
                <w:sz w:val="18"/>
                <w:szCs w:val="18"/>
                <w:b w:val="1"/>
                <w:bCs w:val="1"/>
                <w:color w:val="auto"/>
                <w:w w:val="92"/>
              </w:rPr>
              <w:t>(Except share and per share data)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Additional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55"/>
        </w:trPr>
        <w:tc>
          <w:tcPr>
            <w:tcW w:w="4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40" w:type="dxa"/>
            <w:vAlign w:val="bottom"/>
            <w:gridSpan w:val="8"/>
          </w:tcPr>
          <w:p>
            <w:pPr>
              <w:ind w:left="7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4"/>
          </w:tcPr>
          <w:p>
            <w:pPr>
              <w:jc w:val="right"/>
              <w:ind w:right="101"/>
              <w:spacing w:after="0"/>
              <w:rPr>
                <w:sz w:val="20"/>
                <w:szCs w:val="20"/>
                <w:color w:val="auto"/>
              </w:rPr>
            </w:pPr>
            <w:r>
              <w:rPr>
                <w:rFonts w:ascii="Arial" w:cs="Arial" w:eastAsia="Arial" w:hAnsi="Arial"/>
                <w:sz w:val="18"/>
                <w:szCs w:val="18"/>
                <w:b w:val="1"/>
                <w:bCs w:val="1"/>
                <w:color w:val="auto"/>
                <w:w w:val="91"/>
              </w:rPr>
              <w:t>Accumulated</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top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361"/>
              <w:spacing w:after="0"/>
              <w:rPr>
                <w:sz w:val="20"/>
                <w:szCs w:val="20"/>
                <w:color w:val="auto"/>
              </w:rPr>
            </w:pPr>
            <w:r>
              <w:rPr>
                <w:rFonts w:ascii="Arial" w:cs="Arial" w:eastAsia="Arial" w:hAnsi="Arial"/>
                <w:sz w:val="18"/>
                <w:szCs w:val="18"/>
                <w:b w:val="1"/>
                <w:bCs w:val="1"/>
                <w:color w:val="auto"/>
              </w:rPr>
              <w:t>Deficit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December 31, 2021 (Audited)</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7,108,133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69,902</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(55,593)</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14,381</w:t>
            </w:r>
          </w:p>
        </w:tc>
        <w:tc>
          <w:tcPr>
            <w:tcW w:w="0" w:type="dxa"/>
            <w:vAlign w:val="bottom"/>
          </w:tcPr>
          <w:p>
            <w:pPr>
              <w:spacing w:after="0"/>
              <w:rPr>
                <w:sz w:val="1"/>
                <w:szCs w:val="1"/>
                <w:color w:val="auto"/>
              </w:rPr>
            </w:pPr>
          </w:p>
        </w:tc>
      </w:tr>
      <w:tr>
        <w:trPr>
          <w:trHeight w:val="216"/>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Share-based compensation</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50"/>
        </w:trPr>
        <w:tc>
          <w:tcPr>
            <w:tcW w:w="4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(3,189)</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56"/>
        </w:trPr>
        <w:tc>
          <w:tcPr>
            <w:tcW w:w="4180" w:type="dxa"/>
            <w:vAlign w:val="bottom"/>
            <w:tcBorders>
              <w:top w:val="single" w:sz="8" w:color="CCEEFF"/>
              <w:bottom w:val="single" w:sz="8" w:color="CCEEFF"/>
            </w:tcBorders>
            <w:gridSpan w:val="2"/>
          </w:tcPr>
          <w:p>
            <w:pPr>
              <w:spacing w:after="0"/>
              <w:rPr>
                <w:sz w:val="20"/>
                <w:szCs w:val="20"/>
                <w:color w:val="auto"/>
              </w:rPr>
            </w:pPr>
            <w:r>
              <w:rPr>
                <w:rFonts w:ascii="Arial" w:cs="Arial" w:eastAsia="Arial" w:hAnsi="Arial"/>
                <w:sz w:val="18"/>
                <w:szCs w:val="18"/>
                <w:color w:val="auto"/>
              </w:rPr>
              <w:t>Balances, March 31, 2022 (Unaudited)</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7,108,133</w:t>
            </w:r>
          </w:p>
        </w:tc>
        <w:tc>
          <w:tcPr>
            <w:tcW w:w="2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72</w:t>
            </w:r>
          </w:p>
        </w:tc>
        <w:tc>
          <w:tcPr>
            <w:tcW w:w="2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70,331</w:t>
            </w:r>
          </w:p>
        </w:tc>
        <w:tc>
          <w:tcPr>
            <w:tcW w:w="1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(58,782</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11,621</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18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Share-based compensation</w:t>
            </w:r>
          </w:p>
        </w:tc>
        <w:tc>
          <w:tcPr>
            <w:tcW w:w="1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1"/>
              <w:spacing w:after="0"/>
              <w:rPr>
                <w:sz w:val="20"/>
                <w:szCs w:val="20"/>
                <w:color w:val="auto"/>
              </w:rPr>
            </w:pPr>
            <w:r>
              <w:rPr>
                <w:rFonts w:ascii="Arial" w:cs="Arial" w:eastAsia="Arial" w:hAnsi="Arial"/>
                <w:sz w:val="18"/>
                <w:szCs w:val="18"/>
                <w:color w:val="auto"/>
              </w:rPr>
              <w:t>(3,513)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29"/>
        </w:trPr>
        <w:tc>
          <w:tcPr>
            <w:tcW w:w="4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Balances, June 30, 2022 (Unaudited)</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7,108,133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70,763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(62,295</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55"/>
        </w:trPr>
        <w:tc>
          <w:tcPr>
            <w:tcW w:w="4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40" w:type="dxa"/>
            <w:vAlign w:val="bottom"/>
            <w:gridSpan w:val="8"/>
          </w:tcPr>
          <w:p>
            <w:pPr>
              <w:ind w:left="6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22"/>
                <w:szCs w:val="22"/>
                <w:color w:val="auto"/>
              </w:rPr>
            </w:pPr>
          </w:p>
        </w:tc>
        <w:tc>
          <w:tcPr>
            <w:tcW w:w="1360" w:type="dxa"/>
            <w:vAlign w:val="bottom"/>
            <w:gridSpan w:val="5"/>
          </w:tcPr>
          <w:p>
            <w:pPr>
              <w:jc w:val="right"/>
              <w:ind w:right="221"/>
              <w:spacing w:after="0"/>
              <w:rPr>
                <w:sz w:val="20"/>
                <w:szCs w:val="20"/>
                <w:color w:val="auto"/>
              </w:rPr>
            </w:pPr>
            <w:r>
              <w:rPr>
                <w:rFonts w:ascii="Arial" w:cs="Arial" w:eastAsia="Arial" w:hAnsi="Arial"/>
                <w:sz w:val="18"/>
                <w:szCs w:val="18"/>
                <w:b w:val="1"/>
                <w:bCs w:val="1"/>
                <w:color w:val="auto"/>
                <w:w w:val="91"/>
              </w:rPr>
              <w:t>Accumulated</w:t>
            </w:r>
          </w:p>
        </w:tc>
        <w:tc>
          <w:tcPr>
            <w:tcW w:w="60" w:type="dxa"/>
            <w:vAlign w:val="bottom"/>
          </w:tcPr>
          <w:p>
            <w:pPr>
              <w:spacing w:after="0"/>
              <w:rPr>
                <w:sz w:val="22"/>
                <w:szCs w:val="22"/>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1"/>
              </w:rPr>
              <w:t>Amount</w:t>
            </w:r>
          </w:p>
        </w:tc>
        <w:tc>
          <w:tcPr>
            <w:tcW w:w="34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481"/>
              <w:spacing w:after="0"/>
              <w:rPr>
                <w:sz w:val="20"/>
                <w:szCs w:val="20"/>
                <w:color w:val="auto"/>
              </w:rPr>
            </w:pPr>
            <w:r>
              <w:rPr>
                <w:rFonts w:ascii="Arial" w:cs="Arial" w:eastAsia="Arial" w:hAnsi="Arial"/>
                <w:sz w:val="18"/>
                <w:szCs w:val="18"/>
                <w:b w:val="1"/>
                <w:bCs w:val="1"/>
                <w:color w:val="auto"/>
                <w:w w:val="98"/>
              </w:rPr>
              <w:t>Deficit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December 31, 2022 (Audited)</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7,890,628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75,970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(68,761)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7,289</w:t>
            </w:r>
          </w:p>
        </w:tc>
        <w:tc>
          <w:tcPr>
            <w:tcW w:w="0" w:type="dxa"/>
            <w:vAlign w:val="bottom"/>
          </w:tcPr>
          <w:p>
            <w:pPr>
              <w:spacing w:after="0"/>
              <w:rPr>
                <w:sz w:val="1"/>
                <w:szCs w:val="1"/>
                <w:color w:val="auto"/>
              </w:rPr>
            </w:pPr>
          </w:p>
        </w:tc>
      </w:tr>
      <w:tr>
        <w:trPr>
          <w:trHeight w:val="216"/>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2"/>
        </w:trPr>
        <w:tc>
          <w:tcPr>
            <w:tcW w:w="41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 stock upon exercise of</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240,000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(2,853)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r>
        <w:trPr>
          <w:trHeight w:val="230"/>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March 31, 2023 (Unaudited)</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8,130,628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(71,614</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ind w:left="180"/>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349</w:t>
            </w:r>
          </w:p>
        </w:tc>
        <w:tc>
          <w:tcPr>
            <w:tcW w:w="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349</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 stock and warrants net of</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costs (*)</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3,576,689</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6,558</w:t>
            </w:r>
          </w:p>
        </w:tc>
        <w:tc>
          <w:tcPr>
            <w:tcW w:w="0" w:type="dxa"/>
            <w:vAlign w:val="bottom"/>
          </w:tcPr>
          <w:p>
            <w:pPr>
              <w:spacing w:after="0"/>
              <w:rPr>
                <w:sz w:val="1"/>
                <w:szCs w:val="1"/>
                <w:color w:val="auto"/>
              </w:rPr>
            </w:pPr>
          </w:p>
        </w:tc>
      </w:tr>
      <w:tr>
        <w:trPr>
          <w:trHeight w:val="236"/>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(2,287)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30"/>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June 30, 2023 (Unaudited)</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11,707,317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(73,901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of issuance costs in the amount of $1,075, of which $160 had not been paid as of June 30, 2023. See also Note 5.</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ind w:left="4660"/>
              <w:spacing w:after="0"/>
              <w:rPr>
                <w:sz w:val="20"/>
                <w:szCs w:val="20"/>
                <w:color w:val="auto"/>
              </w:rPr>
            </w:pPr>
            <w:r>
              <w:rPr>
                <w:rFonts w:ascii="Arial" w:cs="Arial" w:eastAsia="Arial" w:hAnsi="Arial"/>
                <w:sz w:val="18"/>
                <w:szCs w:val="18"/>
                <w:b w:val="1"/>
                <w:bCs w:val="1"/>
                <w:color w:val="auto"/>
                <w:w w:val="97"/>
              </w:rPr>
              <w:t>U.S. dollars in thousands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For the Six Months Ended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1130"/>
              <w:spacing w:after="0"/>
              <w:rPr>
                <w:sz w:val="20"/>
                <w:szCs w:val="20"/>
                <w:color w:val="auto"/>
              </w:rPr>
            </w:pPr>
            <w:r>
              <w:rPr>
                <w:rFonts w:ascii="Arial" w:cs="Arial" w:eastAsia="Arial" w:hAnsi="Arial"/>
                <w:sz w:val="18"/>
                <w:szCs w:val="18"/>
                <w:b w:val="1"/>
                <w:bCs w:val="1"/>
                <w:color w:val="auto"/>
              </w:rPr>
              <w:t>June 30,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Unaudited</w:t>
            </w: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Unaudited</w:t>
            </w: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ind w:right="12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1"/>
              <w:spacing w:after="0"/>
              <w:rPr>
                <w:sz w:val="20"/>
                <w:szCs w:val="20"/>
                <w:color w:val="auto"/>
              </w:rPr>
            </w:pPr>
            <w:r>
              <w:rPr>
                <w:rFonts w:ascii="Arial" w:cs="Arial" w:eastAsia="Arial" w:hAnsi="Arial"/>
                <w:sz w:val="18"/>
                <w:szCs w:val="18"/>
                <w:color w:val="auto"/>
                <w:w w:val="98"/>
              </w:rPr>
              <w:t>(5,140)</w:t>
            </w:r>
          </w:p>
        </w:tc>
        <w:tc>
          <w:tcPr>
            <w:tcW w:w="1500" w:type="dxa"/>
            <w:vAlign w:val="bottom"/>
            <w:gridSpan w:val="2"/>
          </w:tcPr>
          <w:p>
            <w:pPr>
              <w:jc w:val="right"/>
              <w:ind w:right="119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(6,702)</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flows used in operating activities: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and accrued interest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Interest income and unrealized gains from marketable securities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6780" w:type="dxa"/>
            <w:vAlign w:val="bottom"/>
          </w:tcPr>
          <w:p>
            <w:pPr>
              <w:ind w:left="180"/>
              <w:spacing w:after="0"/>
              <w:rPr>
                <w:sz w:val="20"/>
                <w:szCs w:val="20"/>
                <w:color w:val="auto"/>
              </w:rPr>
            </w:pPr>
            <w:r>
              <w:rPr>
                <w:rFonts w:ascii="Arial" w:cs="Arial" w:eastAsia="Arial" w:hAnsi="Arial"/>
                <w:sz w:val="18"/>
                <w:szCs w:val="18"/>
                <w:color w:val="auto"/>
              </w:rPr>
              <w:t>Other payables and accrued liabilities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gridSpan w:val="2"/>
          </w:tcPr>
          <w:p>
            <w:pPr>
              <w:jc w:val="right"/>
              <w:ind w:right="61"/>
              <w:spacing w:after="0"/>
              <w:rPr>
                <w:sz w:val="20"/>
                <w:szCs w:val="20"/>
                <w:color w:val="auto"/>
              </w:rPr>
            </w:pPr>
            <w:r>
              <w:rPr>
                <w:rFonts w:ascii="Arial" w:cs="Arial" w:eastAsia="Arial" w:hAnsi="Arial"/>
                <w:sz w:val="18"/>
                <w:szCs w:val="18"/>
                <w:color w:val="auto"/>
                <w:w w:val="98"/>
              </w:rPr>
              <w:t>(1,012)</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6"/>
        </w:trPr>
        <w:tc>
          <w:tcPr>
            <w:tcW w:w="67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flows used in operating activities</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(5,057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6780" w:type="dxa"/>
            <w:vAlign w:val="bottom"/>
          </w:tcPr>
          <w:p>
            <w:pPr>
              <w:spacing w:after="0" w:line="203" w:lineRule="exact"/>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Purchases of marketable securities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Arial" w:cs="Arial" w:eastAsia="Arial" w:hAnsi="Arial"/>
                <w:sz w:val="18"/>
                <w:szCs w:val="18"/>
                <w:color w:val="auto"/>
                <w:w w:val="98"/>
              </w:rPr>
              <w:t>(3,194)</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a marketable security</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Proceeds from maturities of marketable securities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Arial" w:cs="Arial" w:eastAsia="Arial" w:hAnsi="Arial"/>
                <w:sz w:val="18"/>
                <w:szCs w:val="18"/>
                <w:color w:val="auto"/>
              </w:rPr>
              <w:t>3,789</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 term deposit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flows provided by (used in) investing activities</w:t>
            </w:r>
          </w:p>
        </w:tc>
        <w:tc>
          <w:tcPr>
            <w:tcW w:w="200" w:type="dxa"/>
            <w:vAlign w:val="bottom"/>
            <w:tcBorders>
              <w:top w:val="single" w:sz="8" w:color="CCEEFF"/>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1,588</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 and warrants, net of issuance costs</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6,719</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Net cash flows provided by financing activities</w:t>
            </w:r>
          </w:p>
        </w:tc>
        <w:tc>
          <w:tcPr>
            <w:tcW w:w="200" w:type="dxa"/>
            <w:vAlign w:val="bottom"/>
            <w:tcBorders>
              <w:top w:val="single" w:sz="8" w:color="CCEEFF"/>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6,719</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Increase (decrease) in cash, cash equivalents and restricted cash</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Arial" w:cs="Arial" w:eastAsia="Arial" w:hAnsi="Arial"/>
                <w:sz w:val="18"/>
                <w:szCs w:val="18"/>
                <w:color w:val="auto"/>
              </w:rPr>
              <w:t>3,250</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(6,209)</w:t>
            </w:r>
          </w:p>
        </w:tc>
        <w:tc>
          <w:tcPr>
            <w:tcW w:w="0" w:type="dxa"/>
            <w:vAlign w:val="bottom"/>
          </w:tcPr>
          <w:p>
            <w:pPr>
              <w:spacing w:after="0"/>
              <w:rPr>
                <w:sz w:val="1"/>
                <w:szCs w:val="1"/>
                <w:color w:val="auto"/>
              </w:rPr>
            </w:pPr>
          </w:p>
        </w:tc>
      </w:tr>
      <w:tr>
        <w:trPr>
          <w:trHeight w:val="25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2,519</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4"/>
              </w:rPr>
              <w:t>13,580</w:t>
            </w:r>
          </w:p>
        </w:tc>
        <w:tc>
          <w:tcPr>
            <w:tcW w:w="0" w:type="dxa"/>
            <w:vAlign w:val="bottom"/>
          </w:tcPr>
          <w:p>
            <w:pPr>
              <w:spacing w:after="0"/>
              <w:rPr>
                <w:sz w:val="1"/>
                <w:szCs w:val="1"/>
                <w:color w:val="auto"/>
              </w:rPr>
            </w:pPr>
          </w:p>
        </w:tc>
      </w:tr>
      <w:tr>
        <w:trPr>
          <w:trHeight w:val="257"/>
        </w:trPr>
        <w:tc>
          <w:tcPr>
            <w:tcW w:w="678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color w:val="auto"/>
              </w:rPr>
              <w:t>Cash, cash equivalents and restricted cash at end of period</w:t>
            </w:r>
          </w:p>
        </w:tc>
        <w:tc>
          <w:tcPr>
            <w:tcW w:w="200" w:type="dxa"/>
            <w:vAlign w:val="bottom"/>
            <w:tcBorders>
              <w:top w:val="single" w:sz="8" w:color="CCEEFF"/>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12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5,769</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11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7,371</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received from interest</w:t>
            </w:r>
          </w:p>
        </w:tc>
        <w:tc>
          <w:tcPr>
            <w:tcW w:w="1600" w:type="dxa"/>
            <w:vAlign w:val="bottom"/>
            <w:gridSpan w:val="2"/>
            <w:shd w:val="clear" w:color="auto" w:fill="CCEEFF"/>
          </w:tcPr>
          <w:p>
            <w:pPr>
              <w:jc w:val="right"/>
              <w:ind w:right="12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75</w:t>
            </w:r>
          </w:p>
        </w:tc>
        <w:tc>
          <w:tcPr>
            <w:tcW w:w="1500" w:type="dxa"/>
            <w:vAlign w:val="bottom"/>
            <w:gridSpan w:val="2"/>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Right-of-use asset and lease liability</w:t>
            </w: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1400" w:type="dxa"/>
            <w:vAlign w:val="bottom"/>
            <w:tcBorders>
              <w:bottom w:val="single" w:sz="8" w:color="auto"/>
            </w:tcBorders>
          </w:tcPr>
          <w:p>
            <w:pPr>
              <w:jc w:val="right"/>
              <w:ind w:right="121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tcPr>
          <w:p>
            <w:pPr>
              <w:jc w:val="right"/>
              <w:ind w:right="119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7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Issuance expenses</w:t>
            </w:r>
          </w:p>
        </w:tc>
        <w:tc>
          <w:tcPr>
            <w:tcW w:w="2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21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19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Description of business</w:t>
      </w:r>
    </w:p>
    <w:p>
      <w:pPr>
        <w:spacing w:after="0" w:line="22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robotic technologies with the goal of redefining surgical robotics while improving surgical outcomes for patients.</w:t>
      </w:r>
    </w:p>
    <w:p>
      <w:pPr>
        <w:spacing w:after="0" w:line="18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84"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par value $0.01 per share (the “Common Stock”) began trading on the Nasdaq Capital Market under the symbol “MBOT”.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and Microbot Israel, its sole subsidiary, are sometimes collectively referred to as the “Company” as the context may require.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Risk Factors</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To date, the Company has not generated revenues from its operations. As of June 30, 2023, the Company had cash equivalents and marketable securities balance of approximately $9,920, excluding encumbered cash, which management believes is sufficient to fund its operations for eight months from the filing date of this Quarterly Report on Form 10-Q. Accordingly, as of such filing date, there is a substantial doubt as to the Company’s ability to continue as a going concern.</w:t>
      </w:r>
    </w:p>
    <w:p>
      <w:pPr>
        <w:spacing w:after="0" w:line="187"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Due to continuing research and development activities, the Company expects to continue to incur additional losses for the foreseeable future. While management of the Company believes that it has sufficient funds until approximately April 2024, partially as a result of the Company’s cost reduction program implemented in May 2023 and capital raises in May and June 2023,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 Use of estimates</w:t>
      </w:r>
    </w:p>
    <w:p>
      <w:pPr>
        <w:spacing w:after="0" w:line="229"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ind w:left="340"/>
        <w:spacing w:after="0"/>
        <w:rPr>
          <w:sz w:val="20"/>
          <w:szCs w:val="20"/>
          <w:color w:val="auto"/>
        </w:rPr>
      </w:pPr>
      <w:r>
        <w:rPr>
          <w:rFonts w:ascii="Arial" w:cs="Arial" w:eastAsia="Arial" w:hAnsi="Arial"/>
          <w:sz w:val="18"/>
          <w:szCs w:val="18"/>
          <w:b w:val="1"/>
          <w:bCs w:val="1"/>
          <w:color w:val="auto"/>
        </w:rPr>
        <w:t>D. Unaudited Interim Financial Statements</w:t>
      </w:r>
    </w:p>
    <w:p>
      <w:pPr>
        <w:spacing w:after="0" w:line="2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Operating results for the six and three-month periods ended June 30, 2023, are not necessarily indicative of the results that may be expected for the year ended December 31,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significant accounting policies followed in the preparation of these unaudited interim consolidated financial statements are identical to those applied in the preparation of the latest annual audited financial statements.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carrying values of cash and cash equivalents, other receivables and other accounts payable and accrued liabilities approximate their fair value due to the short-term maturity of these instruments.</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(unadjusted) in active markets for identical assets and liabilities.</w:t>
      </w:r>
    </w:p>
    <w:p>
      <w:pPr>
        <w:spacing w:after="0" w:line="225" w:lineRule="exact"/>
        <w:rPr>
          <w:sz w:val="20"/>
          <w:szCs w:val="20"/>
          <w:color w:val="auto"/>
        </w:rPr>
      </w:pPr>
    </w:p>
    <w:p>
      <w:pPr>
        <w:jc w:val="both"/>
        <w:ind w:left="340" w:right="2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Level 1 that are observable, either directly or indirectly, such as unadjusted quoted prices for similar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Level 3 </w:t>
      </w:r>
      <w:r>
        <w:rPr>
          <w:rFonts w:ascii="Arial" w:cs="Arial" w:eastAsia="Arial" w:hAnsi="Arial"/>
          <w:sz w:val="17"/>
          <w:szCs w:val="17"/>
          <w:color w:val="auto"/>
        </w:rPr>
        <w:t>- Unobservable inputs that are supported by little or no market activity and that are significant to the fair value of the assets or liabilities.</w:t>
      </w:r>
    </w:p>
    <w:p>
      <w:pPr>
        <w:spacing w:after="0" w:line="24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following tables summarizes the Company’s financial assets subject to fair value measurement and the level of inputs used in such measurements as of June 30, 2023 and December 31, 2022:</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4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298"/>
              <w:spacing w:after="0"/>
              <w:rPr>
                <w:sz w:val="20"/>
                <w:szCs w:val="20"/>
                <w:color w:val="auto"/>
              </w:rPr>
            </w:pPr>
            <w:r>
              <w:rPr>
                <w:rFonts w:ascii="Arial" w:cs="Arial" w:eastAsia="Arial" w:hAnsi="Arial"/>
                <w:sz w:val="18"/>
                <w:szCs w:val="18"/>
                <w:b w:val="1"/>
                <w:bCs w:val="1"/>
                <w:color w:val="auto"/>
              </w:rPr>
              <w:t>As of June 30, 2023</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r>
      <w:tr>
        <w:trPr>
          <w:trHeight w:val="216"/>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0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1,596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1,596</w:t>
            </w:r>
          </w:p>
        </w:tc>
        <w:tc>
          <w:tcPr>
            <w:tcW w:w="1100" w:type="dxa"/>
            <w:vAlign w:val="bottom"/>
            <w:gridSpan w:val="2"/>
          </w:tcPr>
          <w:p>
            <w:pPr>
              <w:jc w:val="right"/>
              <w:ind w:right="798"/>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97"/>
        </w:trPr>
        <w:tc>
          <w:tcPr>
            <w:tcW w:w="40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2,562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2,562</w:t>
            </w:r>
          </w:p>
        </w:tc>
        <w:tc>
          <w:tcPr>
            <w:tcW w:w="1100" w:type="dxa"/>
            <w:vAlign w:val="bottom"/>
            <w:gridSpan w:val="2"/>
            <w:shd w:val="clear" w:color="auto" w:fill="CCEEFF"/>
          </w:tcPr>
          <w:p>
            <w:pPr>
              <w:jc w:val="right"/>
              <w:ind w:right="798"/>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020" w:type="dxa"/>
            <w:vAlign w:val="bottom"/>
          </w:tcPr>
          <w:p>
            <w:pPr>
              <w:spacing w:after="0"/>
              <w:rPr>
                <w:sz w:val="20"/>
                <w:szCs w:val="20"/>
                <w:color w:val="auto"/>
              </w:rPr>
            </w:pPr>
            <w:r>
              <w:rPr>
                <w:rFonts w:ascii="Arial" w:cs="Arial" w:eastAsia="Arial" w:hAnsi="Arial"/>
                <w:sz w:val="18"/>
                <w:szCs w:val="18"/>
                <w:color w:val="auto"/>
              </w:rPr>
              <w:t>Money market mutual funds</w:t>
            </w:r>
          </w:p>
        </w:tc>
        <w:tc>
          <w:tcPr>
            <w:tcW w:w="24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1,637</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1,637</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0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98"/>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7"/>
              </w:rPr>
              <w:t>As of December 31, 2022</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6"/>
        </w:trPr>
        <w:tc>
          <w:tcPr>
            <w:tcW w:w="6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83"/>
        </w:trPr>
        <w:tc>
          <w:tcPr>
            <w:tcW w:w="66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1,247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1,247</w:t>
            </w:r>
          </w:p>
        </w:tc>
        <w:tc>
          <w:tcPr>
            <w:tcW w:w="1100" w:type="dxa"/>
            <w:vAlign w:val="bottom"/>
            <w:gridSpan w:val="2"/>
          </w:tcPr>
          <w:p>
            <w:pPr>
              <w:jc w:val="right"/>
              <w:ind w:right="798"/>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8"/>
              </w:rPr>
              <w:t>3,761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3,761</w:t>
            </w:r>
          </w:p>
        </w:tc>
        <w:tc>
          <w:tcPr>
            <w:tcW w:w="1100" w:type="dxa"/>
            <w:vAlign w:val="bottom"/>
            <w:gridSpan w:val="2"/>
            <w:shd w:val="clear" w:color="auto" w:fill="CCEEFF"/>
          </w:tcPr>
          <w:p>
            <w:pPr>
              <w:jc w:val="right"/>
              <w:ind w:right="798"/>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r>
      <w:tr>
        <w:trPr>
          <w:trHeight w:val="236"/>
        </w:trPr>
        <w:tc>
          <w:tcPr>
            <w:tcW w:w="6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Money market mutual funds</w:t>
            </w:r>
          </w:p>
        </w:tc>
        <w:tc>
          <w:tcPr>
            <w:tcW w:w="240" w:type="dxa"/>
            <w:vAlign w:val="bottom"/>
          </w:tcPr>
          <w:p>
            <w:pPr>
              <w:spacing w:after="0"/>
              <w:rPr>
                <w:sz w:val="20"/>
                <w:szCs w:val="20"/>
                <w:color w:val="auto"/>
              </w:rPr>
            </w:pP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1,999</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1,999</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r>
      <w:tr>
        <w:trPr>
          <w:trHeight w:val="229"/>
        </w:trPr>
        <w:tc>
          <w:tcPr>
            <w:tcW w:w="660" w:type="dxa"/>
            <w:vAlign w:val="bottom"/>
          </w:tcPr>
          <w:p>
            <w:pPr>
              <w:spacing w:after="0"/>
              <w:rPr>
                <w:sz w:val="19"/>
                <w:szCs w:val="19"/>
                <w:color w:val="auto"/>
              </w:rPr>
            </w:pPr>
          </w:p>
        </w:tc>
        <w:tc>
          <w:tcPr>
            <w:tcW w:w="40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88"/>
              </w:rPr>
              <w:t>5,760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98"/>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20"/>
        </w:trPr>
        <w:tc>
          <w:tcPr>
            <w:tcW w:w="6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79"/>
              </w:rPr>
              <w:t>8</w:t>
            </w: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8" w:name="page9"/>
    <w:bookmarkEnd w:id="8"/>
    <w:p>
      <w:pPr>
        <w:jc w:val="both"/>
        <w:ind w:left="340"/>
        <w:spacing w:after="0" w:line="263" w:lineRule="auto"/>
        <w:rPr>
          <w:sz w:val="20"/>
          <w:szCs w:val="20"/>
          <w:color w:val="auto"/>
        </w:rPr>
      </w:pPr>
      <w:r>
        <w:rPr>
          <w:rFonts w:ascii="Arial" w:cs="Arial" w:eastAsia="Arial" w:hAnsi="Arial"/>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June 30, 2023 and December 31, 2022.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Management records and discloses legal contingencies in accordance with ASC Topic 450, Contingencies. Accordingly, management of the Company will recognize a liability for a legal contingency when it is both probable that a liability has been incurred and the amount of the loss can be reasonably estimated. The Company monitors the stage of progress of its litigation matters in each reporting period in order to determine if any adjustments are required.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w:t>
      </w:r>
    </w:p>
    <w:p>
      <w:pPr>
        <w:spacing w:after="0" w:line="2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Company has lease agreements with lease and non-lease components, which it accounts for as a single lease component. The Company has elected not to recognize ROU assets and lease liabilities for short-term leases that have a term of 12 months or less. The effect of short-term leases on the Company’s ROU assets and lease liabilities was not material for the periods presented. The Company’s lease agreements do not contain any material residual value guarantees or material restrictive covenants. In addition, the Company does not have any related party leases and its sublease transactions are de minimis.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35"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17145</wp:posOffset>
            </wp:positionV>
            <wp:extent cx="26314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30" w:lineRule="exact"/>
        <w:rPr>
          <w:sz w:val="20"/>
          <w:szCs w:val="20"/>
          <w:color w:val="auto"/>
        </w:rPr>
      </w:pPr>
    </w:p>
    <w:p>
      <w:pPr>
        <w:ind w:left="7760"/>
        <w:spacing w:after="0"/>
        <w:tabs>
          <w:tab w:leader="none" w:pos="998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17145</wp:posOffset>
            </wp:positionV>
            <wp:extent cx="26314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payments and expenses</w:t>
            </w:r>
          </w:p>
        </w:tc>
        <w:tc>
          <w:tcPr>
            <w:tcW w:w="3180" w:type="dxa"/>
            <w:vAlign w:val="bottom"/>
            <w:gridSpan w:val="2"/>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r>
      <w:tr>
        <w:trPr>
          <w:trHeight w:val="432"/>
        </w:trPr>
        <w:tc>
          <w:tcPr>
            <w:tcW w:w="8360" w:type="dxa"/>
            <w:vAlign w:val="bottom"/>
            <w:gridSpan w:val="3"/>
          </w:tcPr>
          <w:p>
            <w:pPr>
              <w:ind w:left="340"/>
              <w:spacing w:after="0"/>
              <w:rPr>
                <w:sz w:val="20"/>
                <w:szCs w:val="20"/>
                <w:color w:val="auto"/>
              </w:rPr>
            </w:pPr>
            <w:r>
              <w:rPr>
                <w:rFonts w:ascii="Arial" w:cs="Arial" w:eastAsia="Arial" w:hAnsi="Arial"/>
                <w:sz w:val="18"/>
                <w:szCs w:val="18"/>
                <w:color w:val="auto"/>
                <w:w w:val="98"/>
              </w:rPr>
              <w:t>Undiscounted maturities of operating lease payments as of June 30, 2023 are summarized as follows:</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2023 (Remainder of the year)</w:t>
            </w:r>
          </w:p>
        </w:tc>
        <w:tc>
          <w:tcPr>
            <w:tcW w:w="17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2024</w:t>
            </w:r>
          </w:p>
        </w:tc>
        <w:tc>
          <w:tcPr>
            <w:tcW w:w="1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3"/>
          </w:tcPr>
          <w:p>
            <w:pPr>
              <w:jc w:val="right"/>
              <w:ind w:right="100"/>
              <w:spacing w:after="0"/>
              <w:rPr>
                <w:sz w:val="20"/>
                <w:szCs w:val="20"/>
                <w:color w:val="auto"/>
              </w:rPr>
            </w:pPr>
            <w:r>
              <w:rPr>
                <w:rFonts w:ascii="Arial" w:cs="Arial" w:eastAsia="Arial" w:hAnsi="Arial"/>
                <w:sz w:val="18"/>
                <w:szCs w:val="18"/>
                <w:color w:val="auto"/>
              </w:rPr>
              <w:t>188</w:t>
            </w:r>
          </w:p>
        </w:tc>
      </w:tr>
      <w:tr>
        <w:trPr>
          <w:trHeight w:val="25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7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03"/>
        </w:trPr>
        <w:tc>
          <w:tcPr>
            <w:tcW w:w="51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future lease payments</w:t>
            </w:r>
          </w:p>
        </w:tc>
        <w:tc>
          <w:tcPr>
            <w:tcW w:w="172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336</w:t>
            </w:r>
          </w:p>
        </w:tc>
        <w:tc>
          <w:tcPr>
            <w:tcW w:w="100" w:type="dxa"/>
            <w:vAlign w:val="bottom"/>
            <w:tcBorders>
              <w:top w:val="single" w:sz="8" w:color="CCEEFF"/>
            </w:tcBorders>
          </w:tcPr>
          <w:p>
            <w:pPr>
              <w:spacing w:after="0"/>
              <w:rPr>
                <w:sz w:val="17"/>
                <w:szCs w:val="17"/>
                <w:color w:val="auto"/>
              </w:rPr>
            </w:pPr>
          </w:p>
        </w:tc>
      </w:tr>
      <w:tr>
        <w:trPr>
          <w:trHeight w:val="25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7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5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lease liability balance</w:t>
            </w:r>
          </w:p>
        </w:tc>
        <w:tc>
          <w:tcPr>
            <w:tcW w:w="17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top w:val="single" w:sz="8" w:color="CCEEFF"/>
            </w:tcBorders>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8"/>
        </w:trPr>
        <w:tc>
          <w:tcPr>
            <w:tcW w:w="5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jc w:val="center"/>
              <w:ind w:left="330"/>
              <w:spacing w:after="0"/>
              <w:rPr>
                <w:sz w:val="20"/>
                <w:szCs w:val="20"/>
                <w:color w:val="auto"/>
              </w:rPr>
            </w:pPr>
            <w:r>
              <w:rPr>
                <w:rFonts w:ascii="Arial" w:cs="Arial" w:eastAsia="Arial" w:hAnsi="Arial"/>
                <w:sz w:val="18"/>
                <w:szCs w:val="18"/>
                <w:b w:val="1"/>
                <w:bCs w:val="1"/>
                <w:color w:val="auto"/>
                <w:w w:val="88"/>
              </w:rPr>
              <w:t>June 30,</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5180" w:type="dxa"/>
            <w:vAlign w:val="bottom"/>
          </w:tcPr>
          <w:p>
            <w:pPr>
              <w:spacing w:after="0"/>
              <w:rPr>
                <w:sz w:val="20"/>
                <w:szCs w:val="20"/>
                <w:color w:val="auto"/>
              </w:rPr>
            </w:pPr>
          </w:p>
        </w:tc>
        <w:tc>
          <w:tcPr>
            <w:tcW w:w="31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6"/>
              </w:rPr>
              <w:t>Operating leases weighted average remaining lease term (in years)</w:t>
            </w:r>
          </w:p>
        </w:tc>
        <w:tc>
          <w:tcPr>
            <w:tcW w:w="17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Operating leases weighted average discount rate</w:t>
            </w:r>
          </w:p>
        </w:tc>
        <w:tc>
          <w:tcPr>
            <w:tcW w:w="17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3"/>
          </w:tcPr>
          <w:p>
            <w:pPr>
              <w:ind w:left="1520"/>
              <w:spacing w:after="0"/>
              <w:rPr>
                <w:sz w:val="20"/>
                <w:szCs w:val="20"/>
                <w:color w:val="auto"/>
              </w:rPr>
            </w:pPr>
            <w:r>
              <w:rPr>
                <w:rFonts w:ascii="Arial" w:cs="Arial" w:eastAsia="Arial" w:hAnsi="Arial"/>
                <w:sz w:val="18"/>
                <w:szCs w:val="18"/>
                <w:color w:val="auto"/>
                <w:w w:val="92"/>
              </w:rPr>
              <w:t>9%</w:t>
            </w:r>
          </w:p>
        </w:tc>
      </w:tr>
      <w:tr>
        <w:trPr>
          <w:trHeight w:val="425"/>
        </w:trPr>
        <w:tc>
          <w:tcPr>
            <w:tcW w:w="5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rPr>
              <w:t>9</w:t>
            </w:r>
          </w:p>
        </w:tc>
        <w:tc>
          <w:tcPr>
            <w:tcW w:w="1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4 - COMMITMENTS AND CONTINGENCIES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Government Grants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Microbot Israel has received grants from the Israeli Innovation Authority (“IIA”) for participation in research and development since 2013 through June 30, 2023 totaling approximately $1,500.</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In addition, as a result of the agreement with CardioSert Ltd. (“CardioSert”) on January 4, 2018, Microbot Israel took over the liability to repay CardioSert’s IIA grants in the aggregate amount of approximately $530.</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As a result of the agreement with Nitiloop Ltd., an Israeli limited liability company (“Nitiloop”), on October 6, 2022, Microbot Israel took over the liability to repay Nitiloop’s IIA grants in the aggregate amount of approximately $925.</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relation to the IIA grants described above, the Company is obligated to pay royalties amounting to 3%-5% of its future sales of the products relating to such grants.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grants are linked to the exchange rate of the dollar to the New Israeli Shekel and bears interest of Libor per annum.</w:t>
      </w:r>
    </w:p>
    <w:p>
      <w:pPr>
        <w:spacing w:after="0" w:line="225" w:lineRule="exact"/>
        <w:rPr>
          <w:sz w:val="20"/>
          <w:szCs w:val="20"/>
          <w:color w:val="auto"/>
        </w:rPr>
      </w:pPr>
    </w:p>
    <w:p>
      <w:pPr>
        <w:jc w:val="both"/>
        <w:ind w:left="340" w:right="20"/>
        <w:spacing w:after="0" w:line="311" w:lineRule="auto"/>
        <w:rPr>
          <w:sz w:val="20"/>
          <w:szCs w:val="20"/>
          <w:color w:val="auto"/>
        </w:rPr>
      </w:pPr>
      <w:r>
        <w:rPr>
          <w:rFonts w:ascii="Arial" w:cs="Arial" w:eastAsia="Arial" w:hAnsi="Arial"/>
          <w:sz w:val="16"/>
          <w:szCs w:val="16"/>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Approval for Grant from The Israel Innovation Authority</w:t>
      </w:r>
    </w:p>
    <w:p>
      <w:pPr>
        <w:spacing w:after="0" w:line="22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On June 2, 2023, the Company announced that it received approval for a grant from the IIA in the amount of approximately NIS 1.62 million, which based on an exchange rate on such date of NIS 1.00 = $0.26675, would be approximately $433, to further finance the development of the Company’s manufacturing process of the LIBERTY robotic surgical system.</w:t>
      </w:r>
    </w:p>
    <w:p>
      <w:pPr>
        <w:spacing w:after="0" w:line="184"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In relation to the IIA grant, the Company is obligated to pay royalties amounting to between 3%-5% of future sales of the LIBERTY product up to the grant amount plus interest. The grant is linked to the U.S. dollar and bears interest at Libor per annum. The grant funds will be paid over time based on the terms of the grant, and the U.S. dollar amount actually received will be based on the exchange rate of the U.S. dollar to the New Israeli Shekel at the time of payment. See “NOTE 6 - SUBSEQUENT EVENTS” below for further information regarding such grant approval.</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TRDF Agreement</w:t>
      </w:r>
    </w:p>
    <w:p>
      <w:pPr>
        <w:spacing w:after="0" w:line="229"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Microbot Israel signed an agreement with the Technion Research and Development Foundation (“TRDF”) in June 2012 by which TRDF transferred to Microbot Israel a global, exclusive, royalty-bearing license (as amended, the License Agreement”). As partial consideration for the license, Microbot Israel shall pay TRDF royalties on net sales (between 1.5%-3.0%) and on sublicense income as detailed in the agreement.</w:t>
      </w:r>
    </w:p>
    <w:p>
      <w:pPr>
        <w:spacing w:after="0" w:line="165"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color w:val="auto"/>
        </w:rPr>
        <w:t>Pursuant to the License Agreement, both parties agreed to extend the next development milestone for the Company’s Self-Cleaning Shunt (SCS) project, which includes the First In Human milestone, until December 2024, and to continue to maintain the TipCat assets, which are still in a discovery phase, until December 2023. The Company in October 2022 suspended the SCS project while it evaluated alternatives for the SCS assets (mainly related patents), including seeking buyers for the assets, joint ventures or licensing arrangements, spinning off the assets into a new operating company or discontinuing the project altogether. The Company has certain obligations to seek to develop and commercialize the SCS and the TipCat assets under the License Agreement. The Company has been in discussions with TRDF with respect to the suspension of the SCS project and the status of the TipCat assets,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 as the Company has not been successful in any such other opportunities.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Agreement with CardioSert Ltd.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4, 2018, Microbot Israel entered into an agreement with CardioSert to acquire certain of its patent-protected technology (the “Technology”). Pursuant to the Agreement, Microbot Israel made aggregate payments of $300 in cash and 6,738 shares of Common Stock estimated at $74 to complete the acquisition.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As of June 30, 2023, the 50 months period has expired and CardioSert can buy-back the Technology at any time.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each of the above termination events, or in case of breach by Microbot Israel, CardioSert shall have the right to buy back the Technology from Microbot Israel for $1.00, upon 60 days prior written notice, but only 1 year after such termination events. Additionally, the agreement may be terminated by either party upon breach of the other (subject to cure). Until May 2023, Microbot Israel paid CardioSert a monthly consultation fee of NIS40,000 (or approximately US$11, based on an exchange rate of NIS 3.7 to the dollar) covering up to 60 consulting hours per month, relating to the development of the Technology. As a result of its recently enacted core-business focus program and its cost reduction plan, the Company has terminated its agreement with CardioSert effective as of August 17, 2023 and ceased its research and development and commercialization efforts for the Technology, which could result in the Technology being reacquired by CardioSert for nominal consideration.</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the filing date of this Quarterly Report on Form 10-Q, CardioSert has not purchased back the Technology; however, the Company is in discussions with CardioSert with respect to post-termination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ATM Agreement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Any shares sold under the ATM Agreement from time to time will be offered and sold pursuant to the Company’s Registration Statement on Form S-3, which was initially filed on November 25, 2020 and which was declared effective by the SEC on December 4, 2020, and the related prospectus as supplemented by a prospectus supplement that the Company filed on June 10, 2021 (the “June 2021 Prospectus”). To date, the Company has not sold any shares of Common Stock pursuant to the ATM Agreement, and as of October 13, 2022, the Company suspended the ATM Agreement, which otherwise remains in full force and effect, and terminated the June 2021 Prospectus.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Engagement Letter with H.C. Wainwright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16, 2023 and in connection with the registered direct and private placement offerings referred to in Note 5 below, the Company entered into an engagement letter (the “Engagement Letter”) with Wainwright, pursuant to which Wainwright agreed to serve as the exclusive placement agent for the issuance and sale of securities of the Company. As compensation for such placement agent services, the Company has agreed to pay Wainwright an aggregate cash fee equal to 7.0% of the gross proceeds received by the Company from offerings contemplated by the Engagement Letter, plus a management fee equal to 1.0% of the gross proceeds received by the Company from such offerings, as well as other reimbursable expenses. The Company has also agreed to issue to Wainwright or its designees preferred investment options upon the closing of such offerings.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Nitiloop’s Assets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consideration for the acquisition of the Assets, Microbot Israel shall pay royalties to Nitiloop, which shall not, in the aggregate, exceed $8,000, as follows:</w:t>
      </w:r>
    </w:p>
    <w:p>
      <w:pPr>
        <w:spacing w:after="0" w:line="170" w:lineRule="exact"/>
        <w:rPr>
          <w:sz w:val="20"/>
          <w:szCs w:val="20"/>
          <w:color w:val="auto"/>
        </w:rPr>
      </w:pPr>
    </w:p>
    <w:p>
      <w:pPr>
        <w:ind w:left="960" w:hanging="320"/>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Royalties at a rate of 3% of net revenue generated as a result of sales, license or other exploitation of the Devices; and</w:t>
      </w:r>
    </w:p>
    <w:p>
      <w:pPr>
        <w:spacing w:after="0" w:line="23" w:lineRule="exact"/>
        <w:rPr>
          <w:rFonts w:ascii="Arial" w:cs="Arial" w:eastAsia="Arial" w:hAnsi="Arial"/>
          <w:sz w:val="18"/>
          <w:szCs w:val="18"/>
          <w:color w:val="auto"/>
        </w:rPr>
      </w:pPr>
    </w:p>
    <w:p>
      <w:pPr>
        <w:ind w:left="960" w:hanging="320"/>
        <w:spacing w:after="0" w:line="260"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Royalties at a rate of 1.5% of net revenue generated from the sale, license or other exploitation of commercialization of the technology as part of an integrated product.</w:t>
      </w:r>
    </w:p>
    <w:p>
      <w:pPr>
        <w:spacing w:after="0" w:line="18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88" w:right="33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Litigation Resulting from the 2017 Financing</w:t>
      </w:r>
    </w:p>
    <w:p>
      <w:pPr>
        <w:spacing w:after="0" w:line="225"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Company was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seeks rescission of the SPA and return of the Plaintiffs’ $6,750 purchase price with respect to the 2017 Financing. The lawsuit is currently in the discovery phase, and a court-ordered mediation is being scheduled. Management is unable to assess the likelihood that the Company will succeed at trial, having previously lost another lawsuit with respect to the 2017 Financing.</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Mona Litigation</w:t>
      </w:r>
    </w:p>
    <w:p>
      <w:pPr>
        <w:spacing w:after="0" w:line="22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April 28, 2019, the Company brought an action against Alliance Investment Management, Ltd. (“Alliance”), later amended to include Joseph Mona (“Mona”) as a defendant, in the Southern District of New York under Section 16(b) of the Securities Exchange Act of 1934 (the “Exchange Act”), to compel Alliance and Mona to disgorge short swing profits realized from purchases and sales of the Company’s securities within a period of less than six months. The case is Microbot Medical Inc. v. Alliance Investment Management, Ltd., No. 19-cv-3782-GBD (SDNY). The amount of profits was estimated in the complaint to be approximately $468.</w:t>
      </w:r>
    </w:p>
    <w:p>
      <w:pPr>
        <w:spacing w:after="0" w:line="188"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color w:val="auto"/>
        </w:rPr>
        <w:t>On October 28, 2019, Alliance filed a motion for summary judgment requesting that the Court dismiss the claims against Alliance, which was subsequently granted by the Court. On February 4, 2020, Mona answered the 16(b) claim and filed a counterclaim against the Company under Section 10(b) of the Exchange Act and Rule 10b-5 promulgated thereunder, claiming a net loss on trading the Company’s stock of approximately $151.</w:t>
      </w:r>
    </w:p>
    <w:p>
      <w:pPr>
        <w:spacing w:after="0" w:line="14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On March 31, 2021, the Clerk entered a judgment against Mona and in favor of the Company in the amount of approximately $485. On April 27, 2021, Mona filed an appeal of the Court’s judgment, which is pending before the U.S. Court of Appeals for the Second Circuit.</w:t>
      </w:r>
    </w:p>
    <w:p>
      <w:pPr>
        <w:spacing w:after="0" w:line="170"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 June 2021, the Magistrate issued an order permitting Mona to file an Amended Counterclaim Complaint, and rejected the Company’s request to execute on the judgment. The Company filed a response to Mona’s amended counterclaim in July 2021, and in February 2023 filed a motion for summary judgment on Mona’s fraud claim. On August 4, 2023, the Magistrate issued a Report &amp; Recommendation, which recommends that the District Court dismiss Mona’s Section 10(b) counterclaim in the entirety, with prejudice. Objections to the Report &amp; Recommendation are due to be filed on August 18, 2023.</w:t>
      </w:r>
    </w:p>
    <w:p>
      <w:pPr>
        <w:spacing w:after="0" w:line="18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On April 12, 2023, Mona filed a motion to dismiss the Company’s 16(b) claim. That decision is currently on appeal, and the Company believes Mona’s motion is meritless. The Company has opposed the motion to dismiss, which was fully briefed and submitted on May 24, 2023 and is pending before the Court.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SHARE CAPITAL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As of December 31, 2022 and June 30, 2023, the Company had, respectively, 7,890,628 and 11,707,317 shares of Common Stock issued and outstanding.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ind w:left="340"/>
        <w:spacing w:after="0" w:line="277" w:lineRule="auto"/>
        <w:rPr>
          <w:sz w:val="20"/>
          <w:szCs w:val="20"/>
          <w:color w:val="auto"/>
        </w:rPr>
      </w:pPr>
      <w:r>
        <w:rPr>
          <w:rFonts w:ascii="Arial" w:cs="Arial" w:eastAsia="Arial" w:hAnsi="Arial"/>
          <w:sz w:val="18"/>
          <w:szCs w:val="18"/>
          <w:color w:val="auto"/>
        </w:rPr>
        <w:t>On February 13, 2023, 240,000 of the Company’s outstanding pre-funded warrants were exercised into an equivalent number of shares of Common Stock, at an exercise price of $0.0001 per share.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Employee Stock Option Grants</w:t>
      </w:r>
    </w:p>
    <w:p>
      <w:pPr>
        <w:spacing w:after="0" w:line="229"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During the six months ended June 30, 2023, the Company granted stock option awards to certain directors and an employee to purchase an aggregate of 85,000 shares of the Common Stock, at a weighted average exercise price per share of $3.07 and with a vesting period of three years.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Registered Direct and Private Placement Offerings</w:t>
      </w:r>
    </w:p>
    <w:p>
      <w:pPr>
        <w:spacing w:after="0" w:line="2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May 22, 2023, the Company entered into a securities purchase agreement with an institutional investor, pursuant to which it agreed to issue and sell in a registered direct offering an aggregate of 655,569 shares of Common Stock, at an offering price of $2.20 per share, for aggregate gross proceeds of $1,442 before deducting the placement agent fee and related offering expenses of approximately $222 (the “First May Offering”). The Company also issued to Wainwright or its designees preferred investment options to purchase 32,778 shares of Common Stock. The First May Offering was consummated on May 23, 2023.</w:t>
      </w:r>
    </w:p>
    <w:p>
      <w:pPr>
        <w:spacing w:after="0" w:line="188"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On May 23, 2023, the Company entered into a securities purchase agreement with an institutional investor, pursuant to which it agreed to issue and sell in a registered direct offering (i) an aggregate of 975,000 shares of Common Stock, at an offering price of $2.20 per share and (ii) pre-funded warrants exercisable for up to 234,500 shares of the Common Stock, at an offering price of $2.1999 per pre-funded warrant, for aggregate gross proceeds of $2,661 before deducting the placement agent fee and related offering expenses of approximately $345 (the “Second May Offering”). The Company also issued to Wainwright or its designees preferred investment options to purchase 60,476 shares of Common Stock. The Second May Offering was consummated on May 24, 2023. All of such pre-funded warrants were subsequently exercised in accordance with their terms into an equivalent number of shares of Common Stock.</w:t>
      </w:r>
    </w:p>
    <w:p>
      <w:pPr>
        <w:spacing w:after="0" w:line="195"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On June 2, 2023, the Company entered into a securities purchase agreement with institutional investors, pursuant to which it agreed to issue and sell in a registered direct offering an aggregate of 701,756 shares of Common Stock, at an offering price of $2.1375 per share, for aggregate gross proceeds, with the concurrent private placement described below, of $1,500 before deducting the placement agent fee and related offering expenses of approximately $227 (the “First June Offering”). The Company also issued to Wainwright or its designees preferred investment options to purchase 35,088 shares of its Common Stock. The registered direct offering was consummated on June 6, 2023. In a concurrent private placement, the Company also issued to the purchasers of shares of Common Stock in the First June Offering, series C preferred investment options to purchase up to 350,878 shares of Common Stock. Each series C preferred investment option is exercisable for one share of Common Stock at an exercise price of $2.075 commencing on the date of issuance and expiring five and one-half years from the issuance date.</w:t>
      </w:r>
    </w:p>
    <w:p>
      <w:pPr>
        <w:spacing w:after="0" w:line="165"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On June 26, 2023, the Company entered into a securities purchase agreement with institutional investors, pursuant to which it agreed to issue and sell in a registered direct offering an aggregate of 624,618 shares of its Common Stock, at an offering price of $3.25 per share, for aggregate gross proceeds, with the concurrent private placement described below, of $2,030 before deducting the placement agent fee and related offering expenses of approximately $281 (the “Second June Offering”). The Company also issued to Wainwright or its designees preferred investment options to purchase 31,231 shares of its Common Stock. The registered direct offering was consummated on June 28, 2023. In a concurrent private placement, the Company also issued to the purchasers of shares of Common Stock in the Second June Offering, series D preferred investment options to purchase up to 312,309 shares of the Company’s Common Stock. Each series D preferred investment option is exercisable for one share of Common Stock at an exercise price of $3.19 commencing on the date of issuance and expiring five and one-half years from the issuance date.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Preferred Investment Options Amendment</w:t>
      </w:r>
    </w:p>
    <w:p>
      <w:pPr>
        <w:spacing w:after="0" w:line="229"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In connection with the Second May Offering, the Company amended the terms of (i) the Series A preferred investment options to purchase 1,022,495 shares of its Common Stock for an exercise price of $4.64 per share which are scheduled to expire on October 25, 2027 and (ii) the Series B preferred investment options to purchase 1,022,495 shares of its Common Stock for an exercise price of $4.64 per share which were initially scheduled to expire on October 25, 2024 (the “Series B Preferred Investment Options”), in each case previously issued to the investor in October 2022 under the securities purchase agreement dated October 21, 2022 (collectively, the “Existing Preferred Investment Options”), which investor also participated in the Second May Offering, such that effective upon the closing of the Second May Offering, the Existing Preferred Investment Options have a reduced exercise price of $2.20 per share and the Series B Preferred Investment Options expire on October 25, 2027. These modifications represent issuance costs relating to the Existing Preferred Investment Options. The amount of the effect of the modifications is approximately $1,230. On June 16, 2023, the holder of the Series B Preferred Investment Options exercised all of such Series B Preferred Investment Options pursuant to its cashless exercise provision into 385,246 shares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SUBSEQUENT EVENTS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On July 18, 2023, the Company received NIS 567,000 (US$156) from the IIA, relating to its June 2023 grant approval. See “NOTE 4 - COMMITMENTS AND CONTINGENCIES - Approval for Grant from The Israel Innovation Authority”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discussion should be read in conjunction with our unaudited financial statements and related notes included in Item 1, “Financial Statements,” of this Quarterly Report on Form 10-Q, as well as our Annual Report on Form 10-K for the fiscal year ended December 31, 2022.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2022 and in Item 1A. Risk Factors, of this Quarterly Report on Form 10-Q for the fiscal quarter ended June 30, 2023.</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Core-Business Focus Program</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15, 2023, the Board of Directors of the Company authorized, and the Company commenced, a core-business focus program while the Company seeks to raise additional capital to continue development of the LIBERTY robotic system. This core-business focus program includes the cessation of research and development activities not related to LIBERTY, including terminating the Company’s agreement with CardioSert for that technology, and returning intellectual property relating to the SCS (ViRob) and TipCat to Technion Research and Development Foundation.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Reduction Plan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core-business focus program described above, the Board of Directors of the Company authorized, and the Company commenced, a cost reduction plan while the Company seeks to raise additional capital to continue development of the LIBERTY robotic system. This cost reduction plan includes:</w:t>
      </w:r>
    </w:p>
    <w:p>
      <w:pPr>
        <w:spacing w:after="0" w:line="184"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the Company’s research &amp; development and regulatory efforts to complete the LIBERTY’s verification and validation process (“V&amp;V”), complete robotics build-up and execute first in human cases outside the USA.</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Postponing a Good Laboratory Practice study for LIBERTY until the completion of the V&amp;V, which was subsequently rescheduled for August 2023 after additional capital has been raised.</w:t>
      </w: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Harel Gadot, Chairman, President and CEO of the Company, has agreed to a reduction of 50% of his base salary, with terms and conditions with respect to the reduction period to be determined.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other executive officers have agreed to a reduction of 30-40% of base salary as follows:</w:t>
      </w:r>
    </w:p>
    <w:p>
      <w:pPr>
        <w:spacing w:after="0" w:line="210" w:lineRule="exact"/>
        <w:rPr>
          <w:rFonts w:ascii="Arial" w:cs="Arial" w:eastAsia="Arial" w:hAnsi="Arial"/>
          <w:sz w:val="18"/>
          <w:szCs w:val="18"/>
          <w:color w:val="auto"/>
        </w:rPr>
      </w:pPr>
    </w:p>
    <w:p>
      <w:pPr>
        <w:ind w:left="1300" w:hanging="644"/>
        <w:spacing w:after="0" w:line="258"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Rachel Vaknin, CFO. Pursuant to an Addendum to Employment Agreement, Ms. Vaknin’s gross monthly salary was decreased to a gross amount of NIS 35,000.</w:t>
      </w:r>
    </w:p>
    <w:p>
      <w:pPr>
        <w:spacing w:after="0" w:line="1" w:lineRule="exact"/>
        <w:rPr>
          <w:rFonts w:ascii="Arial" w:cs="Arial" w:eastAsia="Arial" w:hAnsi="Arial"/>
          <w:sz w:val="18"/>
          <w:szCs w:val="18"/>
          <w:color w:val="auto"/>
        </w:rPr>
      </w:pPr>
    </w:p>
    <w:p>
      <w:pPr>
        <w:ind w:left="1300" w:hanging="644"/>
        <w:spacing w:after="0" w:line="250"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Simon Sharon, CTO and General Manager. Pursuant to an Addendum to Employment Agreement, Mr. Sharon’s gross monthly salary was decreased to a gross amount of NIS 44,496.</w:t>
      </w:r>
    </w:p>
    <w:p>
      <w:pPr>
        <w:ind w:left="1300" w:right="20" w:hanging="644"/>
        <w:spacing w:after="0" w:line="260"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Eyal Morag, CMO. Pursuant to an Addendum to Employment Agreement, Dr. Morag’s gross monthly salary was decreased to a gross amount of NIS 49,440.</w:t>
      </w:r>
    </w:p>
    <w:p>
      <w:pPr>
        <w:spacing w:after="0" w:line="185" w:lineRule="exact"/>
        <w:rPr>
          <w:rFonts w:ascii="Arial" w:cs="Arial" w:eastAsia="Arial" w:hAnsi="Arial"/>
          <w:sz w:val="18"/>
          <w:szCs w:val="18"/>
          <w:color w:val="auto"/>
        </w:rPr>
      </w:pPr>
    </w:p>
    <w:p>
      <w:pPr>
        <w:ind w:left="660" w:right="2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independent members of the Board of Directors have agreed to a suspension of their quarterly director fees, with reinstatement of such fees to be determined.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Freeze on new hires.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 employee headcount in both the US and Israel offices which are not directly involved in the research &amp; development and/or regulatory process of LIBERTY, while retaining research &amp; development and clinical-related employees to support the completion of the V&amp;V and production of LIBERTY systems.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Professor Moshe Shoham, a co-founder of the Company and currently a member of its Scientific Advisory Board, will waive his SAB fees, with fees payable to the remaining SAB members to be restructured.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Postpone CE activities for the LIBERTY device.</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and June 2023, we raised sufficient capital that, together with the ongoing savings from the cost reduction plan described above, has enabled us to continue our operations through approximately April of 2024, including completion of the V&amp;V study, commencing first-in-human cases planned in Brazil or elsewhere, perform the GLP study and submit the IDE to the US Food &amp; Drug Administration. We continue to seek new sources of capital to stabilize our finances and provide operating runway subsequent to April of 2024. In the event the Company is not successful in raising additional capital by April of 2024, or if the results of the V&amp;V study and first-in-human trials are not promising, the Company may be forced to take more drastic actions to conserve capital or shut down operations entirely.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Completion of Pre-Clinical Study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29, 2023, we announced the successful completion of a two-day pre-clinical study held by leading key opinion leaders at a New York-based research lab, where they performed dozens of catheterizations, including the utilization of the LIBERTY® Robotic Surgical System’s remote operation capabilities, to pre-determined vascular targets, with a 100% success rate of reaching the intended target with no observable on-site complications.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First-In-Human Clinical Cases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recently announced that we have initiated preparations for potential First-In-Human cases in Brazil, by engaging with interventional radiologist Prof. Francisco Cesar Carnevale. The engagement with Prof. Carnevale, from University of Sao Paulo Medical School Hospital, is expected to support our intention to conduct a first-in-human clinical trial in Brazil as part of our ongoing clinical and regulatory efforts. The potential clinical cases are expected to commence upon completion of the V&amp;V process of our LIBERTY Robotic system, as well as obtaining the necessary regulatory approvals to perform those cases.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are also exploring options to conduct First-In-Human trials or cases in other places where the regulatory laws allow.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Catheterization Milestone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3, 2023, we announced that the LIBERTY Robotic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w:t>
      </w:r>
      <w:r>
        <w:rPr>
          <w:rFonts w:ascii="Arial" w:cs="Arial" w:eastAsia="Arial" w:hAnsi="Arial"/>
          <w:sz w:val="29"/>
          <w:szCs w:val="29"/>
          <w:i w:val="1"/>
          <w:iCs w:val="1"/>
          <w:color w:val="auto"/>
          <w:vertAlign w:val="superscript"/>
        </w:rPr>
        <w:t>®</w:t>
      </w:r>
    </w:p>
    <w:p>
      <w:pPr>
        <w:spacing w:after="0" w:line="13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believe LIBERTY’s addressable markets are the Interventional Cardiology, Interventional Radiology and Interventional Neuroradiology markets.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unique characteristics of LIBERTY – compact, mobile, disposable and remotely controlled - open the opportunity of expanding telerobotic interventions to patients with limited access to life-saving procedures, such as mechanical thrombectomy in ischemic stroke.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LIBERTY is being designed to have the following attributes: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Compact size - Eliminates the need for large capital equipment in dedicated cath-lab rooms with dedicated staff.</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Fully disposable - To our knowledge, the first and only fully disposable, robotic system for endovascular procedures.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ind w:left="660" w:right="20" w:hanging="328"/>
        <w:spacing w:after="0" w:line="186" w:lineRule="auto"/>
        <w:tabs>
          <w:tab w:leader="none" w:pos="660" w:val="left"/>
        </w:tabs>
        <w:numPr>
          <w:ilvl w:val="0"/>
          <w:numId w:val="6"/>
        </w:numPr>
        <w:rPr>
          <w:rFonts w:ascii="Arial" w:cs="Arial" w:eastAsia="Arial" w:hAnsi="Arial"/>
          <w:sz w:val="36"/>
          <w:szCs w:val="36"/>
          <w:color w:val="auto"/>
          <w:vertAlign w:val="superscript"/>
        </w:rPr>
      </w:pPr>
      <w:r>
        <w:rPr>
          <w:rFonts w:ascii="Arial" w:cs="Arial" w:eastAsia="Arial" w:hAnsi="Arial"/>
          <w:sz w:val="18"/>
          <w:szCs w:val="18"/>
          <w:color w:val="auto"/>
        </w:rPr>
        <w:t>One &amp; Done</w:t>
      </w:r>
      <w:r>
        <w:rPr>
          <w:rFonts w:ascii="Arial" w:cs="Arial" w:eastAsia="Arial" w:hAnsi="Arial"/>
          <w:sz w:val="29"/>
          <w:szCs w:val="29"/>
          <w:i w:val="1"/>
          <w:iCs w:val="1"/>
          <w:color w:val="auto"/>
          <w:vertAlign w:val="superscript"/>
        </w:rPr>
        <w:t>TM</w:t>
      </w:r>
      <w:r>
        <w:rPr>
          <w:rFonts w:ascii="Arial" w:cs="Arial" w:eastAsia="Arial" w:hAnsi="Arial"/>
          <w:sz w:val="18"/>
          <w:szCs w:val="18"/>
          <w:color w:val="auto"/>
        </w:rPr>
        <w:t xml:space="preserve"> – Can be made compatible with Microbot’s NitiLoop’s NovaCross products or possibly other guidewire/microcatheter technologies, that combines guidewire and microcatheter into a single device.</w:t>
      </w:r>
    </w:p>
    <w:p>
      <w:pPr>
        <w:spacing w:after="0" w:line="1" w:lineRule="exact"/>
        <w:rPr>
          <w:rFonts w:ascii="Arial" w:cs="Arial" w:eastAsia="Arial" w:hAnsi="Arial"/>
          <w:sz w:val="36"/>
          <w:szCs w:val="36"/>
          <w:color w:val="auto"/>
          <w:vertAlign w:val="superscript"/>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 of the art maneuverability - Provides linear, rotational and tip control of its ‌guidewire, as well as linear motion for an additional “over the wire” device.</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Compatibility with a wide range of commercially-available guidewires, microcatheters and guide-catheters.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Ease of use - LIBERTY’s intuitive remote controls aims to simplify advanced procedures while shortening the physician’s learning curve.</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Telemedicine compatible - Capable of supporting tele-catheterization, carried out remotely by highly trained specialists.</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 instruments with our LIBERTY Robotic System to address certain neurovascular procedures. The activities contemplated by the Agreement shall be specified in one or more development plans derived from the terms and conditions set forth in the Agreement. We are still determining scheduling to move the collaboration forward.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2021, we achieved design freeze of the LIBERTY device.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2022, we filed our pre-submission package for the LIBERTY Robotic System with the FDA, addressing the regulatory pathway for the LIBERTY® Robotic System. On July 22, 2022, the Company completed a pre-submission process with the FDA regarding the LIBERTY device. Formal feedback from the FDA included a recommendation to perform a clinical study and a human factors validation study, to support clearance through the 510(k) notification process.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September and October 2022, the Company conducted an animal study at an FDA accredited European-based MedTech research laboratory, which was performed by a team of seasoned Key Opinion Leaders (KOLs) in the endovascular space, using porcine model.</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animal study, the physicians conducted 63 navigations to the targeted sites using the investigational LIBERTY Robotic System and performed an equal number of procedures manually. The LIBERTY Robotic System received positive feedback from participating physicians, and there were no observable immediate intraoperative adverse events, or harm, to the test subjects.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report from the animal study, which included histopathology data (the microscopic examination of tissue to study the manifestations of disease), exhibited equivocal results which were identified as related to unusual physiological animal responses in both manual and robotic test groups.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the results of the study allow it to move forward and focus on the next phases to ultimately include a U.S.-based pivotal pre-clinical study.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together with its regulatory experts and consultants, believe a larger sample size and robust data generated by this study will advance the company’s efforts towards the submission of Investigational Device Exemption (IDE) with the U.S. Food and Drug Administration (FDA).</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Technology from CardioSert</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April 8, 2018, we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 This acquired technology from CardioSert was rebranded by us and trademarked as “One &amp; Done</w:t>
      </w:r>
      <w:r>
        <w:rPr>
          <w:rFonts w:ascii="Arial" w:cs="Arial" w:eastAsia="Arial" w:hAnsi="Arial"/>
          <w:sz w:val="28"/>
          <w:szCs w:val="28"/>
          <w:i w:val="1"/>
          <w:iCs w:val="1"/>
          <w:color w:val="auto"/>
          <w:vertAlign w:val="superscript"/>
        </w:rPr>
        <w:t>TM</w:t>
      </w:r>
      <w:r>
        <w:rPr>
          <w:rFonts w:ascii="Arial" w:cs="Arial" w:eastAsia="Arial" w:hAnsi="Arial"/>
          <w:sz w:val="28"/>
          <w:szCs w:val="28"/>
          <w:color w:val="auto"/>
          <w:vertAlign w:val="superscript"/>
        </w:rPr>
        <w:t>”</w:t>
      </w:r>
      <w:r>
        <w:rPr>
          <w:rFonts w:ascii="Arial" w:cs="Arial" w:eastAsia="Arial" w:hAnsi="Arial"/>
          <w:sz w:val="17"/>
          <w:szCs w:val="17"/>
          <w:color w:val="auto"/>
        </w:rPr>
        <w:t>.</w:t>
      </w:r>
    </w:p>
    <w:p>
      <w:pPr>
        <w:spacing w:after="0" w:line="5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Microbot had been exploring the integration of the One &amp; Done</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technology into the LIBERTY endovascular robotic system for a range of potential applications in the cardiovascular, peripheral vascular and neurovascular spaces. However, as a result of its recently enacted core-business focus program and its cost reduction plan , the Company has terminated its existing agreement with CardioSert Ltd. as of August 17, 2023 and ceased its research and development of an commercialization efforts for the technology, which could result in the technology being re-acquired by CardioSert Ltd. for nominal consideration. The Company is in discussions with CardioSert with respect to post-termination matters.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NovaCross</w:t>
      </w:r>
      <w:r>
        <w:rPr>
          <w:rFonts w:ascii="Arial" w:cs="Arial" w:eastAsia="Arial" w:hAnsi="Arial"/>
          <w:sz w:val="29"/>
          <w:szCs w:val="29"/>
          <w:i w:val="1"/>
          <w:iCs w:val="1"/>
          <w:color w:val="auto"/>
          <w:vertAlign w:val="superscript"/>
        </w:rPr>
        <w:t>TM</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w:t>
      </w:r>
      <w:r>
        <w:rPr>
          <w:rFonts w:ascii="Arial" w:cs="Arial" w:eastAsia="Arial" w:hAnsi="Arial"/>
          <w:sz w:val="29"/>
          <w:szCs w:val="29"/>
          <w:i w:val="1"/>
          <w:iCs w:val="1"/>
          <w:color w:val="auto"/>
          <w:vertAlign w:val="superscript"/>
        </w:rPr>
        <w:t>TM</w:t>
      </w:r>
      <w:r>
        <w:rPr>
          <w:rFonts w:ascii="Arial" w:cs="Arial" w:eastAsia="Arial" w:hAnsi="Arial"/>
          <w:sz w:val="18"/>
          <w:szCs w:val="18"/>
          <w:color w:val="auto"/>
        </w:rPr>
        <w:t xml:space="preserve"> </w:t>
      </w:r>
      <w:r>
        <w:rPr>
          <w:rFonts w:ascii="Arial" w:cs="Arial" w:eastAsia="Arial" w:hAnsi="Arial"/>
          <w:sz w:val="18"/>
          <w:szCs w:val="18"/>
          <w:i w:val="1"/>
          <w:iCs w:val="1"/>
          <w:color w:val="auto"/>
        </w:rPr>
        <w:t>platform.</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October 11, 2022, we announced that we are planning to focus our strategic efforts on the growing endovascular space and advancing the LIBERTY Robotic System to achieve its regulatory and commercial milestones, as well as expanding the LIBERTY ecosystem, and made a strategic decision to suspend the continued research and development of the SCS project, effective at that date. The SCS generally performed as expected during testing, both internally and externally, and we believe it continues to have potential clinical value as evidenced by the pre-clinical data submitted to the FDA, which allowed us to successfully apply for the Early Feasibility Study program administered by the FDA. However, the conflicting commercialization pathways between LIBERTY and the SCS due to different hospital call points, and the anticipated lengthier regulatory process of the SCS, led us to believe that focusing our strategic efforts on the LIBERTY Robotic System will provide us with a greater opportunity for success and future growth. We had been exploring opportunities with the SCS assets with the focus on maximizing shareholders value, including seeking buyers for the assets, entering into joint ventures, licensing arrangements, spinning-off the assets into a new operating company or discontinue the project altogether. However, as a result of our recently enacted core-business focus program and our cost reduction plan , we have been in contact with TRDF, the licensor of the technology, and returned the licensed intellectual property for the SCS (ViRob) back to TRDF in accordance with the terms of its license agreement, as we have not been successful in any such possible other opportunities.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been exploring the use of the TipCAT for minimally invasive neurosurgical and endovascular applications to complement our other technologies. However, as a result of our recently enacted core-business focus program and our cost reduction plan , we returned the licensed intellectual property for the TipCAT back to TRDF in June 2023, as we do not have the funds to continue to develop this technology.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Microbot expenses its research and development costs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consist primarily of the costs associated with management salaries and benefits, professional fees for accounting, auditing, consulting and legal services, and allocated overhead expenses.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has cut its general and administrative expenses in May 2023 as a result of its core-business focus program and cost reduction program; however, Microbot expects that its general and administrative expenses may increase in the future as it incurs expenses relating to its operating activities, maintains and expands its patent portfolio and maintain compliance with exchange listing and public company requirements. Microbot expects these potential increases will likely include management costs, legal fees, accounting fees, directors’ and officers’ liability insurance premiums and expenses associated with investor relations.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Significant Judgments and Estimates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jc w:val="both"/>
        <w:spacing w:after="0" w:line="342" w:lineRule="auto"/>
        <w:rPr>
          <w:sz w:val="20"/>
          <w:szCs w:val="20"/>
          <w:color w:val="auto"/>
        </w:rPr>
      </w:pPr>
      <w:r>
        <w:rPr>
          <w:rFonts w:ascii="Arial" w:cs="Arial" w:eastAsia="Arial" w:hAnsi="Arial"/>
          <w:sz w:val="16"/>
          <w:szCs w:val="16"/>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Management records and discloses legal contingencies in accordance with ASC Topic 450 </w:t>
      </w:r>
      <w:r>
        <w:rPr>
          <w:rFonts w:ascii="Arial" w:cs="Arial" w:eastAsia="Arial" w:hAnsi="Arial"/>
          <w:sz w:val="17"/>
          <w:szCs w:val="17"/>
          <w:i w:val="1"/>
          <w:iCs w:val="1"/>
          <w:color w:val="auto"/>
        </w:rPr>
        <w:t>Contingencies</w:t>
      </w:r>
      <w:r>
        <w:rPr>
          <w:rFonts w:ascii="Arial" w:cs="Arial" w:eastAsia="Arial" w:hAnsi="Arial"/>
          <w:sz w:val="17"/>
          <w:szCs w:val="17"/>
          <w:color w:val="auto"/>
        </w:rPr>
        <w:t>. Accordingly, Management will recognize a liability for a legal contingency when it is both probable that a liability has been incurred and the amount of the loss can be reasonably estimated. The Company monitors the stage of progress of its litigation matters in each reporting period in order to determine if any adjustments are required.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the fair value of certain of its financial instruments on a recurring basis.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and Six Months Ended June 30, 2023 and 2022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key components of Microbot’s results of operations for the three and six month periods ended June 30, 2023 and 2022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5"/>
              </w:rPr>
              <w:t>Three Months Ended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ind w:left="22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91"/>
              </w:rPr>
              <w:t>June 30,</w:t>
            </w:r>
          </w:p>
        </w:tc>
        <w:tc>
          <w:tcPr>
            <w:tcW w:w="5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2022</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4"/>
              </w:rPr>
              <w:t>Change</w:t>
            </w:r>
          </w:p>
        </w:tc>
        <w:tc>
          <w:tcPr>
            <w:tcW w:w="140" w:type="dxa"/>
            <w:vAlign w:val="bottom"/>
          </w:tcPr>
          <w:p>
            <w:pPr>
              <w:spacing w:after="0"/>
              <w:rPr>
                <w:sz w:val="20"/>
                <w:szCs w:val="20"/>
                <w:color w:val="auto"/>
              </w:rPr>
            </w:pPr>
          </w:p>
        </w:tc>
        <w:tc>
          <w:tcPr>
            <w:tcW w:w="760" w:type="dxa"/>
            <w:vAlign w:val="bottom"/>
          </w:tcPr>
          <w:p>
            <w:pPr>
              <w:ind w:left="20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2022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Change</w:t>
            </w:r>
          </w:p>
        </w:tc>
      </w:tr>
      <w:tr>
        <w:trPr>
          <w:trHeight w:val="216"/>
        </w:trPr>
        <w:tc>
          <w:tcPr>
            <w:tcW w:w="45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828</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(2,982)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(959)</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411</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(2,261)</w:t>
            </w: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(2,840)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net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Microbot’s research and development expenses were approximately $1,365,000 and $2,982,000 for the three and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2023, respectively, compared to approximately $2,193,000 and $3,899,000 for the comparable periods in 2022, respectively. The decrease in research and development expenses for the periods presented was primarily due to the Company’s cost reduction plan which commenced in the second quarter of 2023. The cost reduction plan includes decreases in payroll from the termination of employees, salary reductions of management, subcontractors, advisory board members, patents expenses, as well as no bonus accrual.</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were approximately $959,000 and $2,261,000 for the three and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2023, respectively, compared to approximately $1,370,000 and $2,840,000 for the comparable periods in 2022, respectively. The decrease in general and administrative expenses for the periods presented was primarily due to lower D&amp;O insurance premiums in 2023 and the Company’s cost reduction plan which commenced in the second quarter of 2023. The cost reduction plan includes decreases in payroll from the termination of employees, salary reductions of management, no bonus accrual and related expenses, paused independent director payments, and lower share based compensation expenses.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jc w:val="both"/>
        <w:spacing w:after="0" w:line="275" w:lineRule="auto"/>
        <w:rPr>
          <w:sz w:val="20"/>
          <w:szCs w:val="20"/>
          <w:color w:val="auto"/>
        </w:rPr>
      </w:pPr>
      <w:r>
        <w:rPr>
          <w:rFonts w:ascii="Arial" w:cs="Arial" w:eastAsia="Arial" w:hAnsi="Arial"/>
          <w:sz w:val="17"/>
          <w:szCs w:val="17"/>
          <w:i w:val="1"/>
          <w:iCs w:val="1"/>
          <w:color w:val="auto"/>
        </w:rPr>
        <w:t>Financing Income, net</w:t>
      </w:r>
      <w:r>
        <w:rPr>
          <w:rFonts w:ascii="Arial" w:cs="Arial" w:eastAsia="Arial" w:hAnsi="Arial"/>
          <w:sz w:val="17"/>
          <w:szCs w:val="17"/>
          <w:color w:val="auto"/>
        </w:rPr>
        <w:t>. Financing income net was approximately $37,000 and $103,000 for the three and six months ended June 30, 2023,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 income net of approximately $50,000 and $37,000 for the comparable period in 2022. The increase in financing income net for the six-month period presented was primarily due to interest income and unrealized gains from marketable securities offset by exchange rate expenses recorded due to the strengthening of the U.S. Dollar against the NIS. The decrease in financing income net for the three-month period presented was primarily due to decrease in exchange rate income offset by increase in income from marketable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has incurred losses since inception and negative cash flows from operating activities for all periods presented. As of June 30, 2023, Microbot had a net working capital of approximately $9,015,000, consisting primarily of cash and cash equivalents and marketable securities. This compares to net working capital of approximately $6,745,000 as of December 31, 2022. Microbot anticipates that it will continue to incur net losses for the foreseeable future as it continues research and development efforts of its primary product candidate and continues to incur costs associated with being a public company.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has funded its operations through the issuance of capital stock, grants from the Israeli Innovation Authority, and convertible debt. Since inception (November 2010) through June 30, 2023, Microbot has raised cash proceeds of approximately $66,560,000 and incurred a total cumulative loss of approximately $73,901,000. Microbot returned $3,375,000 (before interest) to an investor as a result of an adverse outcome in a litigation that concluded in the first quarter of 2020 and is now subject to an additional lawsuit seeking the return of an additional $6,750,000 of such proceeds. This litigation is in its discovery stages and pending court-ordered mediation, and we cannot predict what the eventual outcome will be, though management is vigorously defending its position that no return of capital is warranted.</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Microbot Israel obtained from the Israeli Innovation Authority (“IIA”) grants for participation in research and development for the years 2013 through June 30, 2023 in the total amount of approximately $1,500,000. In addition, on June 2, 2023, we announced that we received approval for a grant from the IIA in the amount of NIS 1.62 million, which based on an exchange rate on such date of NIS 1.00 = $0.26675, would be approximately $433,000, to further finance the development of our manufacturing process of the LIBERTY robotic surgical system. On July 18, 2023, Microbot Israel received NIS 567,000 of such amount. On January 4, 2018, Microbot Israel entered into an agreement with CardioSert to acquire certain of its patent-protected technology. CardioSert received grants from the IIA in the aggregate amount of approximately $530,000 and Microbot Israel took over the liability to repay such grants, which remains Microbot Israel’s responsibility for so long as it owns the CardioSert assets.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Israel is obligated to pay royalties amounting to 3%-5% of its future sales up to the amount of the grants. The grants are linked to the exchange rate of the dollar to the New Israeli Shekel and bears interest at an annual rate of USD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The financial risk is assumed completely by the IIA.</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date, we have not generated revenues from our operations. As of June 30, 2023, we had unrestricted cash, cash equivalents and marketable securities of approximately $9,920,000, excluding restricted cash, which management believes is sufficient to fund our operations for approximately eight months from the filing date of this Quarterly Report on Form 10-Q, or through approximately April of 2024, as a result of our recently enacted cost reduction plan. However, in the event we are unsuccessful in our current litigation discussed above, pursuant to which certain investors are seeking the return of $6,750,000 in proceeds we received from them in a 2017 stock offering, we will not have funds to continue our operation. As a result of the foregoing and our current cash position, these conditions raise substantial doubt about Microbot’s ability to continue as a going concern beyond approximately the next eight months, which could adversely affect our ability to raise capital, expand our business and develop our planned products.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both"/>
        <w:spacing w:after="0" w:line="269" w:lineRule="auto"/>
        <w:rPr>
          <w:sz w:val="20"/>
          <w:szCs w:val="20"/>
          <w:color w:val="auto"/>
        </w:rPr>
      </w:pPr>
      <w:r>
        <w:rPr>
          <w:rFonts w:ascii="Arial" w:cs="Arial" w:eastAsia="Arial" w:hAnsi="Arial"/>
          <w:sz w:val="17"/>
          <w:szCs w:val="17"/>
          <w:color w:val="auto"/>
        </w:rPr>
        <w:t>During the second fiscal quarter ended June 30, 2023, Microbot commenced a core-business focus program and a cost reduction plan while it seeks to raise sufficient additional capital to continue development of the LIBERTY robotic system. In May and June 2023, Microbot raised aggregate gross proceeds of approximately $7.56 million, before fees and expenses of approximately $1.1 million, from investors, to continue to fund its operations and research and development activities, and will need additional funds to continue the FDA approval process for the Liberty device after the first quarter of 2024. To the extent available, Microbot intends to raise capital through future issuances of debt and/or equity securities including registered offerings under its existing Registration Statement on Form S-3, which it may draw down from time to time subject to limitations on our use of Registration Statements on Form S-3 as a result of our public float.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foregoing, we are unable to fully implement our business plan without raising additional capital, if at all, and these conditions raise substantial doubt about Microbot’s ability to continue as a going concern. The accompanying consolidated interim financial statements do not include any adjustments to reflect the possible future effects on recoverability and reclassification of assets or the amounts and classification of liabilities that may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net cash flow activity for each of the periods presented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40" w:type="dxa"/>
            <w:vAlign w:val="bottom"/>
            <w:tcBorders>
              <w:bottom w:val="single" w:sz="8" w:color="auto"/>
            </w:tcBorders>
            <w:gridSpan w:val="5"/>
          </w:tcPr>
          <w:p>
            <w:pPr>
              <w:jc w:val="right"/>
              <w:ind w:right="327"/>
              <w:spacing w:after="0"/>
              <w:rPr>
                <w:sz w:val="20"/>
                <w:szCs w:val="20"/>
                <w:color w:val="auto"/>
              </w:rPr>
            </w:pPr>
            <w:r>
              <w:rPr>
                <w:rFonts w:ascii="Arial" w:cs="Arial" w:eastAsia="Arial" w:hAnsi="Arial"/>
                <w:sz w:val="18"/>
                <w:szCs w:val="18"/>
                <w:b w:val="1"/>
                <w:bCs w:val="1"/>
                <w:color w:val="auto"/>
              </w:rPr>
              <w:t>Six Months Ended June 30,</w:t>
            </w: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2022</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flows used in operating activities</w:t>
            </w:r>
          </w:p>
        </w:tc>
        <w:tc>
          <w:tcPr>
            <w:tcW w:w="11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1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Net cash flows provided by (used in) investing activities</w:t>
            </w: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1,588</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(78)</w:t>
            </w:r>
          </w:p>
        </w:tc>
      </w:tr>
      <w:tr>
        <w:trPr>
          <w:trHeight w:val="249"/>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provided by financing activities</w:t>
            </w:r>
          </w:p>
        </w:tc>
        <w:tc>
          <w:tcPr>
            <w:tcW w:w="1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6,719</w:t>
            </w:r>
          </w:p>
        </w:tc>
        <w:tc>
          <w:tcPr>
            <w:tcW w:w="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5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118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80" w:type="dxa"/>
            <w:vAlign w:val="bottom"/>
            <w:tcBorders>
              <w:top w:val="single" w:sz="8" w:color="auto"/>
            </w:tcBorders>
          </w:tcPr>
          <w:p>
            <w:pPr>
              <w:jc w:val="right"/>
              <w:ind w:right="11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(6,209</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flows used in operating activities for the six months ended June 30, 2023 were approximately $5,057,000, calculated by adjusting our net loss from operations by approximately $83,000 in the aggregate. Cash used in operating activities for the six months ended June 30, 2022 was approximately $6,131,000, similarly adjusted by approximately $571,000. The decrease in net cash flows used in operating activities was mainly due to the reduction in operating expenses from the May 2023 implementation of our cost reduction plan.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flows from investing activities for the six months ended June 30, 2023 were approximately $1,588,000, resulting from purchase of property and equipment, proceeds from sale of a marketable security and proceeds from maturities of marketable securities off set by purchase of marketable securities compared to net cash flows used in investing activities in the prior comparable period as a result of purchase of property and equipment in the amount of $78,000.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flows from financing activities for the six months ended June 30, 2023 were approximately $6,719,000, resulting from issuance of common stock, and other securities in a series of offerings in May and June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Microbot’s cash and cash equivalents as of June 30, 2023 and December 31, 2022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Foreign Exchange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June 30, 2023. Based on that review and evaluation, the Chief Executive Officer and Chief Financial Officer, along with the management of the Company, have determined that as of June 30, 2023,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Resulting from the 2017 Financing</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were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we breached multiple representations and warranties contained in the SPA, of which the Plaintiffs participated, and fraudulently induced Plaintiffs into signing the Securities Purchase Agreement (the “SPA”) related to our June 8, 2017 equity financing (the “2017 Financing”). The complaint seeks rescission of the SPA and return of the Plaintiffs’ $6.75 million purchase price with respect to the 2017 Financing. The lawsuit is currently in the discovery phase, and a court-ordered mediation is being scheduled. Management is unable to assess the likelihood that we will succeed at trial, having previously lost another lawsuit with respect to the 2017 Financing.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Mona Litigation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28, 2019, we brought an action against Alliance Investment Management, Ltd. (“Alliance”), later amended to include Joseph Mona (“Mona”) as a defendant, in the Southern District of New York under Section 16(b) of the Securities Exchange Act of 1934 (the “Exchange Act”), to compel Alliance and Mona to disgorge short swing profits realized from purchases and sales of our securities within a period of less than six months. The case is Microbot Medical Inc. v. Alliance Investment Management, Ltd., No. 19-cv-3782-GBD (SDNY). The amount of profits was estimated in the complaint to be approximately $468,000.</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28, 2019, Alliance filed a motion for summary judgment requesting that the Court dismiss the claims against Alliance, which was subsequently granted by the Court. On February 4, 2020, Mona answered the 16(b) claim and filed a counterclaim against Microbot under Section 10(b) of the Securities Exchange Act of 1934 and Rule 10b-5 promulgated thereunder, claiming a net loss on trading Microbot stock of $150,954.</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31, 2021, the Clerk entered a judgement against Joseph Mona and in favor of Microbot in the amount of $484,614.30. On April 27, 2021, Mona filed an appeal of the Court’s Judgment, which is pending before the U.S. Court of Appeals for the Second Circuit.</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June 2021, the Magistrate issued an order permitting Mona to file an Amended Counterclaim Complaint, and rejected our request to execute on the Judgment. We filed a response to Mona’s amended counterclaim on July 21, 2021, and in February 2023 filed a motion for summary judgment on Mona’s fraud claim. On August 4, 2023, the Magistrate issued a Report &amp; Recommendation, which recommends that the District Court dismiss Mona’s Section 10(b) counterclaim in the entirety, with prejudice. Objections to the Report &amp; Recommendation are due to be filed on August 18, 2023.</w:t>
      </w:r>
    </w:p>
    <w:p>
      <w:pPr>
        <w:spacing w:after="0" w:line="15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April 12, 2023, Mona filed a motion to dismiss our 16(b) claim. That decision is currently on appeal, and we believe Mona’s motion is meritless. The Company has opposed the motion to dismiss, which was fully briefed and submitted on May 24, 2023 and is pending before the Court.</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that would have a material adverse effect on us or our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Financial Position and Need for Additional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substantial doubt regarding on our ability to continue as a going concern.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stated elsewhere in this Quarterly Report on Form 10-Q, we have not generated any revenues, have sustained losses and have accumulated a significant deficit since our inception. Also, we estimate that our cash resources are only sufficient to fund our operations for approximately eight months from the filing date of this Quarterly Report, or through approximately April of 2024, as a result of our recently enacted cost reduction plan. As a result, our continued existence is dependent upon our ability to obtain additional debt or equity financing and to ultimately become a commercially viable organization.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the additional necessary debt or equity financing will be available, or will be available on terms acceptable to us, in which case we may be unable to meet our obligations or fully implement our business plan, if at all, beyond such four months period. Additionally, should we be unable to realize our assets and discharge our liabilities in the normal course of business, the net realizable value of our assets may be materially less than the amounts recorded in our financial statements. As a result of the foregoing and our current cash position, these conditions raise substantial doubt about Microbot’s ability to continue as a going concern beyond approximately the next eight months, which could adversely affect our ability to raise capital, expand our business and develop our planned products.</w:t>
      </w:r>
    </w:p>
    <w:p>
      <w:pPr>
        <w:spacing w:after="0" w:line="19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are subject to litigation, which may divert management’s attention and, in the event of an adverse judgment or settlement for some or all of the $6,750,000 being litigated, have a material adverse effect on our financial condition and our ability to continue our operations.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alleged, among other things, that we breached multiple representations and warranties contained in the Securities Purchase Agreement (the “SPA”) related to our June 8, 2017 equity financing (the “Financing”), of which the Plaintiffs participated. The complaint seeks rescission of the SPA and return of the Plaintiffs’ $6.75 million purchase price with respect to the Financing.</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Management is unable to assess the likelihood that we would be successful in any trial with respect to the SPA or the Financing, having previously lost another lawsuit with respect to the Financing. Accordingly, no assurance can be given that if we go to trial and ultimately lose, or if we decide to settle at any time, such an adverse outcome would not be material to our consolidated financial position. Additionally, in any such case, we will likely be required to use available cash, or the proceeds from future offerings, towards the rescission or settlement, that we otherwise would have used to build our business and develop our technologies into commercial products. In such event, we would be required to raise additional capital sooner than we otherwise would, of which we can give no assurance of success, or delay, curtail or cease the commercialization of some or all of our product candidates.</w:t>
      </w:r>
    </w:p>
    <w:p>
      <w:pPr>
        <w:spacing w:after="0" w:line="16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 has incurred significant operating losses since its inception and expects to incur significant losses for the foreseeable future as Microbot continues its preclinical and clinical development programs for its existing product candidates, primarily the LIBERTY device; its research and development of any other future product candidates; and all other work necessary to obtain regulatory clearances or approvals for its product candidates in the United States and other markets. In the future, Microbot intends to continue conducting micro-robotics research and development; performing necessary animal and clinical testing; working towards medical device regulatory compliance; and, if LIBERTY or other future product candidates are approved or cleared for commercial distribution, engaging in appropriate sales and marketing activities that, together with anticipated general and administrative expenses, will likely result in Microbot incurring further significant losses for the foreseeable future.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8"/>
          <w:szCs w:val="18"/>
          <w:color w:val="auto"/>
        </w:rPr>
        <w:t>Microbot is a development-stage medical device company and currently generates no revenue from product sales, and may never be able to commercialize LIBERTY or other future product candidates. Microbot does not currently have the required approvals or clearances to market or test in humans the LIBERTY or any other future product candidates and Microbot may never receive them. Microbot does not anticipate generating significant revenues until it can successfully develop, commercialize and sell products derived from its product pipeline, of which Microbot can give no assurance. Even if Microbot or any of its future development partners succeed in commercializing any of its product candidates, Microbot may never generate revenues significant enough to achieve profitability.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numerous risks and uncertainties associated with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research and development programs and/or day-to-day operations. Furthermore, there can be no assurance that profitability, if achieved, can be sustained on an ongoing basis.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 has a limited operating history outside of being a research and development-stage company, which may make it difficult to evaluate the prospects for the Company’s future viability.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Microbot has a limited operating history upon which an evaluation of its business plan or performance and prospects can be made. The business and prospects of Microbot must be considered in the 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Microbot’s operations to date have been limited to organizing the company, entering into licensing arrangements to initially obtain rights to its technologies, developing and securing its technologies, raising capital, developing regulatory and reimbursement strategies for its product candidates, preparing for pre-clinical and clinical trials of product candidates from time to time and, most recently, commencing pre-commercialization planning for the LIBERTY device. Microbot has not yet demonstrated its ability to successfully complete development of any product candidate, obtain marketing clearance or approval, manufacture a commercial-scale product or arrange for a third 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 will need additional funding. If Microbot is unable to raise capital when needed, it could be forced to delay, reduce or eliminate its product development programs or commercialization efforts.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date, Microbot has funded its operations primarily through offerings of debt and equity securities and grants. Microbot does not know when, or if, it will generate any revenue, but does not expect to generate significant revenue unless and until it obtains regulatory clearance or approval of and commercializes one of its current or future product candidates. It is anticipated that the Company will continue to incur losses for the foreseeable future, and that losses will increase as it continues the development of, and seeks regulatory review of, its product candidates, and begins to commercialize any approved or cleared products following a successful regulatory review.</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Microbot expects the research and development expenses of the Company to continue to increase substantially in future periods as it conducts pre-clinical studies in large animals and potentially clinical trials for the LIBERTY device, and especially if it initiates additional research programs for future product candidates. This is the case even with the recent suspension and termination of the research and development programs relating to the SCS device, One &amp; Done and other programs. In addition, if the Company obtains marketing clearance or approval for any of its product candidates, it expects to incur significant commercialization expenses related to product manufacturing, marketing and sales. Microbot may also require additional funds for operations if it loses its current lawsuit with Empery and Hudson Bay, discussed in great detail elsewhere in this Quarterly Report on Form 10-Q. Furthermore, Microbot incurs substantial costs associated with operating as a public company in the United States. Accordingly, the Company may need to obtain substantial additional funding in connection with its continuing operations through its projected profitability, of which it can give no assurance of success. If the Company is unable to raise capital when needed or on attractive terms, it could be forced to delay, reduce or eliminate its research and development programs or any future commercialization efforts.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jc w:val="both"/>
        <w:spacing w:after="0" w:line="263" w:lineRule="auto"/>
        <w:rPr>
          <w:sz w:val="20"/>
          <w:szCs w:val="20"/>
          <w:color w:val="auto"/>
        </w:rPr>
      </w:pPr>
      <w:r>
        <w:rPr>
          <w:rFonts w:ascii="Arial" w:cs="Arial" w:eastAsia="Arial" w:hAnsi="Arial"/>
          <w:sz w:val="18"/>
          <w:szCs w:val="18"/>
          <w:color w:val="auto"/>
        </w:rPr>
        <w:t>The Company intends to continue to opportunistically strengthen its balance sheet by raising additional funds through equity offerings, including possibly through its existing but currently suspended At-the-Market offering, or otherwise in order to meet expected future liquidity needs, including the introduction of LIBERTY. The Company’s future capital requirements, generally, will depend on many factors, including:</w:t>
      </w:r>
    </w:p>
    <w:p>
      <w:pPr>
        <w:spacing w:after="0" w:line="18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timing and outcomes of the product candidates’ regulatory reviews, subsequent approvals or clearances, or other regulatory actions;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final outcome of the Company’s existing lawsuit with Empery and Hudson Bay;</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design, duration and any potential delays of the clinical trials that could be conducted at the FDA’s request using Microbot’s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acquiring, licensing or investing in new and existing businesses, product candidates and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to maintain, expand and defend the scope of Microbot’s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costs to secure or establish sales, marketing and commercial manufacturing capabilities or arrangements with third parties regarding same;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need and ability to hire additional management and scientific and medical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to operate as a public company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Development and Commercialization of Microbot’s Product Candidates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Unsuccessful animal studies, clinical trials or procedures relating to product candidates under development could have a material adverse effect on Microbot’s prospects.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or perceptions regarding such data, could adversely affect Microbot’s ability to obtain necessary device clearance or approval and the market’s view of Microbot’s future prospects.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Failure to successfully complete the studies or trials in a timely and cost-effective manner could have a material adverse effect on Microbot’s prospects with respect to the LIBERTY device or other product candidates.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 The FDA may disagree with our interpretation of the data from our clinical trials, or may find the clinical trial design, conduct or results inadequate to demonstrate safety and effectiveness of the product candidate. The FDA may also require additional pre-clinical studies or clinical trials which could further delay approval of our product candidates.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b w:val="1"/>
          <w:bCs w:val="1"/>
          <w:i w:val="1"/>
          <w:iCs w:val="1"/>
          <w:color w:val="auto"/>
        </w:rPr>
        <w:t>Microbot’s business depends heavily on the success of its sole lead product candidate, the LIBERTY. If Microbot is unable to commercialize the LIBERTY, or experiences significant delays in doing so, Microbot’s business will be materially harmed.</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Generally, after all necessary clinical and performance data supporting the safety and effectiveness of the LIBERTY device, or any other product candidate, are collected, Microbot must still obtain FDA clearance or approval to market the device and those regulatory processes can take several months to several years to be completed. Therefore, Microbot’s ability to generate product revenues will not occur for at least the next few years, if at all, and will depend heavily on the successful commercialization of the LIBERTY device, or any of our other product candidates from time to time. The success of commercializing any of our product candidates, include the LIBERTY device, will depend on a number of factors, including the following:</w:t>
      </w:r>
    </w:p>
    <w:p>
      <w:pPr>
        <w:spacing w:after="0" w:line="17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additional capital;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completion of animal studies and, if necessary, human clinical trials and the collection of sufficient data to demonstrate that the device is safe and effective for its intended use;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receipt of marketing approvals or clearances from the FDA and other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commercial manufacturing arrangements with one or more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protecting Microbot’s rights in its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generating commercial sales, if and when approved, whether alone or in collaboration with other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acceptance of our product candidates, if and when commercially launched, by the medical community, patients and third-party payors;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effectively competing with existing and competitive products on the market and any new competing products that may enter the market;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quality and an acceptable safety profile of our products following clearance or approval.</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recently suspended our research and development programs for all of our product candidates and platforms other than LIBERTY as a result of, among other things, some of the above factors, and our short and medium term success is no longer tied to multiple product candidates but rather just the LIBERTY device. If Microbot does not achieve one or more of these factors in a timely manner or at all, it could experience significant delays or an inability to successfully commercialize the LIBERTY or any other product candidate, which would materially harm its business.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results of Microbot’s research and development efforts are uncertain and there can be no assurance of the commercial success of Microbot’s product candidates.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Microbot believe that its success will depend in part on its ability to expand its product offerings and continue to improve its existing product candidates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Microbot’s ability to expand its technology platforms for other uses may be limited.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has decided to focus on expanding all of its technology platforms for use in segments of the endovascular, cardiovascular and neurosurgery markets. Microbot’s ability to expand its technology platforms for use in such markets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At this time, Microbot does not know the extent of the clinical trial that the FDA will require it to submit in support of its future marketing applications for its LIBERTY product candidate, which creates uncertainty for Microbot as well as the possibility of increased product development costs and time to market.</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Microbot has identified a predicate device for the LIBERTY device, which it intended to use in its 510(k) application. However, there is no guarantee that the FDA will agree with the Company’s determination or that the FDA would accept the predicate device that Microbot intends to submit in its 510(k). The FDA also may request additional data in response to a 510(k) or require Microbot to conduct further testing or compile more data in support of its 510(k). It is unclear at this time whether and how various activities initiated or announced by the FDA to modernize the U.S. medical device regulatory system could affect the marketing pathway or timeline for our product candidate, given their nature.</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FDA requires clinical data to be submitted as part of the LIBERTY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Thus, the addition of one or more mandatory clinical trials to the development timeline for the LIBERTY or any other product candidate would significantly increase the costs associated with developing and commercializing the product and delay the timing of U.S. regulatory authorization. The current uncertainty regarding near-term medical device regulatory changes by the FDA could further affect our development plans for the LIBERTY or any other product candidate, depending on their nature, scope and applicability. Microbot and its business, financial condition and operating results could be materially and adversely affected as a result of any such costs, delays or uncertainty.</w:t>
      </w:r>
    </w:p>
    <w:p>
      <w:pPr>
        <w:spacing w:after="0" w:line="180" w:lineRule="exact"/>
        <w:rPr>
          <w:sz w:val="20"/>
          <w:szCs w:val="20"/>
          <w:color w:val="auto"/>
        </w:rPr>
      </w:pPr>
    </w:p>
    <w:p>
      <w:pPr>
        <w:jc w:val="both"/>
        <w:spacing w:after="0" w:line="214" w:lineRule="auto"/>
        <w:rPr>
          <w:sz w:val="20"/>
          <w:szCs w:val="20"/>
          <w:color w:val="auto"/>
        </w:rPr>
      </w:pPr>
      <w:r>
        <w:rPr>
          <w:rFonts w:ascii="Arial" w:cs="Arial" w:eastAsia="Arial" w:hAnsi="Arial"/>
          <w:sz w:val="18"/>
          <w:szCs w:val="18"/>
          <w:b w:val="1"/>
          <w:bCs w:val="1"/>
          <w:i w:val="1"/>
          <w:iCs w:val="1"/>
          <w:color w:val="auto"/>
        </w:rPr>
        <w:t>Microbot’s technology acquired from CardioSert and part of its One &amp; Done</w:t>
      </w:r>
      <w:r>
        <w:rPr>
          <w:rFonts w:ascii="Arial" w:cs="Arial" w:eastAsia="Arial" w:hAnsi="Arial"/>
          <w:sz w:val="29"/>
          <w:szCs w:val="29"/>
          <w:b w:val="1"/>
          <w:bCs w:val="1"/>
          <w:i w:val="1"/>
          <w:iCs w:val="1"/>
          <w:color w:val="auto"/>
          <w:vertAlign w:val="superscript"/>
        </w:rPr>
        <w:t>TM</w:t>
      </w:r>
      <w:r>
        <w:rPr>
          <w:rFonts w:ascii="Arial" w:cs="Arial" w:eastAsia="Arial" w:hAnsi="Arial"/>
          <w:sz w:val="18"/>
          <w:szCs w:val="18"/>
          <w:b w:val="1"/>
          <w:bCs w:val="1"/>
          <w:i w:val="1"/>
          <w:iCs w:val="1"/>
          <w:color w:val="auto"/>
        </w:rPr>
        <w:t xml:space="preserve"> platform is subject to a buy-back clause which, if triggered, could cause us to lose rights to the technology.</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agreement with CardioSert we entered into in January 2018 to acquire its technology, we are required to meet certain commercialization deadlines or CardioSert may terminate the agreement and buy back the technology for $1.00, subject to certain limited exceptions. One of the exceptions in the agreement is if “The First Commercial Sale does not occur within 50 months of the Effective Date” of the contract. 50 months have expired in 2022 and Microbot did not meet the commercialization deadlines.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failure to meet the applicable commercialization deadline could therefore result in the sale back of the technology to CardioSert. In addition, as a result of our recently enacted core-business focus program and cost reduction plan, we terminated the January 2018 agreement with CardioSert effective as of August 17, 2023, which could result in the technology being re-acquired by Cardiosert Ltd. for nominal consideration. Although we have not yet been notified of any such election, we are in discussions with CardioSert with respect to post-termination matters, and any such sale would materially adversely affect our ability to develop and commercialize, or materially delay the development and commercialization of, our One &amp; Done platform, if we were to otherwise determine to restart that product platform with our Nitiloop technology.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jc w:val="both"/>
        <w:spacing w:after="0" w:line="381" w:lineRule="auto"/>
        <w:rPr>
          <w:sz w:val="20"/>
          <w:szCs w:val="20"/>
          <w:color w:val="auto"/>
        </w:rPr>
      </w:pPr>
      <w:r>
        <w:rPr>
          <w:rFonts w:ascii="Arial" w:cs="Arial" w:eastAsia="Arial" w:hAnsi="Arial"/>
          <w:sz w:val="15"/>
          <w:szCs w:val="15"/>
          <w:b w:val="1"/>
          <w:bCs w:val="1"/>
          <w:i w:val="1"/>
          <w:iCs w:val="1"/>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development-stage, pre-clinical company, Microbot has no prior experience in designing, initiating, conducting and monitoring human clinical trials. Microbot will depend upon its ability and/or the ability of future collaborators, contract research organizations, clinical trial sites and investigators to successfully design, initiate, conduct and monitor such clinical trials.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its product candidates and, consequently, could delay or materially impair its ability to generate revenues from the commercialization of those products.</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the commercial opportunity for LIBERTY and any other commercial products that may be developed by Microbot is smaller than Microbot anticipates, Microbot’s future revenue from LIBERTY and such other products will be adversely affected and Microbot’s business will suffer.</w:t>
      </w:r>
    </w:p>
    <w:p>
      <w:pPr>
        <w:spacing w:after="0" w:line="1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the size of the commercial opportunities in any of Microbot’s target markets is smaller than it anticipates, Microbot may not be able to achieve profitability and growth. It is difficult to predict the penetration, future growth rate or size of the market for Microbot’s product candidate.</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commercial success of LIBERTY or any other product candidates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 candidates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 candidates. In addition, its competitors may develop new technologies for the same markets Microbot is targeting that are more attractive to medical facilities and physicians. If doctors and other medical professionals do not consider Microbot product candidates to be suitable for application in the procedures we are targeting and an improvement over the use of existing or competing products, Microbot’s business goals will not be realized.</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Customers will be unlikely to buy the LIBERTY or any other product candidates unless Microbot can demonstrate that they can be produced for sale to consumers at attractive prices.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date, Microbot has focused primarily on research and development of the LIBERTY device and first generation versions of other current and former product candidates. Consequently, Microbot has no experience in manufacturing its product candidates, and intends to manufacture its product candidates through third-party manufacturers. Microbot can offer no 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GMP-compliant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proposed price of Microbot’s product candidates, once approved for sale, will be dependent on material and other manufacturing costs. Microbot cannot offer any assurances that its manufacturing partner will be able manufacture its product candidates at a competitive price or that achieving cost reductions will not cause a reduction in the performance, reliability and longevity of its product candidates.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Microbot has relied on, and intends to continue to rely on, third-party manufacturers to produce its product candidates.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currently relies, and expects to rely for the foreseeable future, on third-party manufacturers to produce and supply its product candidates, and it expects to rely on third parties to manufacture the commercialized products as well, should they receive the necessary regulatory clearance or approval. Reliance on third-party manufacturers entails risks to which Microbot would not be subject if Microbot manufactured its product candidates or future commercial products itself, including:</w:t>
      </w:r>
    </w:p>
    <w:p>
      <w:pPr>
        <w:spacing w:after="0" w:line="18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supply availability resulting from capacity, internal operational problems or scheduling constraints of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regulatory non-compliance or other violations by the third-party manufacturer that could result in quality assurance;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possible breach of manufacturing agreements by third parties because of various factors beyond Microbot’s control;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possible termination or non-renewal of manufacturing agreements by third parties for various reasons beyond Microbot’s control, at a time that is costly or inconvenient to Microbot.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Microbot is not able to maintain its key manufacturing relationships, Microbot may fail to find replacement manufacturers or develop its own manufacturing capabilities, which could delay or impair Microbot’s ability to obtain regulatory clearance or approval for its product candidates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Microbot’s product candidates are not considered to be a safe and effective alternative to existing technologies, Microbot will not be commercially successful.</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LIBERTY and our other product candidates rely on new technologies, and Microbot’s success will depend on acceptance of these technologies by the medical community as safe, clinically effective, cost effective and a preferred device as compared to products of its competitors. Microbot does not have long-term data regarding efficacy, safety and clinical outcomes associated with the use of LIBERTY or our other product candidates.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increasingly price sensitive.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 may be subject to penalties and may be precluded from marketing its product candidates if Microbot fails to comply with extensive governmental regulations.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Microbot believes that its medical device product candidates will be categorized as Class II devices, which typically require a 510(k) or 510(k) de-novo premarket submission to the FDA. However, the FDA has not made any determination about whether Microbot’s medical product candidates are Class II medical devices and may disagree with that classification. If the FDA determines that Microbot’s product candidates should be reclassified as Class III medical devices, Microbot could be precluded from marketing the devices for clinical use within the United 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jc w:val="both"/>
        <w:spacing w:after="0" w:line="273" w:lineRule="auto"/>
        <w:rPr>
          <w:sz w:val="20"/>
          <w:szCs w:val="20"/>
          <w:color w:val="auto"/>
        </w:rPr>
      </w:pPr>
      <w:r>
        <w:rPr>
          <w:rFonts w:ascii="Arial" w:cs="Arial" w:eastAsia="Arial" w:hAnsi="Arial"/>
          <w:sz w:val="17"/>
          <w:szCs w:val="17"/>
          <w:color w:val="auto"/>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current product candidates or products Microbot develops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As Microbot’s product offerings are used across diverse healthcare settings, they will be affected to varying degrees by the different payment systems.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outcome studies for the LIBERTY may not provide sufficient data to make such product candidates the standard of care.</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Microbot’s business plan with respect to the LIBERTY relies on the broad adoption by surgeons of the products for their respective planned applications.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jc w:val="both"/>
        <w:spacing w:after="0" w:line="263" w:lineRule="auto"/>
        <w:rPr>
          <w:sz w:val="20"/>
          <w:szCs w:val="20"/>
          <w:color w:val="auto"/>
        </w:rPr>
      </w:pPr>
      <w:r>
        <w:rPr>
          <w:rFonts w:ascii="Arial" w:cs="Arial" w:eastAsia="Arial" w:hAnsi="Arial"/>
          <w:sz w:val="18"/>
          <w:szCs w:val="18"/>
          <w:color w:val="auto"/>
        </w:rPr>
        <w:t>Clinical studies may not show an advantage in LIBERTY based procedures in a timely manner, or at all, and outcome studies have not been designed at this time, and may be too large and too costly for Microbot to conduct. Both situations could prevent broad adoption of the LIBERTY and materially impact Microbot’s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Microbot products may in the future be subject to mandatory product recalls that could harm its reputation, business and financial results.</w:t>
      </w:r>
    </w:p>
    <w:p>
      <w:pPr>
        <w:spacing w:after="0" w:line="23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 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spacing w:after="0" w:line="16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detention or seizure of Microbot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refusing or delaying requests for 510(k) clearance or premarket approval of new products or modified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withdrawing 510(k) clearances or other types of regulatory authorizations -that have already been granted;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refusing to grant export approval for Microbot products;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anticipates that in the future it is likely that we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 as well as defending Microbot in a lawsuit, will require the dedication of our time and capital, distract management from operating our business, and may harm our reputation and financial results.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Microbot could be exposed to significant liability claims if Microbot is unable to obtain insurance at acceptable costs and adequate levels or otherwise protect itself against potential product liability claims.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 fails to retain certain of its key personnel and attract and retain additional qualified personnel, Microbot might not be able to pursue its growth strategy effectively.</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Microbot is dependent on its senior management, in particular Harel Gadot, Microbot’s Chairman, President and Chief Executive Officer, and Simon Sharon, its General Manager and Chief Technology Officer. Although Microbot believes that its relationship with members of its senior management is positive, there can be no assurance that the services of any of these individuals will continue to be available to Microbot in the future. In particular, as part of our cost reduction program, we have reduced all executive officers’ salaries by between 30-50%. We can give no assurance that any of our executives will remain with our company in light of such reductions.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Microbot does not carry, and does not intend to carry, any key man life insurance policies on any of its existing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International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 fails to obtain regulatory clearances in other countries for its product candidates under development, Microbot will not be able to commercialize these product candidates in those countries.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for Microbot to market its product candidates in countries other than the United States, it must comply with the safety and quality regulations in such countries.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 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recently engaged with a leading notified body to secure a CE Mark for sales in Europe, it is not yet certain as to when we will further the advancement of the process to secure the CE Mark, and further cannot be certain that we will be successful in complying with the requirements of the CE Certificate of Conformity and receiving a CE Mark for its product candidates or in continuing to meet the requirements of the Medical Devices Directive in the European Economic Area (EEA).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jc w:val="both"/>
        <w:spacing w:after="0" w:line="270" w:lineRule="auto"/>
        <w:rPr>
          <w:sz w:val="20"/>
          <w:szCs w:val="20"/>
          <w:color w:val="auto"/>
        </w:rPr>
      </w:pPr>
      <w:r>
        <w:rPr>
          <w:rFonts w:ascii="Arial" w:cs="Arial" w:eastAsia="Arial" w:hAnsi="Arial"/>
          <w:sz w:val="17"/>
          <w:szCs w:val="17"/>
          <w:color w:val="auto"/>
        </w:rPr>
        <w:t>Israel’s Medical Devices Law generally requires the registration of all medical products with the Ministry of Health, or MOH, Registrar through the submission of an application to the Ministry of Health Medical Institutions and Devices Licensing Department, or AMAR. If the application includes a certificate issued by a competent authority of a “recognized” country, which includes Australia, Canada, the European Community Member States, Japan or the United States, the registration process is expedited, but is generally still expected to take 6 to 9 months for approval. If certification from a recognized country is not available, the registration process takes significantly longer and a license is rarely issued under such circumstances, as the MOH may require the presentation of significant additional clinical data.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operations in international markets involve inherent risks that Microbot may not be able to control.</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spacing w:after="0" w:line="184"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macroeconomic conditions affecting geographies where Microbot intends to do business;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closing of international borders, including as a result of biohazards or pandemics;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currency exchange 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or social unrest or economic instability in a specific country or region;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costs of doing business in certain foreign countries;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infringement claims on foreign patents, copyrights or trademark rights;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staffing and managing operations across disparate geographic areas;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associated with enforcing agreements and intellectual property rights through foreign legal systems;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protection measures and other regulatory requirements, which affect Microbot’s ability to import or export its product candidates from or to various countries;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changes in legal and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military conflict, terrorist activities, natural disasters and medical epidemics;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Microbot’s ability to recruit and retain channel partners in foreign jurisdictions.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financial results may be affected by fluctuations in exchange rates and Microbot’s current currency hedging strategy may not be sufficient to counter such fluctuations.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 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Risks Relating to Microbot’s Intellectual Property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Microbot’s right to develop and commercialize the LIBERTY product candidate is subject to the terms and condition of a license granted to Microbot by Technion Research and Development Foundation Ltd. and termination of the license with respect to the technology platform underlying the product candidate could result in Microbot ceasing its development efforts for the LIBERTY platform.</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Microbot entered into a license agreement with Technion Research and Development Foundation Ltd., or TRDF, pursuant to which Microbot obtained an exclusive, worldwide, royalty-bearing, sub-licensable license to certain patents and inventions, originally relating to the SCS and TipCAT technology platforms and subsequently amended to include our LIBERTY platform. Pursuant to the terms of the license agreement, in order to maintain the license with respect to each platform, Microbot must use commercially reasonable efforts to develop products covered by the license, including meeting certain agreed upon development milestones. TRDF has the option to terminate a license granted in the event Microbot fails to meet a development milestone associated with such technology. Therefore, the failure to meet development milestones may lead to a complete termination of the license agreement and result in Microbot ceasing its development efforts for the applicable product candidate. Failure to meet any development milestone will give TRDF the right to terminate the license with respect to the technology underlying the missed milestone. TRDF has previously demonstrated flexibility with respect to amending the terms of the license to extend the milestone dates, although we can give no assurance at this time that TRDF will continue to be so flexible with respect to amending the terms of the license. We have recently returned the intellectual property relating to the TipCat platform and the SCS(ViRob) platform as part of our core-business focus program.</w:t>
      </w:r>
    </w:p>
    <w:p>
      <w:pPr>
        <w:spacing w:after="0" w:line="18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the license agreement, Microbot is also subject to various other obligations, including obligations with respect to payment upon the achievement of certain milestones and royalties on product sales. TRDF may terminate the license agreement under certain circumstances, including material breaches by Microbot or under certain bankruptcy or insolvency events. In the case of termination of the license by Microbot without cause or by TRDF for cause, TRDF has the right to receive a non-exclusive license from Microbot with respect to improvements to the licensed technologies made by Microbot.</w:t>
      </w:r>
    </w:p>
    <w:p>
      <w:pPr>
        <w:spacing w:after="0" w:line="1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If TRDF were to terminate the license agreement or if Microbot was to otherwise lose the ability to exploit the licensed patents, Microbot’s competitive advantage with respect to its LIBERTY technology platform could be reduced or terminated, and Microbot will likely not be able to find a source to replace the licensed technology.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if there is any future dispute between Microbot and TRDF regarding the respective parties’ rights under the license agreement, Microbot’s ability to develop and commercialize the LIBERTY may be materially harmed, although at this time no material development or commercialization of either platform is in effect.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may not meet its product candidates’ development and commercialization objectives in a timely manner or at all.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has established internal goals, based upon expectations with respect to its technologies, which Microbot has used to assess its progress toward developing its product candidates. These goals relate to technology and design improvements as well as to dates for achieving specific development results. If the product candidates exhibit technical defects or are unable to meet cost or performance goals, Microbot’s commercialization schedule could be delayed and potential purchasers of its initial commercialized products may decline to purchase such products or may opt to pursue alternative products, which would materially harm its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and infringement claims could cause Microbot to incur significant expenses or prevent Microbot from selling certain of its product candidates.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Microbot currently holds, through licenses or otherwise, an intellectual property portfolio that includes U.S. and international patents and pending patents, and other patents under development. Microbot intends to continue to seek legal protection, primarily through patents, including the remaining TRDF licensed patents that relate to the LIBERTY technology,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Microbot has the first right, but not the obligation, to control the prosecution, maintenance or enforcement of the remaining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remaining TRDF licensed patents, TRDF may elect to do so but may fail to take the steps that are necessary or desirable in order to obtain, maintain and enforce the licensed patents.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b w:val="1"/>
          <w:bCs w:val="1"/>
          <w:i w:val="1"/>
          <w:iCs w:val="1"/>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Microbot’s long-term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Operations in Israel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has facilities located in Israel, and therefore, political conditions in Israel may affect Microbot’s operations and results.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Microbot has facilities located in Israel. In addition, one of its seven directors, its General Manager and Chief Technology Officer, Chief Medical Officer and its Chief Financial Officer, as well as substantially all of its research and development team and non-management employees, are residents of Israel. Accordingly, political, economic and military conditions in Israel will directly or indirectly affect Microbot’s operations and results. Most recently, for example, the current political situation in Israel where the ruling parties are attempting to implement laws that essentially allow the parliament to enact laws that are preemptively immune to judicial review could adversely affect our business and results of operations. In addition,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relations could limit Microbot’s ability to sell or buy internationally.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the United States, Europe and elsewhere to reduce trade with Israel. There can be no assurance that restrictive laws, policies or practices directed towards Israel or Israeli businesses will not have an adverse impact on Microbot’s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Israel’s economy may become unstable.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Exchange rate fluctuations between the U.S. dollar and the NIS currencies may negatively affect Microbot’s operating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portion of Microbot’s expenses are paid in New Israeli Shekels, or NIS, but its financial statements are denominated in U.S. dollars. As a result, Microbot is exposed to the risks that the NIS may appreciate relative to the 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Microbot’s primary expenses paid in NIS that are not linked to the U.S. dollar are employee expenses in Israel and lease payments on its Israeli facility. If Microbot is unsuccessful in hedging against its position in NIS, a change in the value of the NIS compared to the U.S. dollar could increase Microbot’s research and development expenses, labor costs and general and administrative expenses, and as a result, have a negative impact on Microbot’s profits.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Funding and other benefits provided by Israeli government programs may be terminated or reduced in the future and the terms of such funding may have a significant impact on future corporate decisions.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Microbot’s research and development efforts from inception until now have been financed in part through such Israeli Innovation Authority royalty bearing grants in an aggregate amount of approximately $1,500,000 through June 30, 2023, plus a recent approval for a grant in the amount of NIS 1.62 million, of which NIS 567,000 was received in July 2023 to further finance the development of a manufacturing process for the LIBERTY. In addition, as a result of our 2018 agreement with CardioSert and our 2022 agreement with Nitiloop, we took over the liability to repay CardioSert’s and Nitiloop’s IIA grants in the aggregate amount of approximately $530,000 and $925,000, respectively.</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With respect to such grants Microbot is committed to pay royalties at a rate of between 3% to 3.5% on sales proceeds up to the total amount of grants received, linked to the dollar, plus interest at an annual rate of USD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 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Some of Microbot’s employees and officers are obligated to perform military reserve duty in Israel.</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be difficult to enforce a non-Israeli judgment against Microbot or its officers and directors.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Securities, Governance and Other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common stock is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 There can be no assurances that we will be able to comply with the applicable listing standards. In 2018, we effected a 1:15 reverse stock split to address our stock price falling below the minimum share price required by Nasdaq. Failure to again meet applicable Nasdaq continued listing standards could result in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over-the-counter market or on an electronic bulletin board established for unlisted securities such as the OTC Marketplace.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cash dividends on our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we will retain our earnings, if any, for future growth and therefore do not anticipate paying cash dividends on our Common Stock in the future. Investors seeking cash dividends should not invest in our Common Stock for that purpose.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jc w:val="both"/>
        <w:spacing w:after="0" w:line="308" w:lineRule="auto"/>
        <w:rPr>
          <w:sz w:val="20"/>
          <w:szCs w:val="20"/>
          <w:color w:val="auto"/>
        </w:rPr>
      </w:pPr>
      <w:r>
        <w:rPr>
          <w:rFonts w:ascii="Arial" w:cs="Arial" w:eastAsia="Arial" w:hAnsi="Arial"/>
          <w:sz w:val="17"/>
          <w:szCs w:val="17"/>
          <w:b w:val="1"/>
          <w:bCs w:val="1"/>
          <w:i w:val="1"/>
          <w:iCs w:val="1"/>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Provisions in the Company’s certificate of incorporation and bylaws may delay or prevent an acquisition or a change in management. These provisions include a classified board of directors. In addition, because the Company is incorporated in Delaware, it is governed by the provisions of Section 203 of the DGCL, which prohibits stockholders owning in excess of 15% of outstanding voting stock from merging or combining with the Company. Although the Company believes these provisions collectively will provide for an opportunity to receive higher bids by requiring potential acquirers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the Company’s investors, restrict its operations or require it to relinquish rights to its technologies or product candidates.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Until such time, if ever, as the Company can generate substantial product revenues, it expects to finance its cash needs through a combination of equity offerings, including possibly through its existing but currently suspended At-the-Market offering,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 limit, reduce or terminate its product development or future commercialization efforts or grant rights to develop and market product candidates that it would otherwise prefer to develop and market itself.</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 changes. Microbot expects to face competition from many different sources with respect to the LIBERTY and other products that it is seeking to develop or commercialize with respect to its other product candidates in the future.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 LIBERTY or any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strategy in part relies on identifying, acquiring and developing complementary technologies and products, which entails risks which could negatively affect our business, operations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have in the past and may again in the future pursue other acquisitions of businesses and technologies. Acquisitions entail numerous risks, including:</w:t>
      </w:r>
    </w:p>
    <w:p>
      <w:pPr>
        <w:spacing w:after="0" w:line="248" w:lineRule="exact"/>
        <w:rPr>
          <w:sz w:val="20"/>
          <w:szCs w:val="20"/>
          <w:color w:val="auto"/>
        </w:rPr>
      </w:pPr>
    </w:p>
    <w:p>
      <w:pPr>
        <w:ind w:left="5540" w:right="5200" w:hanging="5208"/>
        <w:spacing w:after="0" w:line="623" w:lineRule="auto"/>
        <w:tabs>
          <w:tab w:leader="none" w:pos="662"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difficulties in the integration of acquired operations, services and products;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achieve expected synergies;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assumption of unknown material liabilities of acquired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amortization of acquired intangible assets, which could reduce future reported earnings;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funding to properly and adequately develop and commercialize the technologies acquired;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loss of clients or key employees of acquired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dilution to existing stockholders.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Similarly, we could acquire a technology or asset, and later determine that such technology or asset no longer fits in our business strategy or goals.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Common Stock may be volatile.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for our Common Stock may be volatile and subject to wide fluctuations in response to factors including the following:</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financial or operational estimates or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conditions in markets generally;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companies similar to ours;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acquisitions, strategic partnerships, joint ventures or capital commitments;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intellectual property position;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or political conditions in the United States, Israel or elsewhere.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spacing w:after="0"/>
        <w:rPr>
          <w:sz w:val="20"/>
          <w:szCs w:val="20"/>
          <w:color w:val="auto"/>
        </w:rPr>
      </w:pPr>
      <w:r>
        <w:rPr>
          <w:rFonts w:ascii="Arial" w:cs="Arial" w:eastAsia="Arial" w:hAnsi="Arial"/>
          <w:sz w:val="15"/>
          <w:szCs w:val="15"/>
          <w:b w:val="1"/>
          <w:bCs w:val="1"/>
          <w:i w:val="1"/>
          <w:iCs w:val="1"/>
          <w:color w:val="auto"/>
        </w:rPr>
        <w:t>The issuance of shares upon exercise of outstanding warrants and options could cause immediate and substantial dilution to existing stockholders.</w:t>
      </w:r>
    </w:p>
    <w:p>
      <w:pPr>
        <w:spacing w:after="0" w:line="26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issuance of shares upon exercise of warrants and options could result in substantial dilution to the interests of other stockholders since the holders of such securities may ultimately convert and sell the full amount issuable on conversion.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unregistered issuances of equity securities during the period covered by this Quarterly Report on Form 10-Q have been previously disclosed on our Current Reports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2.1</w:t>
            </w:r>
          </w:p>
        </w:tc>
        <w:tc>
          <w:tcPr>
            <w:tcW w:w="10260" w:type="dxa"/>
            <w:vAlign w:val="bottom"/>
            <w:tcBorders>
              <w:bottom w:val="single" w:sz="8" w:color="0000EE"/>
            </w:tcBorders>
            <w:gridSpan w:val="21"/>
          </w:tcPr>
          <w:p>
            <w:pPr>
              <w:spacing w:after="0"/>
              <w:rPr>
                <w:rFonts w:ascii="Arial" w:cs="Arial" w:eastAsia="Arial" w:hAnsi="Arial"/>
                <w:sz w:val="18"/>
                <w:szCs w:val="18"/>
                <w:color w:val="0000EE"/>
                <w:w w:val="95"/>
              </w:rPr>
            </w:pPr>
            <w:hyperlink r:id="rId55">
              <w:r>
                <w:rPr>
                  <w:rFonts w:ascii="Arial" w:cs="Arial" w:eastAsia="Arial" w:hAnsi="Arial"/>
                  <w:sz w:val="18"/>
                  <w:szCs w:val="18"/>
                  <w:color w:val="0000EE"/>
                  <w:w w:val="95"/>
                </w:rPr>
                <w:t>Agreement and Plan of Merger and Reorganization, dated as of August 15, 2016, by and among StemCells, Inc., C&amp;RD Israel Ltd. and</w:t>
              </w:r>
            </w:hyperlink>
          </w:p>
        </w:tc>
      </w:tr>
      <w:tr>
        <w:trPr>
          <w:trHeight w:val="196"/>
        </w:trPr>
        <w:tc>
          <w:tcPr>
            <w:tcW w:w="980" w:type="dxa"/>
            <w:vAlign w:val="bottom"/>
          </w:tcPr>
          <w:p>
            <w:pPr>
              <w:spacing w:after="0"/>
              <w:rPr>
                <w:sz w:val="17"/>
                <w:szCs w:val="17"/>
                <w:color w:val="auto"/>
              </w:rPr>
            </w:pPr>
          </w:p>
        </w:tc>
        <w:tc>
          <w:tcPr>
            <w:tcW w:w="10260" w:type="dxa"/>
            <w:vAlign w:val="bottom"/>
            <w:gridSpan w:val="21"/>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Microbot Medical Ltd. (incorporated by reference to the Company’s Current Report on Form 8-K filed on August 15, 2016).</w:t>
              </w:r>
            </w:hyperlink>
          </w:p>
        </w:tc>
      </w:tr>
      <w:tr>
        <w:trPr>
          <w:trHeight w:val="20"/>
        </w:trPr>
        <w:tc>
          <w:tcPr>
            <w:tcW w:w="9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102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Restated Certificate of Incorporation of the Company (incorporated by reference to the Company’s Annual Report on Form 10-K for the fiscal</w:t>
              </w:r>
            </w:hyperlink>
          </w:p>
        </w:tc>
      </w:tr>
      <w:tr>
        <w:trPr>
          <w:trHeight w:val="196"/>
        </w:trPr>
        <w:tc>
          <w:tcPr>
            <w:tcW w:w="980" w:type="dxa"/>
            <w:vAlign w:val="bottom"/>
          </w:tcPr>
          <w:p>
            <w:pPr>
              <w:spacing w:after="0"/>
              <w:rPr>
                <w:sz w:val="17"/>
                <w:szCs w:val="17"/>
                <w:color w:val="auto"/>
              </w:rPr>
            </w:pPr>
          </w:p>
        </w:tc>
        <w:tc>
          <w:tcPr>
            <w:tcW w:w="10260" w:type="dxa"/>
            <w:vAlign w:val="bottom"/>
            <w:gridSpan w:val="21"/>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year ended December 31, 2006 and filed on March 15, 2007).</w:t>
              </w:r>
            </w:hyperlink>
          </w:p>
        </w:tc>
      </w:tr>
      <w:tr>
        <w:trPr>
          <w:trHeight w:val="20"/>
        </w:trPr>
        <w:tc>
          <w:tcPr>
            <w:tcW w:w="9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026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57">
              <w:r>
                <w:rPr>
                  <w:rFonts w:ascii="Arial" w:cs="Arial" w:eastAsia="Arial" w:hAnsi="Arial"/>
                  <w:sz w:val="18"/>
                  <w:szCs w:val="18"/>
                  <w:color w:val="0000EE"/>
                  <w:w w:val="92"/>
                </w:rPr>
                <w:t>Certificate of Amendment to the Restated Certificate of Incorporation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36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Report on Form 8-K filed on November 29, 2016).</w:t>
              </w:r>
            </w:hyperlink>
          </w:p>
        </w:tc>
        <w:tc>
          <w:tcPr>
            <w:tcW w:w="6600" w:type="dxa"/>
            <w:vAlign w:val="bottom"/>
            <w:gridSpan w:val="1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3.3</w:t>
            </w:r>
          </w:p>
        </w:tc>
        <w:tc>
          <w:tcPr>
            <w:tcW w:w="1026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58">
              <w:r>
                <w:rPr>
                  <w:rFonts w:ascii="Arial" w:cs="Arial" w:eastAsia="Arial" w:hAnsi="Arial"/>
                  <w:sz w:val="18"/>
                  <w:szCs w:val="18"/>
                  <w:color w:val="0000EE"/>
                  <w:w w:val="92"/>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0260" w:type="dxa"/>
            <w:vAlign w:val="bottom"/>
            <w:gridSpan w:val="21"/>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8-K filed on September 4, 2018).</w:t>
              </w:r>
            </w:hyperlink>
          </w:p>
        </w:tc>
      </w:tr>
      <w:tr>
        <w:trPr>
          <w:trHeight w:val="20"/>
        </w:trPr>
        <w:tc>
          <w:tcPr>
            <w:tcW w:w="9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3.4</w:t>
            </w:r>
          </w:p>
        </w:tc>
        <w:tc>
          <w:tcPr>
            <w:tcW w:w="10260" w:type="dxa"/>
            <w:vAlign w:val="bottom"/>
            <w:gridSpan w:val="21"/>
          </w:tcPr>
          <w:p>
            <w:pPr>
              <w:spacing w:after="0" w:line="196" w:lineRule="exact"/>
              <w:rPr>
                <w:rFonts w:ascii="Arial" w:cs="Arial" w:eastAsia="Arial" w:hAnsi="Arial"/>
                <w:sz w:val="18"/>
                <w:szCs w:val="18"/>
                <w:color w:val="0000EE"/>
                <w:w w:val="92"/>
              </w:rPr>
            </w:pPr>
            <w:hyperlink r:id="rId59">
              <w:r>
                <w:rPr>
                  <w:rFonts w:ascii="Arial" w:cs="Arial" w:eastAsia="Arial" w:hAnsi="Arial"/>
                  <w:sz w:val="18"/>
                  <w:szCs w:val="18"/>
                  <w:color w:val="0000EE"/>
                  <w:w w:val="92"/>
                </w:rPr>
                <w:t>Amended and Restated By-Laws of the Company (incorporated by reference to the Company’s Current Report on Form 8-K filed on May 3,</w:t>
              </w:r>
            </w:hyperlink>
          </w:p>
        </w:tc>
      </w:tr>
      <w:tr>
        <w:trPr>
          <w:trHeight w:val="196"/>
        </w:trPr>
        <w:tc>
          <w:tcPr>
            <w:tcW w:w="9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59">
              <w:r>
                <w:rPr>
                  <w:rFonts w:ascii="Arial" w:cs="Arial" w:eastAsia="Arial" w:hAnsi="Arial"/>
                  <w:sz w:val="18"/>
                  <w:szCs w:val="18"/>
                  <w:color w:val="0000EE"/>
                  <w:w w:val="86"/>
                </w:rPr>
                <w:t>2016).</w:t>
              </w:r>
            </w:hyperlink>
          </w:p>
        </w:tc>
        <w:tc>
          <w:tcPr>
            <w:tcW w:w="16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3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3.5</w:t>
            </w:r>
          </w:p>
        </w:tc>
        <w:tc>
          <w:tcPr>
            <w:tcW w:w="94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Certificate of Elimination (incorporated by reference to the Company’s Current Report on Form 8-K filed on December 12, 2018).</w:t>
              </w:r>
            </w:hyperlink>
          </w:p>
        </w:tc>
        <w:tc>
          <w:tcPr>
            <w:tcW w:w="860" w:type="dxa"/>
            <w:vAlign w:val="bottom"/>
            <w:gridSpan w:val="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3.6</w:t>
            </w:r>
          </w:p>
        </w:tc>
        <w:tc>
          <w:tcPr>
            <w:tcW w:w="1026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61">
              <w:r>
                <w:rPr>
                  <w:rFonts w:ascii="Arial" w:cs="Arial" w:eastAsia="Arial" w:hAnsi="Arial"/>
                  <w:sz w:val="18"/>
                  <w:szCs w:val="18"/>
                  <w:color w:val="0000EE"/>
                  <w:w w:val="92"/>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0260" w:type="dxa"/>
            <w:vAlign w:val="bottom"/>
            <w:gridSpan w:val="21"/>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8-K filed on September 11, 2019).</w:t>
              </w:r>
            </w:hyperlink>
          </w:p>
        </w:tc>
      </w:tr>
      <w:tr>
        <w:trPr>
          <w:trHeight w:val="20"/>
        </w:trPr>
        <w:tc>
          <w:tcPr>
            <w:tcW w:w="98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3.7</w:t>
            </w:r>
          </w:p>
        </w:tc>
        <w:tc>
          <w:tcPr>
            <w:tcW w:w="1026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r:id="rId62">
              <w:r>
                <w:rPr>
                  <w:rFonts w:ascii="Arial" w:cs="Arial" w:eastAsia="Arial" w:hAnsi="Arial"/>
                  <w:sz w:val="18"/>
                  <w:szCs w:val="18"/>
                  <w:color w:val="0000EE"/>
                  <w:w w:val="95"/>
                </w:rPr>
                <w:t>Amendment to Section 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31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62">
              <w:r>
                <w:rPr>
                  <w:rFonts w:ascii="Arial" w:cs="Arial" w:eastAsia="Arial" w:hAnsi="Arial"/>
                  <w:sz w:val="18"/>
                  <w:szCs w:val="18"/>
                  <w:color w:val="0000EE"/>
                  <w:w w:val="92"/>
                </w:rPr>
                <w:t>Report on Form 8-K filed on May 3, 2021).</w:t>
              </w:r>
            </w:hyperlink>
          </w:p>
        </w:tc>
        <w:tc>
          <w:tcPr>
            <w:tcW w:w="7120" w:type="dxa"/>
            <w:vAlign w:val="bottom"/>
            <w:gridSpan w:val="1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92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Form of Series A Warrant (incorporated by reference to the Registrant’s Current Report on Form 8-K filed on October 25, 2022)</w:t>
              </w:r>
            </w:hyperlink>
          </w:p>
        </w:tc>
        <w:tc>
          <w:tcPr>
            <w:tcW w:w="1000" w:type="dxa"/>
            <w:vAlign w:val="bottom"/>
            <w:gridSpan w:val="5"/>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94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Form of Wainwright Warrant (incorporated by reference to the Registrant’s Current Report on Form 8-K filed on October 25, 2022)</w:t>
              </w:r>
            </w:hyperlink>
          </w:p>
        </w:tc>
        <w:tc>
          <w:tcPr>
            <w:tcW w:w="78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92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Form of Wainwright Warrant (incorporated by reference to the Registrant’s Current Report on Form 8-K filed on May 23, 2023)</w:t>
              </w:r>
            </w:hyperlink>
          </w:p>
        </w:tc>
        <w:tc>
          <w:tcPr>
            <w:tcW w:w="1020" w:type="dxa"/>
            <w:vAlign w:val="bottom"/>
            <w:gridSpan w:val="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92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Form of Wainwright Warrant (incorporated by reference to the Registrant’s Current Report on Form 8-K filed on May 24, 2023)</w:t>
              </w:r>
            </w:hyperlink>
          </w:p>
        </w:tc>
        <w:tc>
          <w:tcPr>
            <w:tcW w:w="1020" w:type="dxa"/>
            <w:vAlign w:val="bottom"/>
            <w:gridSpan w:val="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4.6</w:t>
            </w:r>
          </w:p>
        </w:tc>
        <w:tc>
          <w:tcPr>
            <w:tcW w:w="101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Form of Warrant Amendment Agreement (incorporated by reference to the Registrant’s Current Report on Form 8-K filed on May 24, 2023)</w:t>
              </w:r>
            </w:hyperlink>
          </w:p>
        </w:tc>
        <w:tc>
          <w:tcPr>
            <w:tcW w:w="14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4.7</w:t>
            </w:r>
          </w:p>
        </w:tc>
        <w:tc>
          <w:tcPr>
            <w:tcW w:w="89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Form of Series C Warrant (incorporated by reference to the Registrant’s Current Report on Form 8-K filed on June 6, 2023)</w:t>
              </w:r>
            </w:hyperlink>
          </w:p>
        </w:tc>
        <w:tc>
          <w:tcPr>
            <w:tcW w:w="1300" w:type="dxa"/>
            <w:vAlign w:val="bottom"/>
            <w:gridSpan w:val="10"/>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4.8</w:t>
            </w:r>
          </w:p>
        </w:tc>
        <w:tc>
          <w:tcPr>
            <w:tcW w:w="91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Form of Wainwright Warrant (incorporated by reference to the Registrant’s Current Report on Form 8-K filed on June 6, 2023)</w:t>
              </w:r>
            </w:hyperlink>
          </w:p>
        </w:tc>
        <w:tc>
          <w:tcPr>
            <w:tcW w:w="1120" w:type="dxa"/>
            <w:vAlign w:val="bottom"/>
            <w:gridSpan w:val="8"/>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4.9</w:t>
            </w:r>
          </w:p>
        </w:tc>
        <w:tc>
          <w:tcPr>
            <w:tcW w:w="90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Form of Series D Warrant (incorporated by reference to the Registrant’s Current Report on Form 8-K filed on June 28, 2023)</w:t>
              </w:r>
            </w:hyperlink>
          </w:p>
        </w:tc>
        <w:tc>
          <w:tcPr>
            <w:tcW w:w="1260" w:type="dxa"/>
            <w:vAlign w:val="bottom"/>
            <w:gridSpan w:val="9"/>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4.10</w:t>
            </w:r>
          </w:p>
        </w:tc>
        <w:tc>
          <w:tcPr>
            <w:tcW w:w="10260" w:type="dxa"/>
            <w:vAlign w:val="bottom"/>
            <w:gridSpan w:val="21"/>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Form of Wainwright Warrant (incorporated by reference to the Registrant’s Current Report on Form 8-K filed on June 28, 2023)</w:t>
              </w:r>
            </w:hyperlink>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922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Certification of Harel Gadot, Chairman, President and Chief Executive Officer</w:t>
            </w:r>
          </w:p>
        </w:tc>
        <w:tc>
          <w:tcPr>
            <w:tcW w:w="1040" w:type="dxa"/>
            <w:vAlign w:val="bottom"/>
            <w:gridSpan w:val="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566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Certification of Rachel Vaknin, Chief Financial Officer</w:t>
            </w:r>
          </w:p>
        </w:tc>
        <w:tc>
          <w:tcPr>
            <w:tcW w:w="4600" w:type="dxa"/>
            <w:vAlign w:val="bottom"/>
            <w:gridSpan w:val="11"/>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300" w:type="dxa"/>
            <w:vAlign w:val="bottom"/>
            <w:gridSpan w:val="13"/>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26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2"/>
              </w:rPr>
              <w:t>Certification of Harel Gadot, Chairman, President and Chief Executive Officer, pursuant to 18 U.S.C. Section 1350, as adopted pursuant to</w:t>
            </w:r>
          </w:p>
        </w:tc>
      </w:tr>
      <w:tr>
        <w:trPr>
          <w:trHeight w:val="196"/>
        </w:trPr>
        <w:tc>
          <w:tcPr>
            <w:tcW w:w="980" w:type="dxa"/>
            <w:vAlign w:val="bottom"/>
          </w:tcPr>
          <w:p>
            <w:pPr>
              <w:spacing w:after="0"/>
              <w:rPr>
                <w:sz w:val="17"/>
                <w:szCs w:val="17"/>
                <w:color w:val="auto"/>
              </w:rPr>
            </w:pPr>
          </w:p>
        </w:tc>
        <w:tc>
          <w:tcPr>
            <w:tcW w:w="34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Section 906 of the Sarbanes-Oxley Act of 2002</w:t>
            </w:r>
          </w:p>
        </w:tc>
        <w:tc>
          <w:tcPr>
            <w:tcW w:w="6840" w:type="dxa"/>
            <w:vAlign w:val="bottom"/>
            <w:gridSpan w:val="15"/>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26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6"/>
              </w:rPr>
              <w:t>Certification of Rachel Vaknin, Chief Financial Officer, pursuant to 18 U.S.C. Section 1350, as adopted pursuant to Section 906 of the</w:t>
            </w:r>
          </w:p>
        </w:tc>
      </w:tr>
      <w:tr>
        <w:trPr>
          <w:trHeight w:val="196"/>
        </w:trPr>
        <w:tc>
          <w:tcPr>
            <w:tcW w:w="980" w:type="dxa"/>
            <w:vAlign w:val="bottom"/>
          </w:tcPr>
          <w:p>
            <w:pPr>
              <w:spacing w:after="0"/>
              <w:rPr>
                <w:sz w:val="17"/>
                <w:szCs w:val="17"/>
                <w:color w:val="auto"/>
              </w:rPr>
            </w:pPr>
          </w:p>
        </w:tc>
        <w:tc>
          <w:tcPr>
            <w:tcW w:w="20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Sarbanes-Oxley Act of 2002</w:t>
            </w:r>
          </w:p>
        </w:tc>
        <w:tc>
          <w:tcPr>
            <w:tcW w:w="8200" w:type="dxa"/>
            <w:vAlign w:val="bottom"/>
            <w:gridSpan w:val="19"/>
          </w:tcPr>
          <w:p>
            <w:pPr>
              <w:spacing w:after="0"/>
              <w:rPr>
                <w:sz w:val="17"/>
                <w:szCs w:val="17"/>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101.1</w:t>
            </w:r>
          </w:p>
        </w:tc>
        <w:tc>
          <w:tcPr>
            <w:tcW w:w="10260" w:type="dxa"/>
            <w:vAlign w:val="bottom"/>
            <w:gridSpan w:val="21"/>
          </w:tcPr>
          <w:p>
            <w:pPr>
              <w:spacing w:after="0"/>
              <w:rPr>
                <w:sz w:val="20"/>
                <w:szCs w:val="20"/>
                <w:color w:val="auto"/>
              </w:rPr>
            </w:pPr>
            <w:r>
              <w:rPr>
                <w:rFonts w:ascii="Arial" w:cs="Arial" w:eastAsia="Arial" w:hAnsi="Arial"/>
                <w:sz w:val="18"/>
                <w:szCs w:val="18"/>
                <w:color w:val="auto"/>
                <w:w w:val="92"/>
              </w:rPr>
              <w:t>Inline XBRL Instance - The instance document does not appear in the Interactive Data File because its XBRL tags are embedded within the</w:t>
            </w:r>
          </w:p>
        </w:tc>
      </w:tr>
      <w:tr>
        <w:trPr>
          <w:trHeight w:val="216"/>
        </w:trPr>
        <w:tc>
          <w:tcPr>
            <w:tcW w:w="980" w:type="dxa"/>
            <w:vAlign w:val="bottom"/>
          </w:tcPr>
          <w:p>
            <w:pPr>
              <w:spacing w:after="0"/>
              <w:rPr>
                <w:sz w:val="18"/>
                <w:szCs w:val="18"/>
                <w:color w:val="auto"/>
              </w:rPr>
            </w:pPr>
          </w:p>
        </w:tc>
        <w:tc>
          <w:tcPr>
            <w:tcW w:w="10260" w:type="dxa"/>
            <w:vAlign w:val="bottom"/>
            <w:gridSpan w:val="21"/>
          </w:tcPr>
          <w:p>
            <w:pPr>
              <w:spacing w:after="0"/>
              <w:rPr>
                <w:sz w:val="20"/>
                <w:szCs w:val="20"/>
                <w:color w:val="auto"/>
              </w:rPr>
            </w:pPr>
            <w:r>
              <w:rPr>
                <w:rFonts w:ascii="Arial" w:cs="Arial" w:eastAsia="Arial" w:hAnsi="Arial"/>
                <w:sz w:val="18"/>
                <w:szCs w:val="18"/>
                <w:color w:val="auto"/>
              </w:rPr>
              <w:t>Inline XBRL document.</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1"/>
          </w:tcPr>
          <w:p>
            <w:pPr>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1"/>
          </w:tcPr>
          <w:p>
            <w:pPr>
              <w:spacing w:after="0"/>
              <w:rPr>
                <w:sz w:val="20"/>
                <w:szCs w:val="20"/>
                <w:color w:val="auto"/>
              </w:rPr>
            </w:pPr>
            <w:r>
              <w:rPr>
                <w:rFonts w:ascii="Arial" w:cs="Arial" w:eastAsia="Arial" w:hAnsi="Arial"/>
                <w:sz w:val="18"/>
                <w:szCs w:val="18"/>
                <w:color w:val="auto"/>
              </w:rPr>
              <w:t>Inline XBRL Taxonomy Extension Calculation.</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1"/>
          </w:tcPr>
          <w:p>
            <w:pPr>
              <w:spacing w:after="0"/>
              <w:rPr>
                <w:sz w:val="20"/>
                <w:szCs w:val="20"/>
                <w:color w:val="auto"/>
              </w:rPr>
            </w:pPr>
            <w:r>
              <w:rPr>
                <w:rFonts w:ascii="Arial" w:cs="Arial" w:eastAsia="Arial" w:hAnsi="Arial"/>
                <w:sz w:val="18"/>
                <w:szCs w:val="18"/>
                <w:color w:val="auto"/>
              </w:rPr>
              <w:t>Inline XBRL Taxonomy Extension Definition.</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1"/>
          </w:tcPr>
          <w:p>
            <w:pPr>
              <w:spacing w:after="0"/>
              <w:rPr>
                <w:sz w:val="20"/>
                <w:szCs w:val="20"/>
                <w:color w:val="auto"/>
              </w:rPr>
            </w:pPr>
            <w:r>
              <w:rPr>
                <w:rFonts w:ascii="Arial" w:cs="Arial" w:eastAsia="Arial" w:hAnsi="Arial"/>
                <w:sz w:val="18"/>
                <w:szCs w:val="18"/>
                <w:color w:val="auto"/>
              </w:rPr>
              <w:t>Inline XBRL Taxonomy Extension Labels.</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1"/>
          </w:tcPr>
          <w:p>
            <w:pPr>
              <w:spacing w:after="0"/>
              <w:rPr>
                <w:sz w:val="20"/>
                <w:szCs w:val="20"/>
                <w:color w:val="auto"/>
              </w:rPr>
            </w:pPr>
            <w:r>
              <w:rPr>
                <w:rFonts w:ascii="Arial" w:cs="Arial" w:eastAsia="Arial" w:hAnsi="Arial"/>
                <w:sz w:val="18"/>
                <w:szCs w:val="18"/>
                <w:color w:val="auto"/>
              </w:rPr>
              <w:t>Inline XBRL Taxonomy Extension Presentation.</w:t>
            </w:r>
          </w:p>
        </w:tc>
      </w:tr>
    </w:tbl>
    <w:p>
      <w:pPr>
        <w:ind w:left="5540" w:right="3720" w:hanging="5532"/>
        <w:spacing w:after="0" w:line="511" w:lineRule="auto"/>
        <w:tabs>
          <w:tab w:leader="none" w:pos="9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this 14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August, 2023.</w:t>
      </w:r>
    </w:p>
    <w:p>
      <w:pPr>
        <w:spacing w:after="0" w:line="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Rachel Vaknin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Dated: August 14,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Rachel Vaknin,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220"/>
        <w:spacing w:after="0" w:line="255" w:lineRule="auto"/>
        <w:tabs>
          <w:tab w:leader="none" w:pos="13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226"/>
        <w:spacing w:after="0" w:line="250" w:lineRule="auto"/>
        <w:tabs>
          <w:tab w:leader="none" w:pos="13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220"/>
        <w:spacing w:after="0" w:line="281" w:lineRule="auto"/>
        <w:tabs>
          <w:tab w:leader="none" w:pos="1300" w:val="left"/>
        </w:tabs>
        <w:numPr>
          <w:ilvl w:val="2"/>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226"/>
        <w:spacing w:after="0" w:line="255" w:lineRule="auto"/>
        <w:tabs>
          <w:tab w:leader="none" w:pos="13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Dated: August 14,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June 30, 2023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8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August 14, 2023</w:t>
      </w:r>
      <w:r>
        <w:rPr>
          <w:sz w:val="20"/>
          <w:szCs w:val="20"/>
          <w:color w:val="auto"/>
        </w:rPr>
        <w:tab/>
      </w:r>
      <w:r>
        <w:rPr>
          <w:rFonts w:ascii="Arial" w:cs="Arial" w:eastAsia="Arial" w:hAnsi="Arial"/>
          <w:sz w:val="16"/>
          <w:szCs w:val="16"/>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 Rachel Vaknin, Chief Financial Officer of Microbot Medical Inc., hereby certify, pursuant to 18 U.S.C. Section 1350, as adopted pursuant to Section 906 of the Sarbanes-Oxley Act of 2002, that to my knowledge, the quarterly report on Form 10-Q for the period ending June 30, 2023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5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August 14, 2023</w:t>
      </w:r>
      <w:r>
        <w:rPr>
          <w:sz w:val="20"/>
          <w:szCs w:val="20"/>
          <w:color w:val="auto"/>
        </w:rPr>
        <w:tab/>
      </w:r>
      <w:r>
        <w:rPr>
          <w:rFonts w:ascii="Arial" w:cs="Arial" w:eastAsia="Arial" w:hAnsi="Arial"/>
          <w:sz w:val="16"/>
          <w:szCs w:val="16"/>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Rachel Vaknin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lvl w:ilvl="1">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04"/>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55" Type="http://schemas.openxmlformats.org/officeDocument/2006/relationships/hyperlink" Target="https://www.sec.gov/Archives/edgar/data/883975/000119312516682077/d161430dex21.htm" TargetMode="External"/><Relationship Id="rId56" Type="http://schemas.openxmlformats.org/officeDocument/2006/relationships/hyperlink" Target="https://www.sec.gov/Archives/edgar/data/883975/000095013407005808/f27726exv3w1.htm" TargetMode="External"/><Relationship Id="rId57" Type="http://schemas.openxmlformats.org/officeDocument/2006/relationships/hyperlink" Target="https://www.sec.gov/Archives/edgar/data/883975/000119312516779729/d296933dex31.htm" TargetMode="External"/><Relationship Id="rId58" Type="http://schemas.openxmlformats.org/officeDocument/2006/relationships/hyperlink" Target="https://www.sec.gov/Archives/edgar/data/883975/000149315218012872/ex3-1.htm" TargetMode="External"/><Relationship Id="rId59" Type="http://schemas.openxmlformats.org/officeDocument/2006/relationships/hyperlink" Target="https://www.sec.gov/Archives/edgar/data/883975/000129993316002374/exhibit1.htm" TargetMode="External"/><Relationship Id="rId60" Type="http://schemas.openxmlformats.org/officeDocument/2006/relationships/hyperlink" Target="https://www.sec.gov/Archives/edgar/data/883975/000149315218017395/ex3-1.htm" TargetMode="External"/><Relationship Id="rId61" Type="http://schemas.openxmlformats.org/officeDocument/2006/relationships/hyperlink" Target="https://www.sec.gov/Archives/edgar/data/883975/000149315219013998/ex3-1.htm" TargetMode="External"/><Relationship Id="rId62" Type="http://schemas.openxmlformats.org/officeDocument/2006/relationships/hyperlink" Target="https://www.sec.gov/Archives/edgar/data/883975/000149315221010347/ex3-1.htm" TargetMode="External"/><Relationship Id="rId63" Type="http://schemas.openxmlformats.org/officeDocument/2006/relationships/hyperlink" Target="https://www.sec.gov/Archives/edgar/data/883975/000149315222029541/ex4-2.htm" TargetMode="External"/><Relationship Id="rId64" Type="http://schemas.openxmlformats.org/officeDocument/2006/relationships/hyperlink" Target="https://www.sec.gov/Archives/edgar/data/883975/000149315222029541/ex4-4.htm" TargetMode="External"/><Relationship Id="rId65" Type="http://schemas.openxmlformats.org/officeDocument/2006/relationships/hyperlink" Target="https://www.sec.gov/Archives/edgar/data/883975/000149315223018718/ex4-1.htm" TargetMode="External"/><Relationship Id="rId66" Type="http://schemas.openxmlformats.org/officeDocument/2006/relationships/hyperlink" Target="https://www.sec.gov/Archives/edgar/data/883975/000149315223018932/ex4-2.htm" TargetMode="External"/><Relationship Id="rId67" Type="http://schemas.openxmlformats.org/officeDocument/2006/relationships/hyperlink" Target="https://www.sec.gov/Archives/edgar/data/883975/000149315223018932/ex10-2.htm" TargetMode="External"/><Relationship Id="rId68" Type="http://schemas.openxmlformats.org/officeDocument/2006/relationships/hyperlink" Target="https://www.sec.gov/Archives/edgar/data/883975/000149315223020309/ex4-1.htm" TargetMode="External"/><Relationship Id="rId69" Type="http://schemas.openxmlformats.org/officeDocument/2006/relationships/hyperlink" Target="https://www.sec.gov/Archives/edgar/data/883975/000149315223020309/ex4-2.htm" TargetMode="External"/><Relationship Id="rId70" Type="http://schemas.openxmlformats.org/officeDocument/2006/relationships/hyperlink" Target="https://www.sec.gov/Archives/edgar/data/883975/000149315223022814/ex4-1.htm" TargetMode="External"/><Relationship Id="rId71" Type="http://schemas.openxmlformats.org/officeDocument/2006/relationships/hyperlink" Target="https://www.sec.gov/Archives/edgar/data/883975/000149315223022814/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2023-08-14T08:11:08Z</dcterms:created>
  <dcterms:modified xsi:type="dcterms:W3CDTF">2023-08-14T08:11:08Z</dcterms:modified>
</cp:coreProperties>
</file>