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10,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Rule 12b-2 of the Securities Exchange Act of 1934 (17 CFR §240.12b-2).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20" w:type="dxa"/>
            <w:vAlign w:val="bottom"/>
            <w:gridSpan w:val="4"/>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53"/>
        </w:trPr>
        <w:tc>
          <w:tcPr>
            <w:tcW w:w="20" w:type="dxa"/>
            <w:vAlign w:val="bottom"/>
          </w:tcPr>
          <w:p>
            <w:pPr>
              <w:spacing w:after="0"/>
              <w:rPr>
                <w:sz w:val="24"/>
                <w:szCs w:val="24"/>
                <w:color w:val="auto"/>
              </w:rPr>
            </w:pPr>
          </w:p>
        </w:tc>
        <w:tc>
          <w:tcPr>
            <w:tcW w:w="430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89"/>
              </w:rPr>
              <w:t>Trading Symbol(s)</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tcPr>
          <w:p>
            <w:pPr>
              <w:jc w:val="center"/>
              <w:ind w:right="470"/>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r>
        <w:trPr>
          <w:trHeight w:val="236"/>
        </w:trPr>
        <w:tc>
          <w:tcPr>
            <w:tcW w:w="20" w:type="dxa"/>
            <w:vAlign w:val="bottom"/>
          </w:tcPr>
          <w:p>
            <w:pPr>
              <w:spacing w:after="0"/>
              <w:rPr>
                <w:sz w:val="20"/>
                <w:szCs w:val="20"/>
                <w:color w:val="auto"/>
              </w:rPr>
            </w:pPr>
          </w:p>
        </w:tc>
        <w:tc>
          <w:tcPr>
            <w:tcW w:w="3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60" w:type="dxa"/>
            <w:vAlign w:val="bottom"/>
          </w:tcPr>
          <w:p>
            <w:pPr>
              <w:spacing w:after="0"/>
              <w:rPr>
                <w:sz w:val="2"/>
                <w:szCs w:val="2"/>
                <w:color w:val="auto"/>
              </w:rPr>
            </w:pPr>
          </w:p>
        </w:tc>
      </w:tr>
      <w:tr>
        <w:trPr>
          <w:trHeight w:val="68"/>
        </w:trPr>
        <w:tc>
          <w:tcPr>
            <w:tcW w:w="20" w:type="dxa"/>
            <w:vAlign w:val="bottom"/>
          </w:tcPr>
          <w:p>
            <w:pPr>
              <w:spacing w:after="0"/>
              <w:rPr>
                <w:sz w:val="5"/>
                <w:szCs w:val="5"/>
                <w:color w:val="auto"/>
              </w:rPr>
            </w:pPr>
          </w:p>
        </w:tc>
        <w:tc>
          <w:tcPr>
            <w:tcW w:w="352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2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560" w:type="dxa"/>
            <w:vAlign w:val="bottom"/>
            <w:shd w:val="clear" w:color="auto" w:fill="000000"/>
          </w:tcPr>
          <w:p>
            <w:pPr>
              <w:spacing w:after="0"/>
              <w:rPr>
                <w:sz w:val="5"/>
                <w:szCs w:val="5"/>
                <w:color w:val="auto"/>
              </w:rPr>
            </w:pPr>
          </w:p>
        </w:tc>
      </w:tr>
      <w:tr>
        <w:trPr>
          <w:trHeight w:val="466"/>
        </w:trPr>
        <w:tc>
          <w:tcPr>
            <w:tcW w:w="2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10, 2019, Microbot Medical Inc. (the “Company”) issued a press release announcing that the operational effectiveness of its Self-Cleaning Shunt (SCS™) was validated in a broader follow-up in-vitro lab study and clearly demonstrated that the Company’s device prevented shunt occlusion under the parameters of that study. Additionally, the press release announced that the Company remains on target to complete and release the results of the pre-clinical studies to further evaluate the safety and efficacy of the SCS™ being performed at Wayne State University and Washington University School of Medicine in St. Louis, during the fourth quarter of 2019 and the first quarter of 2020, respectively.</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copy of the press release is furnished as Exhibit 99.1 to this Current Report on Form 8-K and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dated September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line="282" w:lineRule="auto"/>
        <w:rPr>
          <w:sz w:val="20"/>
          <w:szCs w:val="20"/>
          <w:color w:val="auto"/>
        </w:rPr>
      </w:pPr>
      <w:r>
        <w:rPr>
          <w:rFonts w:ascii="Arial" w:cs="Arial" w:eastAsia="Arial" w:hAnsi="Arial"/>
          <w:sz w:val="18"/>
          <w:szCs w:val="18"/>
          <w:b w:val="1"/>
          <w:bCs w:val="1"/>
          <w:color w:val="auto"/>
        </w:rPr>
        <w:t>Microbot Medical’s Self-Cleaning Shunt (SCS™) Clearly Demonstrated the Ability to Prevent Shunt Occlusion in a Follow-up In-vitro Laboratory Study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Positive Results Continue to Validate the Operational Effectiveness of the SCS™</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HINGHAM, Mass., September 10, 2019 </w:t>
      </w:r>
      <w:r>
        <w:rPr>
          <w:rFonts w:ascii="Arial" w:cs="Arial" w:eastAsia="Arial" w:hAnsi="Arial"/>
          <w:sz w:val="17"/>
          <w:szCs w:val="17"/>
          <w:color w:val="auto"/>
        </w:rPr>
        <w:t>– Having successfully concluded an independent in-vitro laboratory study and published the positive results earlier</w:t>
      </w:r>
      <w:r>
        <w:rPr>
          <w:rFonts w:ascii="Arial" w:cs="Arial" w:eastAsia="Arial" w:hAnsi="Arial"/>
          <w:sz w:val="17"/>
          <w:szCs w:val="17"/>
          <w:b w:val="1"/>
          <w:bCs w:val="1"/>
          <w:color w:val="auto"/>
        </w:rPr>
        <w:t xml:space="preserve"> </w:t>
      </w:r>
      <w:r>
        <w:rPr>
          <w:rFonts w:ascii="Arial" w:cs="Arial" w:eastAsia="Arial" w:hAnsi="Arial"/>
          <w:sz w:val="17"/>
          <w:szCs w:val="17"/>
          <w:color w:val="auto"/>
        </w:rPr>
        <w:t>this year, the operational effectiveness of Microbot Medical Inc.’s (NASDAQ: MBOT) Self-Cleaning Shunt (SCS™) was validated in a broader follow-up in-vitro lab study and clearly demonstrated the device’s capability to prevent shunt occlusion under the parameters of that study.</w:t>
      </w:r>
    </w:p>
    <w:p>
      <w:pPr>
        <w:spacing w:after="0" w:line="16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data from this latest study brings us one step closer to commercialization as it continues to demonstrate that Microbot’s SCS™ offers a clear competitive differentiation compared with current shunts being used today in thousands of procedures,” commented Harel Gadot, CDEO, President and Chairman. “Our SCS™ has the potential to yield better patient outcomes, improve quality of life, positively influence multiple stakeholders and lower healthcare costs.”</w:t>
      </w:r>
    </w:p>
    <w:p>
      <w:pPr>
        <w:spacing w:after="0" w:line="14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follow-up study, which commenced in July 2019 and concluded on August 14, 2019, was conducted by Envigo CRS Israel, a leading provider of non-clinical contract research services and research models. Human brain glioblastoma cells were used in order to assess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a test system with accelerated cell growth rate, accumulation and obstruction rates. The study demonstrated:</w:t>
      </w:r>
    </w:p>
    <w:p>
      <w:pPr>
        <w:spacing w:after="0" w:line="102" w:lineRule="exact"/>
        <w:rPr>
          <w:sz w:val="20"/>
          <w:szCs w:val="20"/>
          <w:color w:val="auto"/>
        </w:rPr>
      </w:pPr>
    </w:p>
    <w:p>
      <w:pPr>
        <w:ind w:left="660" w:hanging="382"/>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Significant cell growth and accumulation in a non-operating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well as a standard of care surgical shunt.</w:t>
      </w:r>
    </w:p>
    <w:p>
      <w:pPr>
        <w:ind w:left="660" w:hanging="382"/>
        <w:spacing w:after="0" w:line="182" w:lineRule="auto"/>
        <w:tabs>
          <w:tab w:leader="none" w:pos="660" w:val="left"/>
        </w:tabs>
        <w:numPr>
          <w:ilvl w:val="0"/>
          <w:numId w:val="2"/>
        </w:numPr>
        <w:rPr>
          <w:rFonts w:ascii="Arial" w:cs="Arial" w:eastAsia="Arial" w:hAnsi="Arial"/>
          <w:sz w:val="29"/>
          <w:szCs w:val="29"/>
          <w:color w:val="auto"/>
          <w:vertAlign w:val="superscript"/>
        </w:rPr>
      </w:pPr>
      <w:r>
        <w:rPr>
          <w:rFonts w:ascii="Arial" w:cs="Arial" w:eastAsia="Arial" w:hAnsi="Arial"/>
          <w:sz w:val="16"/>
          <w:szCs w:val="16"/>
          <w:color w:val="auto"/>
        </w:rPr>
        <w:t>A significant inhibition in cell growth in daily (5-10 minutes) or weekly (up to 2 hours over the week) operating SCS</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with little cell attachment on the robotic brush (ViRob</w:t>
      </w:r>
      <w:r>
        <w:rPr>
          <w:rFonts w:ascii="Arial" w:cs="Arial" w:eastAsia="Arial" w:hAnsi="Arial"/>
          <w:sz w:val="25"/>
          <w:szCs w:val="25"/>
          <w:color w:val="auto"/>
          <w:vertAlign w:val="superscript"/>
        </w:rPr>
        <w:t>TM</w:t>
      </w:r>
      <w:r>
        <w:rPr>
          <w:rFonts w:ascii="Arial" w:cs="Arial" w:eastAsia="Arial" w:hAnsi="Arial"/>
          <w:sz w:val="16"/>
          <w:szCs w:val="16"/>
          <w:color w:val="auto"/>
        </w:rPr>
        <w:t>) and on the opening where the robotic brush (ViRob</w:t>
      </w:r>
      <w:r>
        <w:rPr>
          <w:rFonts w:ascii="Arial" w:cs="Arial" w:eastAsia="Arial" w:hAnsi="Arial"/>
          <w:sz w:val="25"/>
          <w:szCs w:val="25"/>
          <w:color w:val="auto"/>
          <w:vertAlign w:val="superscript"/>
        </w:rPr>
        <w:t>TM</w:t>
      </w:r>
      <w:r>
        <w:rPr>
          <w:rFonts w:ascii="Arial" w:cs="Arial" w:eastAsia="Arial" w:hAnsi="Arial"/>
          <w:sz w:val="16"/>
          <w:szCs w:val="16"/>
          <w:color w:val="auto"/>
        </w:rPr>
        <w:t>) operates.</w:t>
      </w:r>
    </w:p>
    <w:p>
      <w:pPr>
        <w:spacing w:after="0" w:line="1" w:lineRule="exact"/>
        <w:rPr>
          <w:rFonts w:ascii="Arial" w:cs="Arial" w:eastAsia="Arial" w:hAnsi="Arial"/>
          <w:sz w:val="29"/>
          <w:szCs w:val="29"/>
          <w:color w:val="auto"/>
          <w:vertAlign w:val="superscript"/>
        </w:rPr>
      </w:pPr>
    </w:p>
    <w:p>
      <w:pPr>
        <w:ind w:left="660" w:hanging="38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the Company’s SCS™ devices in preventing cells blockage as compare to standard of care surgical shunts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remains on target to complete and release the results of the pre-clinical studies to further evaluate the safety and efficacy of the SCS™ being performed at Wayne State University and Washington University School of Medicine in St. Louis, during the fourth quarter of 2019 and the first quarter of 2020,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91" w:lineRule="auto"/>
        <w:rPr>
          <w:sz w:val="20"/>
          <w:szCs w:val="20"/>
          <w:color w:val="auto"/>
        </w:rPr>
      </w:pPr>
      <w:r>
        <w:rPr>
          <w:rFonts w:ascii="Arial" w:cs="Arial" w:eastAsia="Arial" w:hAnsi="Arial"/>
          <w:sz w:val="16"/>
          <w:szCs w:val="16"/>
          <w:color w:val="auto"/>
        </w:rPr>
        <w:t>As a reminder, Mr. Gadot is presenting at the Rodman &amp; Renshaw Global Investment Conference today at 12:05 pm (ET), at the Lotte New York Palace in New York City, where he will share the summary results of the follow-up in-vitro laboratory study as well demonstrating a working headset prototype of the</w:t>
      </w:r>
    </w:p>
    <w:p>
      <w:pPr>
        <w:jc w:val="both"/>
        <w:spacing w:after="0" w:line="205" w:lineRule="auto"/>
        <w:rPr>
          <w:sz w:val="20"/>
          <w:szCs w:val="20"/>
          <w:color w:val="auto"/>
        </w:rPr>
      </w:pPr>
      <w:r>
        <w:rPr>
          <w:rFonts w:ascii="Arial" w:cs="Arial" w:eastAsia="Arial" w:hAnsi="Arial"/>
          <w:sz w:val="18"/>
          <w:szCs w:val="18"/>
          <w:color w:val="auto"/>
        </w:rPr>
        <w:t>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device. A live webcast and subsequent archived replay of the Company’s presentation may be accessed via the ‘Investors’ section, under ‘Presentations and Resources’ of the Company’s website at www.microbotmedical.com.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Envigo</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Envigo CRS Israel provides comprehensive scientific expertise and a full service offering in non-clinical research and development, research models and services, regulatory consulting, and analytical support to our customers. Envigo is a privately held global company with corporate headquarters in New Jersey.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6" w:name="page7"/>
    <w:bookmarkEnd w:id="6"/>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9" w:right="2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2019-12-28T06:20:11Z</dcterms:created>
  <dcterms:modified xsi:type="dcterms:W3CDTF">2019-12-28T06:20:11Z</dcterms:modified>
</cp:coreProperties>
</file>