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22,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21"/>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288 Grove Street, Suite 388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Braintree, Massachusetts 02184</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7"/>
          <w:szCs w:val="17"/>
          <w:b w:val="1"/>
          <w:bCs w:val="1"/>
          <w:color w:val="auto"/>
        </w:rPr>
        <w:t>Departure of Directors or Principal Officers; Election of Directors; Appointment of Principal Officers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February 22, 2024, Microbot Medical Inc. (the “Company”) increased the maximum annual bonus of Rachel Vaknin, its Chief Financial Officer, from a maximum of up to 25% of base salary to a maximum of up to 35% of base salary, commencing for the 2024 fiscal year. All other terms of Ms. Vaknin’s compensation arrangement with the Company remain unchanged.</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7"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2024-02-27T05:14:28Z</dcterms:created>
  <dcterms:modified xsi:type="dcterms:W3CDTF">2024-02-27T05:14:28Z</dcterms:modified>
</cp:coreProperties>
</file>